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C4F692">
      <w:pPr>
        <w:rPr>
          <w:rFonts w:ascii="仿宋_GB2312" w:hAnsi="仿宋_GB2312" w:eastAsia="仿宋_GB2312" w:cs="仿宋_GB2312"/>
          <w:sz w:val="36"/>
          <w:szCs w:val="36"/>
        </w:rPr>
      </w:pPr>
      <w:bookmarkStart w:id="0" w:name="_Hlk57883707"/>
    </w:p>
    <w:p w14:paraId="0CBB1A2F">
      <w:pPr>
        <w:rPr>
          <w:rFonts w:ascii="仿宋_GB2312" w:hAnsi="仿宋_GB2312" w:eastAsia="仿宋_GB2312" w:cs="仿宋_GB2312"/>
          <w:sz w:val="36"/>
          <w:szCs w:val="36"/>
        </w:rPr>
      </w:pPr>
    </w:p>
    <w:p w14:paraId="6EE850C0">
      <w:pPr>
        <w:pStyle w:val="2"/>
      </w:pPr>
    </w:p>
    <w:p w14:paraId="71E37BC8">
      <w:pPr>
        <w:rPr>
          <w:rFonts w:ascii="仿宋_GB2312" w:hAnsi="仿宋_GB2312" w:eastAsia="仿宋_GB2312" w:cs="仿宋_GB2312"/>
          <w:sz w:val="36"/>
          <w:szCs w:val="36"/>
        </w:rPr>
      </w:pPr>
    </w:p>
    <w:bookmarkEnd w:id="0"/>
    <w:p w14:paraId="399F8F85">
      <w:pPr>
        <w:adjustRightInd w:val="0"/>
        <w:snapToGrid w:val="0"/>
        <w:jc w:val="center"/>
        <w:outlineLvl w:val="0"/>
        <w:rPr>
          <w:rFonts w:ascii="方正小标宋_GBK" w:eastAsia="方正小标宋_GBK"/>
          <w:bCs/>
          <w:sz w:val="72"/>
          <w:szCs w:val="72"/>
        </w:rPr>
      </w:pPr>
      <w:r>
        <w:rPr>
          <w:rFonts w:hint="eastAsia" w:ascii="方正小标宋_GBK" w:eastAsia="方正小标宋_GBK"/>
          <w:bCs/>
          <w:sz w:val="72"/>
          <w:szCs w:val="72"/>
        </w:rPr>
        <w:t>建设项目环境影响报告表</w:t>
      </w:r>
    </w:p>
    <w:p w14:paraId="36FC4B34">
      <w:pPr>
        <w:adjustRightInd w:val="0"/>
        <w:snapToGrid w:val="0"/>
        <w:spacing w:before="192" w:beforeLines="80"/>
        <w:jc w:val="center"/>
        <w:rPr>
          <w:rFonts w:ascii="楷体_GB2312" w:eastAsia="楷体_GB2312"/>
          <w:bCs/>
          <w:sz w:val="48"/>
          <w:szCs w:val="48"/>
        </w:rPr>
      </w:pPr>
      <w:r>
        <w:rPr>
          <w:rFonts w:hint="eastAsia" w:ascii="楷体_GB2312" w:eastAsia="楷体_GB2312"/>
          <w:bCs/>
          <w:sz w:val="48"/>
          <w:szCs w:val="48"/>
        </w:rPr>
        <w:t>（生态影响类）</w:t>
      </w:r>
    </w:p>
    <w:p w14:paraId="529772B4">
      <w:bookmarkStart w:id="1" w:name="_Hlk57883728"/>
    </w:p>
    <w:p w14:paraId="015D1322">
      <w:pPr>
        <w:jc w:val="center"/>
        <w:rPr>
          <w:rFonts w:eastAsia="仿宋"/>
          <w:sz w:val="52"/>
          <w:szCs w:val="52"/>
        </w:rPr>
      </w:pPr>
    </w:p>
    <w:p w14:paraId="74D70549">
      <w:pPr>
        <w:ind w:firstLine="1040"/>
        <w:rPr>
          <w:rFonts w:eastAsia="仿宋"/>
          <w:sz w:val="44"/>
          <w:szCs w:val="44"/>
        </w:rPr>
      </w:pPr>
    </w:p>
    <w:p w14:paraId="40CD84EA">
      <w:pPr>
        <w:ind w:firstLine="1040"/>
        <w:rPr>
          <w:rFonts w:eastAsia="仿宋"/>
          <w:sz w:val="44"/>
          <w:szCs w:val="44"/>
        </w:rPr>
      </w:pPr>
    </w:p>
    <w:p w14:paraId="15B87162">
      <w:pPr>
        <w:ind w:firstLine="1040"/>
        <w:rPr>
          <w:rFonts w:eastAsia="仿宋"/>
          <w:sz w:val="44"/>
          <w:szCs w:val="44"/>
        </w:rPr>
      </w:pPr>
    </w:p>
    <w:p w14:paraId="2BFF24BE">
      <w:pPr>
        <w:ind w:firstLine="1040"/>
        <w:rPr>
          <w:rFonts w:eastAsia="仿宋"/>
          <w:sz w:val="44"/>
          <w:szCs w:val="44"/>
        </w:rPr>
      </w:pPr>
    </w:p>
    <w:p w14:paraId="66E4A486">
      <w:pPr>
        <w:ind w:firstLine="1040"/>
        <w:rPr>
          <w:rFonts w:eastAsia="仿宋"/>
          <w:sz w:val="44"/>
          <w:szCs w:val="44"/>
        </w:rPr>
      </w:pPr>
    </w:p>
    <w:p w14:paraId="75202FE2">
      <w:pPr>
        <w:ind w:firstLine="1040"/>
        <w:rPr>
          <w:rFonts w:eastAsia="仿宋"/>
          <w:sz w:val="44"/>
          <w:szCs w:val="44"/>
        </w:rPr>
      </w:pPr>
    </w:p>
    <w:p w14:paraId="73451691">
      <w:pPr>
        <w:ind w:firstLine="1040"/>
        <w:rPr>
          <w:rFonts w:eastAsia="仿宋"/>
          <w:sz w:val="44"/>
          <w:szCs w:val="44"/>
        </w:rPr>
      </w:pPr>
    </w:p>
    <w:bookmarkEnd w:id="1"/>
    <w:p w14:paraId="0A23BD3B">
      <w:pPr>
        <w:adjustRightInd w:val="0"/>
        <w:snapToGrid w:val="0"/>
        <w:spacing w:line="288" w:lineRule="auto"/>
        <w:ind w:left="1799" w:leftChars="171" w:hanging="1440" w:hangingChars="400"/>
        <w:jc w:val="left"/>
        <w:rPr>
          <w:rFonts w:ascii="仿宋_GB2312" w:eastAsia="仿宋_GB2312"/>
          <w:sz w:val="36"/>
          <w:szCs w:val="36"/>
          <w:u w:val="single"/>
        </w:rPr>
      </w:pPr>
      <w:r>
        <w:rPr>
          <w:rFonts w:hint="eastAsia" w:ascii="仿宋_GB2312" w:eastAsia="仿宋_GB2312"/>
          <w:sz w:val="36"/>
          <w:szCs w:val="36"/>
        </w:rPr>
        <w:t>项目名称：</w:t>
      </w:r>
      <w:r>
        <w:rPr>
          <w:rFonts w:hint="eastAsia" w:ascii="仿宋_GB2312" w:eastAsia="仿宋_GB2312"/>
          <w:sz w:val="36"/>
          <w:szCs w:val="36"/>
          <w:u w:val="single"/>
        </w:rPr>
        <w:t xml:space="preserve">         盂县石鑫矿业有限公司         </w:t>
      </w:r>
    </w:p>
    <w:p w14:paraId="382BB564">
      <w:pPr>
        <w:adjustRightInd w:val="0"/>
        <w:snapToGrid w:val="0"/>
        <w:spacing w:line="288" w:lineRule="auto"/>
        <w:ind w:left="1795" w:leftChars="855" w:firstLine="360" w:firstLineChars="100"/>
        <w:jc w:val="left"/>
        <w:rPr>
          <w:rFonts w:ascii="仿宋_GB2312" w:eastAsia="仿宋_GB2312"/>
          <w:sz w:val="36"/>
          <w:szCs w:val="36"/>
          <w:u w:val="single"/>
        </w:rPr>
      </w:pPr>
      <w:r>
        <w:rPr>
          <w:rFonts w:hint="eastAsia" w:ascii="仿宋_GB2312" w:eastAsia="仿宋_GB2312"/>
          <w:sz w:val="36"/>
          <w:szCs w:val="36"/>
          <w:u w:val="single"/>
        </w:rPr>
        <w:t xml:space="preserve">  </w:t>
      </w:r>
      <w:r>
        <w:rPr>
          <w:rFonts w:ascii="仿宋_GB2312" w:eastAsia="仿宋_GB2312"/>
          <w:sz w:val="36"/>
          <w:szCs w:val="36"/>
          <w:u w:val="single"/>
        </w:rPr>
        <w:t>年开采</w:t>
      </w:r>
      <w:r>
        <w:rPr>
          <w:rFonts w:hint="eastAsia" w:ascii="仿宋_GB2312" w:eastAsia="仿宋_GB2312"/>
          <w:sz w:val="36"/>
          <w:szCs w:val="36"/>
          <w:u w:val="single"/>
        </w:rPr>
        <w:t>饰面用花岗岩</w:t>
      </w:r>
      <w:r>
        <w:rPr>
          <w:rFonts w:eastAsia="仿宋_GB2312"/>
          <w:sz w:val="36"/>
          <w:szCs w:val="36"/>
          <w:u w:val="single"/>
        </w:rPr>
        <w:t>2万m</w:t>
      </w:r>
      <w:r>
        <w:rPr>
          <w:rFonts w:eastAsia="仿宋_GB2312"/>
          <w:sz w:val="36"/>
          <w:szCs w:val="36"/>
          <w:u w:val="single"/>
          <w:vertAlign w:val="superscript"/>
        </w:rPr>
        <w:t>3</w:t>
      </w:r>
      <w:r>
        <w:rPr>
          <w:rFonts w:hint="eastAsia" w:ascii="仿宋_GB2312" w:eastAsia="仿宋_GB2312"/>
          <w:sz w:val="36"/>
          <w:szCs w:val="36"/>
          <w:u w:val="single"/>
        </w:rPr>
        <w:t xml:space="preserve">扩建项目   </w:t>
      </w:r>
    </w:p>
    <w:p w14:paraId="3459E2A8">
      <w:pPr>
        <w:adjustRightInd w:val="0"/>
        <w:snapToGrid w:val="0"/>
        <w:spacing w:line="288" w:lineRule="auto"/>
        <w:ind w:firstLine="360" w:firstLineChars="100"/>
        <w:jc w:val="left"/>
        <w:rPr>
          <w:rFonts w:ascii="仿宋_GB2312" w:eastAsia="仿宋_GB2312"/>
          <w:sz w:val="36"/>
          <w:szCs w:val="36"/>
        </w:rPr>
      </w:pPr>
      <w:r>
        <w:rPr>
          <w:rFonts w:hint="eastAsia" w:ascii="仿宋_GB2312" w:eastAsia="仿宋_GB2312"/>
          <w:sz w:val="36"/>
          <w:szCs w:val="36"/>
        </w:rPr>
        <w:t>建设单位（盖章）：</w:t>
      </w:r>
      <w:r>
        <w:rPr>
          <w:rFonts w:hint="eastAsia" w:ascii="仿宋_GB2312" w:eastAsia="仿宋_GB2312"/>
          <w:sz w:val="36"/>
          <w:szCs w:val="36"/>
          <w:u w:val="single"/>
        </w:rPr>
        <w:t xml:space="preserve">     盂县石鑫矿业有限公司    </w:t>
      </w:r>
    </w:p>
    <w:p w14:paraId="738A6B7E">
      <w:pPr>
        <w:adjustRightInd w:val="0"/>
        <w:snapToGrid w:val="0"/>
        <w:spacing w:line="288" w:lineRule="auto"/>
        <w:ind w:firstLine="360" w:firstLineChars="100"/>
        <w:jc w:val="left"/>
        <w:rPr>
          <w:rFonts w:ascii="仿宋_GB2312" w:eastAsia="仿宋_GB2312"/>
          <w:sz w:val="36"/>
          <w:szCs w:val="36"/>
          <w:u w:val="single"/>
        </w:rPr>
      </w:pPr>
      <w:r>
        <w:rPr>
          <w:rFonts w:hint="eastAsia" w:ascii="仿宋_GB2312" w:eastAsia="仿宋_GB2312"/>
          <w:sz w:val="36"/>
          <w:szCs w:val="36"/>
        </w:rPr>
        <w:t>编制日期：</w:t>
      </w:r>
      <w:r>
        <w:rPr>
          <w:rFonts w:hint="eastAsia" w:ascii="仿宋_GB2312" w:eastAsia="仿宋_GB2312"/>
          <w:sz w:val="36"/>
          <w:szCs w:val="36"/>
          <w:u w:val="single"/>
        </w:rPr>
        <w:t xml:space="preserve">          </w:t>
      </w:r>
      <w:r>
        <w:rPr>
          <w:rFonts w:hint="eastAsia" w:ascii="仿宋_GB2312" w:eastAsia="仿宋_GB2312"/>
          <w:sz w:val="36"/>
          <w:szCs w:val="36"/>
          <w:u w:val="single"/>
          <w:lang w:val="en-US" w:eastAsia="zh-CN"/>
        </w:rPr>
        <w:t xml:space="preserve">      </w:t>
      </w:r>
      <w:r>
        <w:rPr>
          <w:rFonts w:hint="eastAsia" w:ascii="仿宋_GB2312" w:eastAsia="仿宋_GB2312"/>
          <w:sz w:val="36"/>
          <w:szCs w:val="36"/>
          <w:u w:val="single"/>
        </w:rPr>
        <w:t>二〇二</w:t>
      </w:r>
      <w:r>
        <w:rPr>
          <w:rFonts w:hint="eastAsia" w:ascii="仿宋_GB2312" w:eastAsia="仿宋_GB2312"/>
          <w:sz w:val="36"/>
          <w:szCs w:val="36"/>
          <w:u w:val="single"/>
          <w:lang w:val="en-US" w:eastAsia="zh-CN"/>
        </w:rPr>
        <w:t>六</w:t>
      </w:r>
      <w:r>
        <w:rPr>
          <w:rFonts w:hint="eastAsia" w:ascii="仿宋_GB2312" w:eastAsia="仿宋_GB2312"/>
          <w:sz w:val="36"/>
          <w:szCs w:val="36"/>
          <w:u w:val="single"/>
        </w:rPr>
        <w:t>年</w:t>
      </w:r>
      <w:r>
        <w:rPr>
          <w:rFonts w:hint="eastAsia" w:ascii="仿宋_GB2312" w:eastAsia="仿宋_GB2312"/>
          <w:sz w:val="36"/>
          <w:szCs w:val="36"/>
          <w:u w:val="single"/>
          <w:lang w:val="en-US" w:eastAsia="zh-CN"/>
        </w:rPr>
        <w:t>四</w:t>
      </w:r>
      <w:r>
        <w:rPr>
          <w:rFonts w:hint="eastAsia" w:ascii="仿宋_GB2312" w:eastAsia="仿宋_GB2312"/>
          <w:sz w:val="36"/>
          <w:szCs w:val="36"/>
          <w:u w:val="single"/>
        </w:rPr>
        <w:t xml:space="preserve">月  </w:t>
      </w:r>
      <w:r>
        <w:rPr>
          <w:rFonts w:hint="eastAsia" w:ascii="仿宋_GB2312" w:eastAsia="仿宋_GB2312"/>
          <w:sz w:val="36"/>
          <w:szCs w:val="36"/>
          <w:u w:val="single"/>
          <w:lang w:val="en-US" w:eastAsia="zh-CN"/>
        </w:rPr>
        <w:t xml:space="preserve"> </w:t>
      </w:r>
      <w:r>
        <w:rPr>
          <w:rFonts w:hint="eastAsia" w:ascii="仿宋_GB2312" w:eastAsia="仿宋_GB2312"/>
          <w:sz w:val="36"/>
          <w:szCs w:val="36"/>
          <w:u w:val="single"/>
        </w:rPr>
        <w:t xml:space="preserve">     </w:t>
      </w:r>
    </w:p>
    <w:p w14:paraId="7A9C5D86">
      <w:pPr>
        <w:adjustRightInd w:val="0"/>
        <w:snapToGrid w:val="0"/>
        <w:spacing w:line="288" w:lineRule="auto"/>
        <w:ind w:firstLine="1040"/>
        <w:rPr>
          <w:rFonts w:ascii="仿宋_GB2312" w:eastAsia="仿宋_GB2312"/>
          <w:sz w:val="36"/>
          <w:szCs w:val="36"/>
        </w:rPr>
      </w:pPr>
    </w:p>
    <w:p w14:paraId="27797530">
      <w:pPr>
        <w:adjustRightInd w:val="0"/>
        <w:snapToGrid w:val="0"/>
        <w:spacing w:line="288" w:lineRule="auto"/>
        <w:ind w:firstLine="1040"/>
        <w:rPr>
          <w:rFonts w:ascii="仿宋_GB2312" w:eastAsia="仿宋_GB2312"/>
          <w:sz w:val="36"/>
          <w:szCs w:val="36"/>
        </w:rPr>
      </w:pPr>
    </w:p>
    <w:p w14:paraId="4FE8DEFC">
      <w:pPr>
        <w:adjustRightInd w:val="0"/>
        <w:snapToGrid w:val="0"/>
        <w:spacing w:line="288" w:lineRule="auto"/>
        <w:ind w:firstLine="1040"/>
        <w:rPr>
          <w:rFonts w:ascii="仿宋_GB2312" w:eastAsia="仿宋_GB2312"/>
          <w:sz w:val="36"/>
          <w:szCs w:val="36"/>
        </w:rPr>
      </w:pPr>
    </w:p>
    <w:p w14:paraId="1E66199D">
      <w:pPr>
        <w:adjustRightInd w:val="0"/>
        <w:snapToGrid w:val="0"/>
        <w:spacing w:line="288" w:lineRule="auto"/>
        <w:ind w:firstLine="1040"/>
        <w:rPr>
          <w:rFonts w:ascii="仿宋_GB2312" w:eastAsia="仿宋_GB2312"/>
          <w:sz w:val="36"/>
          <w:szCs w:val="36"/>
        </w:rPr>
      </w:pPr>
    </w:p>
    <w:p w14:paraId="423ACD7D">
      <w:pPr>
        <w:adjustRightInd w:val="0"/>
        <w:snapToGrid w:val="0"/>
        <w:spacing w:line="288" w:lineRule="auto"/>
        <w:jc w:val="center"/>
        <w:rPr>
          <w:rFonts w:ascii="楷体_GB2312" w:eastAsia="楷体_GB2312"/>
          <w:sz w:val="36"/>
          <w:szCs w:val="36"/>
        </w:rPr>
      </w:pPr>
      <w:r>
        <w:rPr>
          <w:rFonts w:hint="eastAsia" w:ascii="楷体_GB2312" w:eastAsia="楷体_GB2312"/>
          <w:sz w:val="36"/>
          <w:szCs w:val="36"/>
        </w:rPr>
        <w:t>中华人民共和国生态环境部制</w:t>
      </w:r>
    </w:p>
    <w:p w14:paraId="7F3A6BA2">
      <w:pPr>
        <w:adjustRightInd w:val="0"/>
        <w:snapToGrid w:val="0"/>
        <w:spacing w:line="288" w:lineRule="auto"/>
        <w:ind w:firstLine="1040"/>
        <w:rPr>
          <w:rFonts w:ascii="仿宋_GB2312" w:eastAsia="仿宋_GB2312"/>
          <w:sz w:val="36"/>
          <w:szCs w:val="36"/>
        </w:rPr>
        <w:sectPr>
          <w:footerReference r:id="rId3" w:type="default"/>
          <w:footerReference r:id="rId4" w:type="even"/>
          <w:pgSz w:w="11906" w:h="16838"/>
          <w:pgMar w:top="1701" w:right="1531" w:bottom="1701" w:left="1531" w:header="851" w:footer="1077" w:gutter="0"/>
          <w:pgNumType w:start="21"/>
          <w:cols w:space="720" w:num="1"/>
          <w:docGrid w:linePitch="312" w:charSpace="0"/>
        </w:sectPr>
      </w:pPr>
    </w:p>
    <w:p w14:paraId="5DF1AFBD">
      <w:pPr>
        <w:pStyle w:val="21"/>
        <w:jc w:val="center"/>
        <w:outlineLvl w:val="0"/>
        <w:rPr>
          <w:rFonts w:ascii="黑体" w:hAnsi="黑体" w:eastAsia="黑体"/>
          <w:snapToGrid w:val="0"/>
          <w:sz w:val="30"/>
          <w:szCs w:val="30"/>
        </w:rPr>
      </w:pPr>
      <w:r>
        <w:rPr>
          <w:rFonts w:hint="eastAsia" w:ascii="黑体" w:hAnsi="黑体" w:eastAsia="黑体"/>
          <w:snapToGrid w:val="0"/>
          <w:sz w:val="30"/>
          <w:szCs w:val="30"/>
        </w:rPr>
        <w:t>一、建设项目基本情况</w:t>
      </w:r>
    </w:p>
    <w:tbl>
      <w:tblPr>
        <w:tblStyle w:val="29"/>
        <w:tblW w:w="9039" w:type="dxa"/>
        <w:tblInd w:w="16"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122"/>
        <w:gridCol w:w="3147"/>
        <w:gridCol w:w="2082"/>
        <w:gridCol w:w="2688"/>
      </w:tblGrid>
      <w:tr w14:paraId="0A8BB9B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2" w:hRule="atLeast"/>
        </w:trPr>
        <w:tc>
          <w:tcPr>
            <w:tcW w:w="1122" w:type="dxa"/>
            <w:tcMar>
              <w:top w:w="16" w:type="dxa"/>
              <w:left w:w="16" w:type="dxa"/>
              <w:right w:w="16" w:type="dxa"/>
            </w:tcMar>
            <w:vAlign w:val="center"/>
          </w:tcPr>
          <w:p w14:paraId="006AD725">
            <w:pPr>
              <w:adjustRightInd w:val="0"/>
              <w:snapToGrid w:val="0"/>
              <w:jc w:val="center"/>
              <w:rPr>
                <w:sz w:val="24"/>
              </w:rPr>
            </w:pPr>
            <w:r>
              <w:rPr>
                <w:sz w:val="24"/>
              </w:rPr>
              <w:t>建设项目名称</w:t>
            </w:r>
          </w:p>
        </w:tc>
        <w:tc>
          <w:tcPr>
            <w:tcW w:w="7917" w:type="dxa"/>
            <w:gridSpan w:val="3"/>
            <w:vAlign w:val="center"/>
          </w:tcPr>
          <w:p w14:paraId="3E25934B">
            <w:pPr>
              <w:adjustRightInd w:val="0"/>
              <w:snapToGrid w:val="0"/>
              <w:jc w:val="center"/>
              <w:rPr>
                <w:sz w:val="24"/>
              </w:rPr>
            </w:pPr>
            <w:r>
              <w:rPr>
                <w:rFonts w:hint="eastAsia"/>
                <w:sz w:val="24"/>
              </w:rPr>
              <w:t>盂县石鑫矿业有限公司年开采饰面用花岗岩2万m</w:t>
            </w:r>
            <w:r>
              <w:rPr>
                <w:rFonts w:hint="eastAsia"/>
                <w:sz w:val="24"/>
                <w:vertAlign w:val="superscript"/>
              </w:rPr>
              <w:t>3</w:t>
            </w:r>
            <w:r>
              <w:rPr>
                <w:rFonts w:hint="eastAsia"/>
                <w:sz w:val="24"/>
              </w:rPr>
              <w:t>扩建项目</w:t>
            </w:r>
          </w:p>
        </w:tc>
      </w:tr>
      <w:tr w14:paraId="22B8244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55" w:hRule="atLeast"/>
        </w:trPr>
        <w:tc>
          <w:tcPr>
            <w:tcW w:w="1122" w:type="dxa"/>
            <w:tcMar>
              <w:top w:w="16" w:type="dxa"/>
              <w:left w:w="16" w:type="dxa"/>
              <w:right w:w="16" w:type="dxa"/>
            </w:tcMar>
            <w:vAlign w:val="center"/>
          </w:tcPr>
          <w:p w14:paraId="1B48EFD7">
            <w:pPr>
              <w:adjustRightInd w:val="0"/>
              <w:snapToGrid w:val="0"/>
              <w:jc w:val="center"/>
              <w:rPr>
                <w:sz w:val="24"/>
              </w:rPr>
            </w:pPr>
            <w:r>
              <w:rPr>
                <w:sz w:val="24"/>
              </w:rPr>
              <w:t>项目代码</w:t>
            </w:r>
          </w:p>
        </w:tc>
        <w:tc>
          <w:tcPr>
            <w:tcW w:w="7917" w:type="dxa"/>
            <w:gridSpan w:val="3"/>
            <w:vAlign w:val="center"/>
          </w:tcPr>
          <w:p w14:paraId="43B8FA60">
            <w:pPr>
              <w:adjustRightInd w:val="0"/>
              <w:snapToGrid w:val="0"/>
              <w:jc w:val="center"/>
              <w:rPr>
                <w:sz w:val="24"/>
              </w:rPr>
            </w:pPr>
            <w:r>
              <w:rPr>
                <w:rFonts w:hint="eastAsia"/>
                <w:sz w:val="24"/>
              </w:rPr>
              <w:t>2510-140322-89-05-495851</w:t>
            </w:r>
          </w:p>
        </w:tc>
      </w:tr>
      <w:tr w14:paraId="243F153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2" w:hRule="atLeast"/>
        </w:trPr>
        <w:tc>
          <w:tcPr>
            <w:tcW w:w="1122" w:type="dxa"/>
            <w:tcMar>
              <w:top w:w="16" w:type="dxa"/>
              <w:left w:w="16" w:type="dxa"/>
              <w:right w:w="16" w:type="dxa"/>
            </w:tcMar>
            <w:vAlign w:val="center"/>
          </w:tcPr>
          <w:p w14:paraId="53BDCA67">
            <w:pPr>
              <w:adjustRightInd w:val="0"/>
              <w:snapToGrid w:val="0"/>
              <w:jc w:val="center"/>
              <w:rPr>
                <w:sz w:val="24"/>
              </w:rPr>
            </w:pPr>
            <w:r>
              <w:rPr>
                <w:sz w:val="24"/>
              </w:rPr>
              <w:t>建设单位联系人</w:t>
            </w:r>
          </w:p>
        </w:tc>
        <w:tc>
          <w:tcPr>
            <w:tcW w:w="3147" w:type="dxa"/>
            <w:vAlign w:val="center"/>
          </w:tcPr>
          <w:p w14:paraId="53F930AD">
            <w:pPr>
              <w:adjustRightInd w:val="0"/>
              <w:snapToGrid w:val="0"/>
              <w:jc w:val="center"/>
              <w:rPr>
                <w:sz w:val="24"/>
              </w:rPr>
            </w:pPr>
            <w:r>
              <w:rPr>
                <w:rFonts w:hint="eastAsia"/>
                <w:sz w:val="24"/>
              </w:rPr>
              <w:t>杨春明</w:t>
            </w:r>
          </w:p>
        </w:tc>
        <w:tc>
          <w:tcPr>
            <w:tcW w:w="2082" w:type="dxa"/>
            <w:vAlign w:val="center"/>
          </w:tcPr>
          <w:p w14:paraId="7C413F01">
            <w:pPr>
              <w:adjustRightInd w:val="0"/>
              <w:snapToGrid w:val="0"/>
              <w:jc w:val="center"/>
              <w:rPr>
                <w:sz w:val="24"/>
              </w:rPr>
            </w:pPr>
            <w:r>
              <w:rPr>
                <w:sz w:val="24"/>
              </w:rPr>
              <w:t>联系方式</w:t>
            </w:r>
          </w:p>
        </w:tc>
        <w:tc>
          <w:tcPr>
            <w:tcW w:w="2688" w:type="dxa"/>
            <w:vAlign w:val="center"/>
          </w:tcPr>
          <w:p w14:paraId="43C74376">
            <w:pPr>
              <w:adjustRightInd w:val="0"/>
              <w:snapToGrid w:val="0"/>
              <w:jc w:val="center"/>
              <w:rPr>
                <w:rFonts w:hint="default" w:eastAsia="宋体"/>
                <w:sz w:val="24"/>
                <w:lang w:val="en-US" w:eastAsia="zh-CN"/>
              </w:rPr>
            </w:pPr>
            <w:r>
              <w:rPr>
                <w:rFonts w:hint="eastAsia"/>
                <w:sz w:val="24"/>
              </w:rPr>
              <w:t>13080339559</w:t>
            </w:r>
            <w:r>
              <w:rPr>
                <w:rFonts w:hint="eastAsia"/>
                <w:sz w:val="24"/>
                <w:lang w:eastAsia="zh-CN"/>
              </w:rPr>
              <w:t>（</w:t>
            </w:r>
            <w:r>
              <w:rPr>
                <w:rFonts w:hint="eastAsia"/>
                <w:sz w:val="24"/>
                <w:lang w:val="en-US" w:eastAsia="zh-CN"/>
              </w:rPr>
              <w:t>工作电话）</w:t>
            </w:r>
            <w:bookmarkStart w:id="32" w:name="_GoBack"/>
            <w:bookmarkEnd w:id="32"/>
          </w:p>
        </w:tc>
      </w:tr>
      <w:tr w14:paraId="429CE2B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2" w:hRule="atLeast"/>
        </w:trPr>
        <w:tc>
          <w:tcPr>
            <w:tcW w:w="1122" w:type="dxa"/>
            <w:tcMar>
              <w:top w:w="16" w:type="dxa"/>
              <w:left w:w="16" w:type="dxa"/>
              <w:right w:w="16" w:type="dxa"/>
            </w:tcMar>
            <w:vAlign w:val="center"/>
          </w:tcPr>
          <w:p w14:paraId="2FCFCF5A">
            <w:pPr>
              <w:adjustRightInd w:val="0"/>
              <w:snapToGrid w:val="0"/>
              <w:jc w:val="center"/>
              <w:rPr>
                <w:sz w:val="24"/>
              </w:rPr>
            </w:pPr>
            <w:r>
              <w:rPr>
                <w:sz w:val="24"/>
              </w:rPr>
              <w:t>建设地点</w:t>
            </w:r>
          </w:p>
        </w:tc>
        <w:tc>
          <w:tcPr>
            <w:tcW w:w="7917" w:type="dxa"/>
            <w:gridSpan w:val="3"/>
            <w:vAlign w:val="center"/>
          </w:tcPr>
          <w:p w14:paraId="387B84B3">
            <w:pPr>
              <w:adjustRightInd w:val="0"/>
              <w:snapToGrid w:val="0"/>
              <w:jc w:val="center"/>
              <w:rPr>
                <w:sz w:val="24"/>
              </w:rPr>
            </w:pPr>
            <w:r>
              <w:rPr>
                <w:rFonts w:hint="eastAsia"/>
                <w:sz w:val="24"/>
              </w:rPr>
              <w:t>山西省</w:t>
            </w:r>
            <w:r>
              <w:rPr>
                <w:sz w:val="24"/>
              </w:rPr>
              <w:t>阳泉市盂县</w:t>
            </w:r>
            <w:r>
              <w:rPr>
                <w:rFonts w:hint="eastAsia"/>
                <w:sz w:val="24"/>
              </w:rPr>
              <w:t>西潘乡宋庄村东侧</w:t>
            </w:r>
            <w:r>
              <w:rPr>
                <w:sz w:val="24"/>
              </w:rPr>
              <w:t>约</w:t>
            </w:r>
            <w:r>
              <w:rPr>
                <w:rFonts w:hint="eastAsia"/>
                <w:sz w:val="24"/>
              </w:rPr>
              <w:t>530</w:t>
            </w:r>
            <w:r>
              <w:rPr>
                <w:sz w:val="24"/>
              </w:rPr>
              <w:t>m</w:t>
            </w:r>
          </w:p>
        </w:tc>
      </w:tr>
      <w:tr w14:paraId="2F1886D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55" w:hRule="atLeast"/>
        </w:trPr>
        <w:tc>
          <w:tcPr>
            <w:tcW w:w="1122" w:type="dxa"/>
            <w:tcMar>
              <w:top w:w="16" w:type="dxa"/>
              <w:left w:w="16" w:type="dxa"/>
              <w:right w:w="16" w:type="dxa"/>
            </w:tcMar>
            <w:vAlign w:val="center"/>
          </w:tcPr>
          <w:p w14:paraId="46E965B3">
            <w:pPr>
              <w:adjustRightInd w:val="0"/>
              <w:snapToGrid w:val="0"/>
              <w:jc w:val="center"/>
              <w:rPr>
                <w:sz w:val="24"/>
              </w:rPr>
            </w:pPr>
            <w:r>
              <w:rPr>
                <w:sz w:val="24"/>
              </w:rPr>
              <w:t>地理坐标</w:t>
            </w:r>
          </w:p>
        </w:tc>
        <w:tc>
          <w:tcPr>
            <w:tcW w:w="7917" w:type="dxa"/>
            <w:gridSpan w:val="3"/>
            <w:vAlign w:val="center"/>
          </w:tcPr>
          <w:p w14:paraId="5D0DD83E">
            <w:pPr>
              <w:ind w:left="1680" w:hanging="1680" w:hangingChars="700"/>
              <w:jc w:val="left"/>
              <w:rPr>
                <w:sz w:val="24"/>
              </w:rPr>
            </w:pPr>
            <w:r>
              <w:rPr>
                <w:rFonts w:hint="eastAsia"/>
                <w:sz w:val="24"/>
              </w:rPr>
              <w:t>采场</w:t>
            </w:r>
            <w:r>
              <w:rPr>
                <w:sz w:val="24"/>
              </w:rPr>
              <w:t>中心坐标：113°</w:t>
            </w:r>
            <w:r>
              <w:rPr>
                <w:rFonts w:hint="eastAsia"/>
                <w:sz w:val="24"/>
              </w:rPr>
              <w:t>11</w:t>
            </w:r>
            <w:r>
              <w:rPr>
                <w:sz w:val="24"/>
              </w:rPr>
              <w:t>′</w:t>
            </w:r>
            <w:r>
              <w:rPr>
                <w:rFonts w:hint="eastAsia"/>
                <w:sz w:val="24"/>
              </w:rPr>
              <w:t>54.139</w:t>
            </w:r>
            <w:r>
              <w:rPr>
                <w:sz w:val="24"/>
              </w:rPr>
              <w:t>″E，3</w:t>
            </w:r>
            <w:r>
              <w:rPr>
                <w:rFonts w:hint="eastAsia"/>
                <w:sz w:val="24"/>
              </w:rPr>
              <w:t>8</w:t>
            </w:r>
            <w:r>
              <w:rPr>
                <w:sz w:val="24"/>
              </w:rPr>
              <w:t>°</w:t>
            </w:r>
            <w:r>
              <w:rPr>
                <w:rFonts w:hint="eastAsia"/>
                <w:sz w:val="24"/>
              </w:rPr>
              <w:t>20</w:t>
            </w:r>
            <w:r>
              <w:rPr>
                <w:sz w:val="24"/>
              </w:rPr>
              <w:t>′</w:t>
            </w:r>
            <w:r>
              <w:rPr>
                <w:rFonts w:hint="eastAsia"/>
                <w:sz w:val="24"/>
              </w:rPr>
              <w:t>16.481</w:t>
            </w:r>
            <w:r>
              <w:rPr>
                <w:sz w:val="24"/>
              </w:rPr>
              <w:t>″N</w:t>
            </w:r>
          </w:p>
          <w:p w14:paraId="7620C707">
            <w:pPr>
              <w:jc w:val="left"/>
              <w:rPr>
                <w:sz w:val="24"/>
              </w:rPr>
            </w:pPr>
            <w:r>
              <w:rPr>
                <w:sz w:val="24"/>
              </w:rPr>
              <w:t>排土场中心坐标：</w:t>
            </w:r>
            <w:r>
              <w:rPr>
                <w:kern w:val="0"/>
                <w:sz w:val="24"/>
              </w:rPr>
              <w:t>113°</w:t>
            </w:r>
            <w:r>
              <w:rPr>
                <w:rFonts w:hint="eastAsia"/>
                <w:kern w:val="0"/>
                <w:sz w:val="24"/>
              </w:rPr>
              <w:t>11</w:t>
            </w:r>
            <w:r>
              <w:rPr>
                <w:kern w:val="0"/>
                <w:sz w:val="24"/>
              </w:rPr>
              <w:t>′</w:t>
            </w:r>
            <w:r>
              <w:rPr>
                <w:rFonts w:hint="eastAsia"/>
                <w:kern w:val="0"/>
                <w:sz w:val="24"/>
              </w:rPr>
              <w:t>59.856</w:t>
            </w:r>
            <w:r>
              <w:rPr>
                <w:kern w:val="0"/>
                <w:sz w:val="24"/>
              </w:rPr>
              <w:t>″</w:t>
            </w:r>
            <w:r>
              <w:rPr>
                <w:sz w:val="24"/>
              </w:rPr>
              <w:t>E</w:t>
            </w:r>
            <w:r>
              <w:rPr>
                <w:rFonts w:hint="eastAsia"/>
                <w:kern w:val="0"/>
                <w:sz w:val="24"/>
              </w:rPr>
              <w:t>，38</w:t>
            </w:r>
            <w:r>
              <w:rPr>
                <w:kern w:val="0"/>
                <w:sz w:val="24"/>
              </w:rPr>
              <w:t>°</w:t>
            </w:r>
            <w:r>
              <w:rPr>
                <w:rFonts w:hint="eastAsia"/>
                <w:kern w:val="0"/>
                <w:sz w:val="24"/>
              </w:rPr>
              <w:t>20</w:t>
            </w:r>
            <w:r>
              <w:rPr>
                <w:kern w:val="0"/>
                <w:sz w:val="24"/>
              </w:rPr>
              <w:t>′</w:t>
            </w:r>
            <w:r>
              <w:rPr>
                <w:rFonts w:hint="eastAsia"/>
                <w:kern w:val="0"/>
                <w:sz w:val="24"/>
              </w:rPr>
              <w:t>26.266</w:t>
            </w:r>
            <w:r>
              <w:rPr>
                <w:kern w:val="0"/>
                <w:sz w:val="24"/>
              </w:rPr>
              <w:t>″</w:t>
            </w:r>
            <w:r>
              <w:rPr>
                <w:sz w:val="24"/>
              </w:rPr>
              <w:t>N</w:t>
            </w:r>
          </w:p>
          <w:p w14:paraId="6CE47BDC">
            <w:pPr>
              <w:adjustRightInd w:val="0"/>
              <w:snapToGrid w:val="0"/>
              <w:rPr>
                <w:sz w:val="24"/>
              </w:rPr>
            </w:pPr>
            <w:r>
              <w:rPr>
                <w:sz w:val="24"/>
              </w:rPr>
              <w:t>1号办公生活区中心坐标：</w:t>
            </w:r>
            <w:r>
              <w:rPr>
                <w:kern w:val="0"/>
                <w:sz w:val="24"/>
              </w:rPr>
              <w:t>113°</w:t>
            </w:r>
            <w:r>
              <w:rPr>
                <w:rFonts w:hint="eastAsia"/>
                <w:kern w:val="0"/>
                <w:sz w:val="24"/>
              </w:rPr>
              <w:t>11</w:t>
            </w:r>
            <w:r>
              <w:rPr>
                <w:kern w:val="0"/>
                <w:sz w:val="24"/>
              </w:rPr>
              <w:t>′</w:t>
            </w:r>
            <w:r>
              <w:rPr>
                <w:rFonts w:hint="eastAsia"/>
                <w:kern w:val="0"/>
                <w:sz w:val="24"/>
              </w:rPr>
              <w:t>47.743</w:t>
            </w:r>
            <w:r>
              <w:rPr>
                <w:kern w:val="0"/>
                <w:sz w:val="24"/>
              </w:rPr>
              <w:t>″</w:t>
            </w:r>
            <w:r>
              <w:rPr>
                <w:sz w:val="24"/>
              </w:rPr>
              <w:t>E</w:t>
            </w:r>
            <w:r>
              <w:rPr>
                <w:kern w:val="0"/>
                <w:sz w:val="24"/>
              </w:rPr>
              <w:t>，</w:t>
            </w:r>
            <w:r>
              <w:rPr>
                <w:rFonts w:hint="eastAsia"/>
                <w:kern w:val="0"/>
                <w:sz w:val="24"/>
              </w:rPr>
              <w:t>38</w:t>
            </w:r>
            <w:r>
              <w:rPr>
                <w:kern w:val="0"/>
                <w:sz w:val="24"/>
              </w:rPr>
              <w:t>°</w:t>
            </w:r>
            <w:r>
              <w:rPr>
                <w:rFonts w:hint="eastAsia"/>
                <w:kern w:val="0"/>
                <w:sz w:val="24"/>
              </w:rPr>
              <w:t>20</w:t>
            </w:r>
            <w:r>
              <w:rPr>
                <w:kern w:val="0"/>
                <w:sz w:val="24"/>
              </w:rPr>
              <w:t>′</w:t>
            </w:r>
            <w:r>
              <w:rPr>
                <w:rFonts w:hint="eastAsia"/>
                <w:kern w:val="0"/>
                <w:sz w:val="24"/>
              </w:rPr>
              <w:t>9.332</w:t>
            </w:r>
            <w:r>
              <w:rPr>
                <w:kern w:val="0"/>
                <w:sz w:val="24"/>
              </w:rPr>
              <w:t>″</w:t>
            </w:r>
            <w:r>
              <w:rPr>
                <w:sz w:val="24"/>
              </w:rPr>
              <w:t>N</w:t>
            </w:r>
          </w:p>
          <w:p w14:paraId="14CBEDAE">
            <w:pPr>
              <w:adjustRightInd w:val="0"/>
              <w:snapToGrid w:val="0"/>
              <w:rPr>
                <w:sz w:val="24"/>
                <w:highlight w:val="red"/>
              </w:rPr>
            </w:pPr>
            <w:r>
              <w:rPr>
                <w:rFonts w:hint="eastAsia"/>
                <w:sz w:val="24"/>
              </w:rPr>
              <w:t>2</w:t>
            </w:r>
            <w:r>
              <w:rPr>
                <w:sz w:val="24"/>
              </w:rPr>
              <w:t>号办公生活区中心坐标：</w:t>
            </w:r>
            <w:r>
              <w:rPr>
                <w:kern w:val="0"/>
                <w:sz w:val="24"/>
              </w:rPr>
              <w:t>113°</w:t>
            </w:r>
            <w:r>
              <w:rPr>
                <w:rFonts w:hint="eastAsia"/>
                <w:kern w:val="0"/>
                <w:sz w:val="24"/>
              </w:rPr>
              <w:t>11</w:t>
            </w:r>
            <w:r>
              <w:rPr>
                <w:kern w:val="0"/>
                <w:sz w:val="24"/>
              </w:rPr>
              <w:t>′</w:t>
            </w:r>
            <w:r>
              <w:rPr>
                <w:rFonts w:hint="eastAsia"/>
                <w:kern w:val="0"/>
                <w:sz w:val="24"/>
              </w:rPr>
              <w:t>58.248</w:t>
            </w:r>
            <w:r>
              <w:rPr>
                <w:kern w:val="0"/>
                <w:sz w:val="24"/>
              </w:rPr>
              <w:t>″</w:t>
            </w:r>
            <w:r>
              <w:rPr>
                <w:sz w:val="24"/>
              </w:rPr>
              <w:t>E</w:t>
            </w:r>
            <w:r>
              <w:rPr>
                <w:kern w:val="0"/>
                <w:sz w:val="24"/>
              </w:rPr>
              <w:t>，</w:t>
            </w:r>
            <w:r>
              <w:rPr>
                <w:rFonts w:hint="eastAsia"/>
                <w:kern w:val="0"/>
                <w:sz w:val="24"/>
              </w:rPr>
              <w:t>38</w:t>
            </w:r>
            <w:r>
              <w:rPr>
                <w:kern w:val="0"/>
                <w:sz w:val="24"/>
              </w:rPr>
              <w:t>°</w:t>
            </w:r>
            <w:r>
              <w:rPr>
                <w:rFonts w:hint="eastAsia"/>
                <w:kern w:val="0"/>
                <w:sz w:val="24"/>
              </w:rPr>
              <w:t>20</w:t>
            </w:r>
            <w:r>
              <w:rPr>
                <w:kern w:val="0"/>
                <w:sz w:val="24"/>
              </w:rPr>
              <w:t>′</w:t>
            </w:r>
            <w:r>
              <w:rPr>
                <w:rFonts w:hint="eastAsia"/>
                <w:kern w:val="0"/>
                <w:sz w:val="24"/>
              </w:rPr>
              <w:t>23.597</w:t>
            </w:r>
            <w:r>
              <w:rPr>
                <w:kern w:val="0"/>
                <w:sz w:val="24"/>
              </w:rPr>
              <w:t>″</w:t>
            </w:r>
            <w:r>
              <w:rPr>
                <w:sz w:val="24"/>
              </w:rPr>
              <w:t>N</w:t>
            </w:r>
          </w:p>
        </w:tc>
      </w:tr>
      <w:tr w14:paraId="6FFDC8F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15" w:hRule="atLeast"/>
        </w:trPr>
        <w:tc>
          <w:tcPr>
            <w:tcW w:w="1122" w:type="dxa"/>
            <w:tcMar>
              <w:top w:w="16" w:type="dxa"/>
              <w:left w:w="16" w:type="dxa"/>
              <w:right w:w="16" w:type="dxa"/>
            </w:tcMar>
            <w:vAlign w:val="center"/>
          </w:tcPr>
          <w:p w14:paraId="095F7875">
            <w:pPr>
              <w:adjustRightInd w:val="0"/>
              <w:snapToGrid w:val="0"/>
              <w:jc w:val="center"/>
              <w:rPr>
                <w:sz w:val="24"/>
              </w:rPr>
            </w:pPr>
            <w:r>
              <w:rPr>
                <w:sz w:val="24"/>
              </w:rPr>
              <w:t>建设项目</w:t>
            </w:r>
          </w:p>
          <w:p w14:paraId="697FCA5D">
            <w:pPr>
              <w:adjustRightInd w:val="0"/>
              <w:snapToGrid w:val="0"/>
              <w:jc w:val="center"/>
              <w:rPr>
                <w:sz w:val="24"/>
              </w:rPr>
            </w:pPr>
            <w:r>
              <w:rPr>
                <w:sz w:val="24"/>
              </w:rPr>
              <w:t>行业类别</w:t>
            </w:r>
          </w:p>
        </w:tc>
        <w:tc>
          <w:tcPr>
            <w:tcW w:w="3147" w:type="dxa"/>
            <w:vAlign w:val="center"/>
          </w:tcPr>
          <w:p w14:paraId="65D79837">
            <w:pPr>
              <w:widowControl/>
              <w:spacing w:line="280" w:lineRule="exact"/>
              <w:jc w:val="left"/>
              <w:rPr>
                <w:sz w:val="24"/>
              </w:rPr>
            </w:pPr>
            <w:r>
              <w:rPr>
                <w:sz w:val="24"/>
              </w:rPr>
              <w:t>08-011土砂石开采（不含河道采砂项目）</w:t>
            </w:r>
          </w:p>
        </w:tc>
        <w:tc>
          <w:tcPr>
            <w:tcW w:w="2082" w:type="dxa"/>
            <w:vAlign w:val="center"/>
          </w:tcPr>
          <w:p w14:paraId="0462289C">
            <w:pPr>
              <w:adjustRightInd w:val="0"/>
              <w:snapToGrid w:val="0"/>
              <w:jc w:val="center"/>
              <w:rPr>
                <w:sz w:val="24"/>
              </w:rPr>
            </w:pPr>
            <w:r>
              <w:rPr>
                <w:sz w:val="24"/>
              </w:rPr>
              <w:t>用地面积（m</w:t>
            </w:r>
            <w:r>
              <w:rPr>
                <w:sz w:val="24"/>
                <w:vertAlign w:val="superscript"/>
              </w:rPr>
              <w:t>2</w:t>
            </w:r>
            <w:r>
              <w:rPr>
                <w:sz w:val="24"/>
              </w:rPr>
              <w:t>）/</w:t>
            </w:r>
          </w:p>
          <w:p w14:paraId="3DE15491">
            <w:pPr>
              <w:adjustRightInd w:val="0"/>
              <w:snapToGrid w:val="0"/>
              <w:jc w:val="center"/>
              <w:rPr>
                <w:sz w:val="24"/>
              </w:rPr>
            </w:pPr>
            <w:r>
              <w:rPr>
                <w:sz w:val="24"/>
              </w:rPr>
              <w:t>长度（km）</w:t>
            </w:r>
          </w:p>
        </w:tc>
        <w:tc>
          <w:tcPr>
            <w:tcW w:w="2688" w:type="dxa"/>
            <w:vAlign w:val="center"/>
          </w:tcPr>
          <w:p w14:paraId="17A7C93F">
            <w:pPr>
              <w:adjustRightInd w:val="0"/>
              <w:snapToGrid w:val="0"/>
              <w:jc w:val="center"/>
              <w:rPr>
                <w:sz w:val="24"/>
              </w:rPr>
            </w:pPr>
            <w:r>
              <w:rPr>
                <w:rFonts w:hint="eastAsia"/>
                <w:sz w:val="24"/>
              </w:rPr>
              <w:t>原</w:t>
            </w:r>
            <w:r>
              <w:rPr>
                <w:sz w:val="24"/>
              </w:rPr>
              <w:t>用地面积：</w:t>
            </w:r>
            <w:r>
              <w:rPr>
                <w:rFonts w:hint="eastAsia"/>
                <w:sz w:val="24"/>
              </w:rPr>
              <w:t>124500</w:t>
            </w:r>
            <w:r>
              <w:rPr>
                <w:sz w:val="24"/>
              </w:rPr>
              <w:t>m</w:t>
            </w:r>
            <w:r>
              <w:rPr>
                <w:sz w:val="24"/>
                <w:vertAlign w:val="superscript"/>
              </w:rPr>
              <w:t>2</w:t>
            </w:r>
            <w:r>
              <w:rPr>
                <w:sz w:val="24"/>
              </w:rPr>
              <w:t>；</w:t>
            </w:r>
          </w:p>
          <w:p w14:paraId="6DA0BED8">
            <w:pPr>
              <w:pStyle w:val="2"/>
              <w:spacing w:after="0"/>
              <w:ind w:left="0" w:leftChars="0"/>
            </w:pPr>
            <w:r>
              <w:rPr>
                <w:rFonts w:hint="eastAsia"/>
                <w:sz w:val="24"/>
              </w:rPr>
              <w:t>现用地面积：204600</w:t>
            </w:r>
            <w:r>
              <w:rPr>
                <w:sz w:val="24"/>
              </w:rPr>
              <w:t>m</w:t>
            </w:r>
            <w:r>
              <w:rPr>
                <w:sz w:val="24"/>
                <w:vertAlign w:val="superscript"/>
              </w:rPr>
              <w:t>2</w:t>
            </w:r>
            <w:r>
              <w:rPr>
                <w:sz w:val="24"/>
              </w:rPr>
              <w:t>；</w:t>
            </w:r>
          </w:p>
          <w:p w14:paraId="2EBC71E3">
            <w:pPr>
              <w:pStyle w:val="2"/>
              <w:spacing w:after="0"/>
              <w:ind w:left="0" w:leftChars="0"/>
            </w:pPr>
            <w:r>
              <w:rPr>
                <w:rFonts w:hint="eastAsia"/>
                <w:sz w:val="24"/>
              </w:rPr>
              <w:t>新增用地面积：80100</w:t>
            </w:r>
            <w:r>
              <w:rPr>
                <w:sz w:val="24"/>
              </w:rPr>
              <w:t>m</w:t>
            </w:r>
            <w:r>
              <w:rPr>
                <w:sz w:val="24"/>
                <w:vertAlign w:val="superscript"/>
              </w:rPr>
              <w:t>2</w:t>
            </w:r>
            <w:r>
              <w:rPr>
                <w:sz w:val="24"/>
              </w:rPr>
              <w:t>；</w:t>
            </w:r>
          </w:p>
        </w:tc>
      </w:tr>
      <w:tr w14:paraId="47CBF11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04" w:hRule="atLeast"/>
        </w:trPr>
        <w:tc>
          <w:tcPr>
            <w:tcW w:w="1122" w:type="dxa"/>
            <w:tcMar>
              <w:top w:w="16" w:type="dxa"/>
              <w:left w:w="16" w:type="dxa"/>
              <w:right w:w="16" w:type="dxa"/>
            </w:tcMar>
            <w:vAlign w:val="center"/>
          </w:tcPr>
          <w:p w14:paraId="31EE3B4E">
            <w:pPr>
              <w:adjustRightInd w:val="0"/>
              <w:snapToGrid w:val="0"/>
              <w:jc w:val="center"/>
              <w:rPr>
                <w:sz w:val="24"/>
              </w:rPr>
            </w:pPr>
            <w:r>
              <w:rPr>
                <w:sz w:val="24"/>
              </w:rPr>
              <w:t>建设性质</w:t>
            </w:r>
          </w:p>
        </w:tc>
        <w:tc>
          <w:tcPr>
            <w:tcW w:w="3147" w:type="dxa"/>
            <w:vAlign w:val="center"/>
          </w:tcPr>
          <w:p w14:paraId="4079F9FF">
            <w:pPr>
              <w:adjustRightInd w:val="0"/>
              <w:snapToGrid w:val="0"/>
              <w:jc w:val="left"/>
              <w:rPr>
                <w:sz w:val="24"/>
              </w:rPr>
            </w:pPr>
            <w:r>
              <w:rPr>
                <w:sz w:val="24"/>
              </w:rPr>
              <w:sym w:font="Wingdings 2" w:char="00A3"/>
            </w:r>
            <w:r>
              <w:rPr>
                <w:sz w:val="24"/>
              </w:rPr>
              <w:t>新建（迁建）</w:t>
            </w:r>
          </w:p>
          <w:p w14:paraId="15B4015D">
            <w:pPr>
              <w:adjustRightInd w:val="0"/>
              <w:snapToGrid w:val="0"/>
              <w:jc w:val="left"/>
              <w:rPr>
                <w:sz w:val="24"/>
              </w:rPr>
            </w:pPr>
            <w:r>
              <w:rPr>
                <w:sz w:val="24"/>
              </w:rPr>
              <w:sym w:font="Wingdings 2" w:char="00A3"/>
            </w:r>
            <w:r>
              <w:rPr>
                <w:sz w:val="24"/>
              </w:rPr>
              <w:t>改建</w:t>
            </w:r>
          </w:p>
          <w:p w14:paraId="0E2135C8">
            <w:pPr>
              <w:adjustRightInd w:val="0"/>
              <w:snapToGrid w:val="0"/>
              <w:jc w:val="left"/>
              <w:rPr>
                <w:sz w:val="24"/>
              </w:rPr>
            </w:pPr>
            <w:r>
              <w:rPr>
                <w:sz w:val="24"/>
              </w:rPr>
              <w:sym w:font="Wingdings 2" w:char="0052"/>
            </w:r>
            <w:r>
              <w:rPr>
                <w:sz w:val="24"/>
              </w:rPr>
              <w:t>扩建</w:t>
            </w:r>
          </w:p>
          <w:p w14:paraId="7AF2ADDB">
            <w:pPr>
              <w:adjustRightInd w:val="0"/>
              <w:snapToGrid w:val="0"/>
              <w:jc w:val="left"/>
              <w:rPr>
                <w:sz w:val="24"/>
              </w:rPr>
            </w:pPr>
            <w:r>
              <w:rPr>
                <w:sz w:val="24"/>
              </w:rPr>
              <w:sym w:font="Wingdings 2" w:char="00A3"/>
            </w:r>
            <w:r>
              <w:rPr>
                <w:sz w:val="24"/>
              </w:rPr>
              <w:t>技术改造</w:t>
            </w:r>
          </w:p>
        </w:tc>
        <w:tc>
          <w:tcPr>
            <w:tcW w:w="2082" w:type="dxa"/>
            <w:vAlign w:val="center"/>
          </w:tcPr>
          <w:p w14:paraId="0DD7EF0C">
            <w:pPr>
              <w:adjustRightInd w:val="0"/>
              <w:snapToGrid w:val="0"/>
              <w:jc w:val="center"/>
              <w:rPr>
                <w:sz w:val="24"/>
              </w:rPr>
            </w:pPr>
            <w:r>
              <w:rPr>
                <w:sz w:val="24"/>
              </w:rPr>
              <w:t>建设项目</w:t>
            </w:r>
          </w:p>
          <w:p w14:paraId="67FBDF1C">
            <w:pPr>
              <w:adjustRightInd w:val="0"/>
              <w:snapToGrid w:val="0"/>
              <w:jc w:val="center"/>
              <w:rPr>
                <w:sz w:val="24"/>
              </w:rPr>
            </w:pPr>
            <w:r>
              <w:rPr>
                <w:sz w:val="24"/>
              </w:rPr>
              <w:t>申报情形</w:t>
            </w:r>
          </w:p>
        </w:tc>
        <w:tc>
          <w:tcPr>
            <w:tcW w:w="2688" w:type="dxa"/>
            <w:vAlign w:val="center"/>
          </w:tcPr>
          <w:p w14:paraId="7C913928">
            <w:pPr>
              <w:adjustRightInd w:val="0"/>
              <w:snapToGrid w:val="0"/>
              <w:jc w:val="left"/>
              <w:rPr>
                <w:sz w:val="24"/>
              </w:rPr>
            </w:pPr>
            <w:r>
              <w:rPr>
                <w:sz w:val="24"/>
              </w:rPr>
              <w:sym w:font="Wingdings 2" w:char="0052"/>
            </w:r>
            <w:r>
              <w:rPr>
                <w:sz w:val="24"/>
              </w:rPr>
              <w:t>首次申报项目</w:t>
            </w:r>
          </w:p>
          <w:p w14:paraId="3C2AFABA">
            <w:pPr>
              <w:adjustRightInd w:val="0"/>
              <w:snapToGrid w:val="0"/>
              <w:jc w:val="left"/>
              <w:rPr>
                <w:sz w:val="24"/>
              </w:rPr>
            </w:pPr>
            <w:r>
              <w:rPr>
                <w:sz w:val="24"/>
              </w:rPr>
              <w:sym w:font="Wingdings 2" w:char="00A3"/>
            </w:r>
            <w:r>
              <w:rPr>
                <w:sz w:val="24"/>
              </w:rPr>
              <w:t>不予批准后再次申报项目</w:t>
            </w:r>
          </w:p>
          <w:p w14:paraId="4D9E89EF">
            <w:pPr>
              <w:adjustRightInd w:val="0"/>
              <w:snapToGrid w:val="0"/>
              <w:jc w:val="left"/>
              <w:rPr>
                <w:sz w:val="24"/>
              </w:rPr>
            </w:pPr>
            <w:r>
              <w:rPr>
                <w:sz w:val="24"/>
              </w:rPr>
              <w:sym w:font="Wingdings 2" w:char="00A3"/>
            </w:r>
            <w:r>
              <w:rPr>
                <w:sz w:val="24"/>
              </w:rPr>
              <w:t>超五年重新审核项目</w:t>
            </w:r>
          </w:p>
          <w:p w14:paraId="47F00C01">
            <w:pPr>
              <w:adjustRightInd w:val="0"/>
              <w:snapToGrid w:val="0"/>
              <w:rPr>
                <w:sz w:val="24"/>
              </w:rPr>
            </w:pPr>
            <w:r>
              <w:rPr>
                <w:sz w:val="24"/>
              </w:rPr>
              <w:sym w:font="Wingdings 2" w:char="00A3"/>
            </w:r>
            <w:r>
              <w:rPr>
                <w:sz w:val="24"/>
              </w:rPr>
              <w:t>重大变动重新报批项目</w:t>
            </w:r>
          </w:p>
        </w:tc>
      </w:tr>
      <w:tr w14:paraId="7C4E881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62" w:hRule="atLeast"/>
        </w:trPr>
        <w:tc>
          <w:tcPr>
            <w:tcW w:w="1122" w:type="dxa"/>
            <w:tcMar>
              <w:top w:w="16" w:type="dxa"/>
              <w:left w:w="16" w:type="dxa"/>
              <w:right w:w="16" w:type="dxa"/>
            </w:tcMar>
            <w:vAlign w:val="center"/>
          </w:tcPr>
          <w:p w14:paraId="67F066F6">
            <w:pPr>
              <w:adjustRightInd w:val="0"/>
              <w:snapToGrid w:val="0"/>
              <w:jc w:val="center"/>
              <w:rPr>
                <w:sz w:val="24"/>
              </w:rPr>
            </w:pPr>
            <w:r>
              <w:rPr>
                <w:sz w:val="24"/>
              </w:rPr>
              <w:t>项目审批（核准/</w:t>
            </w:r>
          </w:p>
          <w:p w14:paraId="6857315A">
            <w:pPr>
              <w:adjustRightInd w:val="0"/>
              <w:snapToGrid w:val="0"/>
              <w:jc w:val="center"/>
              <w:rPr>
                <w:sz w:val="24"/>
              </w:rPr>
            </w:pPr>
            <w:r>
              <w:rPr>
                <w:sz w:val="24"/>
              </w:rPr>
              <w:t>备案）部门</w:t>
            </w:r>
          </w:p>
        </w:tc>
        <w:tc>
          <w:tcPr>
            <w:tcW w:w="3147" w:type="dxa"/>
            <w:vAlign w:val="center"/>
          </w:tcPr>
          <w:p w14:paraId="008CF0A9">
            <w:pPr>
              <w:adjustRightInd w:val="0"/>
              <w:snapToGrid w:val="0"/>
              <w:jc w:val="center"/>
              <w:rPr>
                <w:sz w:val="24"/>
              </w:rPr>
            </w:pPr>
            <w:r>
              <w:rPr>
                <w:rFonts w:hint="eastAsia"/>
                <w:sz w:val="24"/>
              </w:rPr>
              <w:t>盂县行政审批服务管理局</w:t>
            </w:r>
          </w:p>
        </w:tc>
        <w:tc>
          <w:tcPr>
            <w:tcW w:w="2082" w:type="dxa"/>
            <w:vAlign w:val="center"/>
          </w:tcPr>
          <w:p w14:paraId="70FD42CF">
            <w:pPr>
              <w:adjustRightInd w:val="0"/>
              <w:snapToGrid w:val="0"/>
              <w:jc w:val="center"/>
              <w:rPr>
                <w:sz w:val="24"/>
              </w:rPr>
            </w:pPr>
            <w:r>
              <w:rPr>
                <w:sz w:val="24"/>
              </w:rPr>
              <w:t>项目审批（核准/</w:t>
            </w:r>
          </w:p>
          <w:p w14:paraId="1485700A">
            <w:pPr>
              <w:adjustRightInd w:val="0"/>
              <w:snapToGrid w:val="0"/>
              <w:jc w:val="center"/>
              <w:rPr>
                <w:sz w:val="24"/>
              </w:rPr>
            </w:pPr>
            <w:r>
              <w:rPr>
                <w:sz w:val="24"/>
              </w:rPr>
              <w:t>备案）文号</w:t>
            </w:r>
          </w:p>
        </w:tc>
        <w:tc>
          <w:tcPr>
            <w:tcW w:w="2688" w:type="dxa"/>
            <w:vAlign w:val="center"/>
          </w:tcPr>
          <w:p w14:paraId="0586B805">
            <w:pPr>
              <w:adjustRightInd w:val="0"/>
              <w:snapToGrid w:val="0"/>
              <w:jc w:val="center"/>
              <w:rPr>
                <w:sz w:val="24"/>
              </w:rPr>
            </w:pPr>
            <w:r>
              <w:rPr>
                <w:rFonts w:hint="eastAsia"/>
                <w:sz w:val="24"/>
              </w:rPr>
              <w:t>/</w:t>
            </w:r>
          </w:p>
        </w:tc>
      </w:tr>
      <w:tr w14:paraId="662A436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55" w:hRule="atLeast"/>
        </w:trPr>
        <w:tc>
          <w:tcPr>
            <w:tcW w:w="1122" w:type="dxa"/>
            <w:tcMar>
              <w:top w:w="16" w:type="dxa"/>
              <w:left w:w="16" w:type="dxa"/>
              <w:right w:w="16" w:type="dxa"/>
            </w:tcMar>
            <w:vAlign w:val="center"/>
          </w:tcPr>
          <w:p w14:paraId="2AD4D8B1">
            <w:pPr>
              <w:adjustRightInd w:val="0"/>
              <w:snapToGrid w:val="0"/>
              <w:jc w:val="center"/>
              <w:rPr>
                <w:sz w:val="24"/>
              </w:rPr>
            </w:pPr>
            <w:r>
              <w:rPr>
                <w:sz w:val="24"/>
              </w:rPr>
              <w:t>总投资（万元）</w:t>
            </w:r>
          </w:p>
        </w:tc>
        <w:tc>
          <w:tcPr>
            <w:tcW w:w="3147" w:type="dxa"/>
            <w:vAlign w:val="center"/>
          </w:tcPr>
          <w:p w14:paraId="10D25F5B">
            <w:pPr>
              <w:adjustRightInd w:val="0"/>
              <w:snapToGrid w:val="0"/>
              <w:jc w:val="center"/>
              <w:rPr>
                <w:sz w:val="24"/>
              </w:rPr>
            </w:pPr>
            <w:r>
              <w:rPr>
                <w:rFonts w:hint="eastAsia"/>
                <w:sz w:val="24"/>
              </w:rPr>
              <w:t>500</w:t>
            </w:r>
          </w:p>
        </w:tc>
        <w:tc>
          <w:tcPr>
            <w:tcW w:w="2082" w:type="dxa"/>
            <w:tcMar>
              <w:top w:w="16" w:type="dxa"/>
              <w:left w:w="16" w:type="dxa"/>
              <w:right w:w="16" w:type="dxa"/>
            </w:tcMar>
            <w:vAlign w:val="center"/>
          </w:tcPr>
          <w:p w14:paraId="4B174652">
            <w:pPr>
              <w:adjustRightInd w:val="0"/>
              <w:snapToGrid w:val="0"/>
              <w:jc w:val="center"/>
              <w:rPr>
                <w:sz w:val="24"/>
              </w:rPr>
            </w:pPr>
            <w:r>
              <w:rPr>
                <w:sz w:val="24"/>
              </w:rPr>
              <w:t>环保投资（万元）</w:t>
            </w:r>
          </w:p>
        </w:tc>
        <w:tc>
          <w:tcPr>
            <w:tcW w:w="2688" w:type="dxa"/>
            <w:vAlign w:val="center"/>
          </w:tcPr>
          <w:p w14:paraId="56E46E2E">
            <w:pPr>
              <w:adjustRightInd w:val="0"/>
              <w:snapToGrid w:val="0"/>
              <w:jc w:val="center"/>
              <w:rPr>
                <w:rFonts w:hint="default" w:eastAsia="宋体"/>
                <w:sz w:val="24"/>
                <w:lang w:val="en-US" w:eastAsia="zh-CN"/>
              </w:rPr>
            </w:pPr>
            <w:r>
              <w:rPr>
                <w:rFonts w:hint="eastAsia"/>
                <w:sz w:val="24"/>
                <w:lang w:val="en-US" w:eastAsia="zh-CN"/>
              </w:rPr>
              <w:t>178</w:t>
            </w:r>
          </w:p>
        </w:tc>
      </w:tr>
      <w:tr w14:paraId="33F250C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4" w:hRule="atLeast"/>
        </w:trPr>
        <w:tc>
          <w:tcPr>
            <w:tcW w:w="1122" w:type="dxa"/>
            <w:tcMar>
              <w:top w:w="16" w:type="dxa"/>
              <w:left w:w="16" w:type="dxa"/>
              <w:right w:w="16" w:type="dxa"/>
            </w:tcMar>
            <w:vAlign w:val="center"/>
          </w:tcPr>
          <w:p w14:paraId="4714B693">
            <w:pPr>
              <w:adjustRightInd w:val="0"/>
              <w:snapToGrid w:val="0"/>
              <w:jc w:val="center"/>
              <w:rPr>
                <w:sz w:val="24"/>
              </w:rPr>
            </w:pPr>
            <w:r>
              <w:rPr>
                <w:sz w:val="24"/>
              </w:rPr>
              <w:t>环保投资占比（%）</w:t>
            </w:r>
          </w:p>
        </w:tc>
        <w:tc>
          <w:tcPr>
            <w:tcW w:w="3147" w:type="dxa"/>
            <w:vAlign w:val="center"/>
          </w:tcPr>
          <w:p w14:paraId="34B7E8A9">
            <w:pPr>
              <w:adjustRightInd w:val="0"/>
              <w:snapToGrid w:val="0"/>
              <w:jc w:val="center"/>
              <w:rPr>
                <w:rFonts w:hint="default" w:eastAsia="宋体"/>
                <w:sz w:val="24"/>
                <w:lang w:val="en-US" w:eastAsia="zh-CN"/>
              </w:rPr>
            </w:pPr>
            <w:r>
              <w:rPr>
                <w:rFonts w:hint="eastAsia"/>
                <w:sz w:val="24"/>
                <w:lang w:val="en-US" w:eastAsia="zh-CN"/>
              </w:rPr>
              <w:t>35.6</w:t>
            </w:r>
          </w:p>
        </w:tc>
        <w:tc>
          <w:tcPr>
            <w:tcW w:w="2082" w:type="dxa"/>
            <w:tcMar>
              <w:top w:w="16" w:type="dxa"/>
              <w:left w:w="16" w:type="dxa"/>
              <w:right w:w="16" w:type="dxa"/>
            </w:tcMar>
            <w:vAlign w:val="center"/>
          </w:tcPr>
          <w:p w14:paraId="6C238027">
            <w:pPr>
              <w:adjustRightInd w:val="0"/>
              <w:snapToGrid w:val="0"/>
              <w:jc w:val="center"/>
              <w:rPr>
                <w:sz w:val="24"/>
              </w:rPr>
            </w:pPr>
            <w:r>
              <w:rPr>
                <w:sz w:val="24"/>
              </w:rPr>
              <w:t>施工工期</w:t>
            </w:r>
          </w:p>
        </w:tc>
        <w:tc>
          <w:tcPr>
            <w:tcW w:w="2688" w:type="dxa"/>
            <w:vAlign w:val="center"/>
          </w:tcPr>
          <w:p w14:paraId="61CE203F">
            <w:pPr>
              <w:adjustRightInd w:val="0"/>
              <w:snapToGrid w:val="0"/>
              <w:jc w:val="center"/>
              <w:rPr>
                <w:sz w:val="24"/>
              </w:rPr>
            </w:pPr>
            <w:r>
              <w:rPr>
                <w:rFonts w:hint="eastAsia"/>
                <w:sz w:val="24"/>
              </w:rPr>
              <w:t>1个月</w:t>
            </w:r>
          </w:p>
        </w:tc>
      </w:tr>
      <w:tr w14:paraId="581954B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11" w:hRule="atLeast"/>
        </w:trPr>
        <w:tc>
          <w:tcPr>
            <w:tcW w:w="1122" w:type="dxa"/>
            <w:tcMar>
              <w:top w:w="16" w:type="dxa"/>
              <w:left w:w="16" w:type="dxa"/>
              <w:right w:w="16" w:type="dxa"/>
            </w:tcMar>
            <w:vAlign w:val="center"/>
          </w:tcPr>
          <w:p w14:paraId="6A714B35">
            <w:pPr>
              <w:adjustRightInd w:val="0"/>
              <w:snapToGrid w:val="0"/>
              <w:jc w:val="center"/>
              <w:rPr>
                <w:sz w:val="24"/>
              </w:rPr>
            </w:pPr>
            <w:r>
              <w:rPr>
                <w:sz w:val="24"/>
              </w:rPr>
              <w:t>是否开工建设</w:t>
            </w:r>
          </w:p>
        </w:tc>
        <w:tc>
          <w:tcPr>
            <w:tcW w:w="7917" w:type="dxa"/>
            <w:gridSpan w:val="3"/>
            <w:vAlign w:val="center"/>
          </w:tcPr>
          <w:p w14:paraId="04A251FD">
            <w:pPr>
              <w:adjustRightInd w:val="0"/>
              <w:snapToGrid w:val="0"/>
              <w:ind w:firstLine="105"/>
              <w:jc w:val="left"/>
              <w:rPr>
                <w:sz w:val="24"/>
              </w:rPr>
            </w:pPr>
            <w:r>
              <w:rPr>
                <w:sz w:val="24"/>
              </w:rPr>
              <w:sym w:font="Wingdings 2" w:char="0052"/>
            </w:r>
            <w:r>
              <w:rPr>
                <w:sz w:val="24"/>
              </w:rPr>
              <w:t>否</w:t>
            </w:r>
          </w:p>
          <w:p w14:paraId="536C3CEF">
            <w:pPr>
              <w:adjustRightInd w:val="0"/>
              <w:snapToGrid w:val="0"/>
              <w:ind w:firstLine="92"/>
              <w:jc w:val="left"/>
              <w:rPr>
                <w:color w:val="FF0000"/>
                <w:sz w:val="24"/>
              </w:rPr>
            </w:pPr>
            <w:r>
              <w:rPr>
                <w:sz w:val="24"/>
              </w:rPr>
              <w:sym w:font="Wingdings 2" w:char="00A3"/>
            </w:r>
            <w:r>
              <w:rPr>
                <w:sz w:val="24"/>
              </w:rPr>
              <w:t>是：</w:t>
            </w:r>
            <w:r>
              <w:rPr>
                <w:sz w:val="24"/>
                <w:u w:val="single"/>
              </w:rPr>
              <w:t xml:space="preserve">                             </w:t>
            </w:r>
          </w:p>
        </w:tc>
      </w:tr>
      <w:tr w14:paraId="460C006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064" w:hRule="atLeast"/>
        </w:trPr>
        <w:tc>
          <w:tcPr>
            <w:tcW w:w="1122" w:type="dxa"/>
            <w:tcMar>
              <w:top w:w="16" w:type="dxa"/>
              <w:left w:w="16" w:type="dxa"/>
              <w:right w:w="16" w:type="dxa"/>
            </w:tcMar>
            <w:vAlign w:val="center"/>
          </w:tcPr>
          <w:p w14:paraId="2CD4BA14">
            <w:pPr>
              <w:autoSpaceDE w:val="0"/>
              <w:autoSpaceDN w:val="0"/>
              <w:adjustRightInd w:val="0"/>
              <w:snapToGrid w:val="0"/>
              <w:jc w:val="center"/>
              <w:rPr>
                <w:kern w:val="0"/>
                <w:sz w:val="24"/>
              </w:rPr>
            </w:pPr>
            <w:r>
              <w:rPr>
                <w:kern w:val="0"/>
                <w:sz w:val="24"/>
              </w:rPr>
              <w:t>专项评价设置情况</w:t>
            </w:r>
          </w:p>
        </w:tc>
        <w:tc>
          <w:tcPr>
            <w:tcW w:w="7917" w:type="dxa"/>
            <w:gridSpan w:val="3"/>
            <w:tcMar>
              <w:top w:w="16" w:type="dxa"/>
              <w:left w:w="16" w:type="dxa"/>
              <w:right w:w="16" w:type="dxa"/>
            </w:tcMar>
            <w:vAlign w:val="center"/>
          </w:tcPr>
          <w:p w14:paraId="056B8944">
            <w:pPr>
              <w:adjustRightInd w:val="0"/>
              <w:snapToGrid w:val="0"/>
              <w:spacing w:line="360" w:lineRule="exact"/>
              <w:ind w:firstLine="480" w:firstLineChars="200"/>
              <w:jc w:val="left"/>
              <w:rPr>
                <w:kern w:val="0"/>
                <w:sz w:val="24"/>
              </w:rPr>
            </w:pPr>
            <w:r>
              <w:rPr>
                <w:rFonts w:hint="eastAsia"/>
                <w:kern w:val="0"/>
                <w:sz w:val="24"/>
              </w:rPr>
              <w:t>本项目不</w:t>
            </w:r>
            <w:r>
              <w:rPr>
                <w:rFonts w:hint="eastAsia"/>
                <w:kern w:val="0"/>
                <w:sz w:val="24"/>
                <w:lang w:val="en-US" w:eastAsia="zh-CN"/>
              </w:rPr>
              <w:t>涉及</w:t>
            </w:r>
            <w:r>
              <w:rPr>
                <w:kern w:val="0"/>
                <w:sz w:val="24"/>
              </w:rPr>
              <w:t>《建设项目环境影响评价分类管理名录（2021年版）》</w:t>
            </w:r>
            <w:r>
              <w:rPr>
                <w:rFonts w:hint="eastAsia"/>
                <w:kern w:val="0"/>
                <w:sz w:val="24"/>
              </w:rPr>
              <w:t>“101</w:t>
            </w:r>
            <w:r>
              <w:rPr>
                <w:kern w:val="0"/>
                <w:sz w:val="24"/>
              </w:rPr>
              <w:t xml:space="preserve"> </w:t>
            </w:r>
            <w:r>
              <w:rPr>
                <w:rFonts w:hint="eastAsia"/>
                <w:kern w:val="0"/>
                <w:sz w:val="24"/>
              </w:rPr>
              <w:t>土砂石开采”</w:t>
            </w:r>
            <w:r>
              <w:rPr>
                <w:kern w:val="0"/>
                <w:sz w:val="24"/>
              </w:rPr>
              <w:t>中</w:t>
            </w:r>
            <w:r>
              <w:rPr>
                <w:rFonts w:hint="eastAsia"/>
                <w:kern w:val="0"/>
                <w:sz w:val="24"/>
              </w:rPr>
              <w:t>所定义的</w:t>
            </w:r>
            <w:r>
              <w:rPr>
                <w:kern w:val="0"/>
                <w:sz w:val="24"/>
              </w:rPr>
              <w:t>环境敏感区</w:t>
            </w:r>
            <w:r>
              <w:rPr>
                <w:rFonts w:hint="eastAsia"/>
                <w:kern w:val="0"/>
                <w:sz w:val="24"/>
              </w:rPr>
              <w:t>，</w:t>
            </w:r>
            <w:r>
              <w:rPr>
                <w:kern w:val="0"/>
                <w:sz w:val="24"/>
              </w:rPr>
              <w:t>因此未设置生态专题。</w:t>
            </w:r>
          </w:p>
          <w:p w14:paraId="57B462B3">
            <w:pPr>
              <w:adjustRightInd w:val="0"/>
              <w:snapToGrid w:val="0"/>
              <w:spacing w:line="360" w:lineRule="exact"/>
              <w:ind w:firstLine="480" w:firstLineChars="200"/>
              <w:jc w:val="left"/>
              <w:rPr>
                <w:kern w:val="0"/>
                <w:sz w:val="24"/>
              </w:rPr>
            </w:pPr>
            <w:r>
              <w:rPr>
                <w:kern w:val="0"/>
                <w:sz w:val="24"/>
              </w:rPr>
              <w:t>因此，本项目不涉及专项评价设置。</w:t>
            </w:r>
          </w:p>
        </w:tc>
      </w:tr>
      <w:tr w14:paraId="4E5AB08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35" w:hRule="atLeast"/>
        </w:trPr>
        <w:tc>
          <w:tcPr>
            <w:tcW w:w="1122" w:type="dxa"/>
            <w:tcMar>
              <w:top w:w="16" w:type="dxa"/>
              <w:left w:w="16" w:type="dxa"/>
              <w:right w:w="16" w:type="dxa"/>
            </w:tcMar>
            <w:vAlign w:val="center"/>
          </w:tcPr>
          <w:p w14:paraId="6CBAE4F8">
            <w:pPr>
              <w:autoSpaceDE w:val="0"/>
              <w:autoSpaceDN w:val="0"/>
              <w:adjustRightInd w:val="0"/>
              <w:snapToGrid w:val="0"/>
              <w:jc w:val="center"/>
              <w:rPr>
                <w:kern w:val="0"/>
                <w:sz w:val="24"/>
              </w:rPr>
            </w:pPr>
            <w:r>
              <w:rPr>
                <w:kern w:val="0"/>
                <w:sz w:val="24"/>
              </w:rPr>
              <w:t>规划情况</w:t>
            </w:r>
          </w:p>
        </w:tc>
        <w:tc>
          <w:tcPr>
            <w:tcW w:w="7917" w:type="dxa"/>
            <w:gridSpan w:val="3"/>
            <w:tcMar>
              <w:top w:w="16" w:type="dxa"/>
              <w:left w:w="16" w:type="dxa"/>
              <w:right w:w="16" w:type="dxa"/>
            </w:tcMar>
            <w:vAlign w:val="center"/>
          </w:tcPr>
          <w:p w14:paraId="494CD734">
            <w:pPr>
              <w:autoSpaceDE w:val="0"/>
              <w:autoSpaceDN w:val="0"/>
              <w:adjustRightInd w:val="0"/>
              <w:snapToGrid w:val="0"/>
              <w:spacing w:line="360" w:lineRule="exact"/>
              <w:jc w:val="left"/>
              <w:rPr>
                <w:kern w:val="0"/>
                <w:sz w:val="24"/>
              </w:rPr>
            </w:pPr>
            <w:r>
              <w:rPr>
                <w:rFonts w:hint="eastAsia"/>
                <w:kern w:val="0"/>
                <w:sz w:val="24"/>
              </w:rPr>
              <w:t>文件名称：《山西省矿产资源总体规划（2021—2025年）》；</w:t>
            </w:r>
          </w:p>
          <w:p w14:paraId="47B50F92">
            <w:pPr>
              <w:adjustRightInd w:val="0"/>
              <w:snapToGrid w:val="0"/>
              <w:spacing w:line="360" w:lineRule="exact"/>
              <w:jc w:val="left"/>
              <w:rPr>
                <w:kern w:val="0"/>
                <w:sz w:val="24"/>
              </w:rPr>
            </w:pPr>
            <w:r>
              <w:rPr>
                <w:rFonts w:hint="eastAsia"/>
                <w:kern w:val="0"/>
                <w:sz w:val="24"/>
              </w:rPr>
              <w:t>审批文号：晋政办发〔2022〕107号；</w:t>
            </w:r>
          </w:p>
          <w:p w14:paraId="1C0E9537">
            <w:pPr>
              <w:adjustRightInd w:val="0"/>
              <w:snapToGrid w:val="0"/>
              <w:spacing w:line="360" w:lineRule="exact"/>
              <w:jc w:val="left"/>
              <w:rPr>
                <w:kern w:val="0"/>
                <w:sz w:val="24"/>
              </w:rPr>
            </w:pPr>
            <w:r>
              <w:rPr>
                <w:rFonts w:hint="eastAsia"/>
                <w:kern w:val="0"/>
                <w:sz w:val="24"/>
              </w:rPr>
              <w:t>审批机关：山西省人民政府办公厅；</w:t>
            </w:r>
          </w:p>
          <w:p w14:paraId="6EE72A8C">
            <w:pPr>
              <w:adjustRightInd w:val="0"/>
              <w:snapToGrid w:val="0"/>
              <w:spacing w:line="360" w:lineRule="exact"/>
              <w:jc w:val="left"/>
              <w:rPr>
                <w:kern w:val="0"/>
                <w:sz w:val="24"/>
              </w:rPr>
            </w:pPr>
            <w:r>
              <w:rPr>
                <w:kern w:val="0"/>
                <w:sz w:val="24"/>
              </w:rPr>
              <w:t>文件名称：《阳泉市矿产资源总体规划（2021</w:t>
            </w:r>
            <w:r>
              <w:rPr>
                <w:rFonts w:hint="eastAsia"/>
                <w:kern w:val="0"/>
                <w:sz w:val="24"/>
              </w:rPr>
              <w:t>—</w:t>
            </w:r>
            <w:r>
              <w:rPr>
                <w:kern w:val="0"/>
                <w:sz w:val="24"/>
              </w:rPr>
              <w:t>2025年）》；</w:t>
            </w:r>
          </w:p>
          <w:p w14:paraId="38AF8DB6">
            <w:pPr>
              <w:adjustRightInd w:val="0"/>
              <w:snapToGrid w:val="0"/>
              <w:spacing w:line="360" w:lineRule="exact"/>
              <w:jc w:val="left"/>
              <w:rPr>
                <w:kern w:val="0"/>
                <w:sz w:val="24"/>
              </w:rPr>
            </w:pPr>
            <w:r>
              <w:rPr>
                <w:kern w:val="0"/>
                <w:sz w:val="24"/>
              </w:rPr>
              <w:t>审批文号：阳政办发〔2023〕56号；</w:t>
            </w:r>
          </w:p>
          <w:p w14:paraId="2F110EEB">
            <w:pPr>
              <w:adjustRightInd w:val="0"/>
              <w:snapToGrid w:val="0"/>
              <w:spacing w:line="360" w:lineRule="exact"/>
              <w:jc w:val="left"/>
              <w:rPr>
                <w:kern w:val="0"/>
                <w:sz w:val="24"/>
              </w:rPr>
            </w:pPr>
            <w:r>
              <w:rPr>
                <w:kern w:val="0"/>
                <w:sz w:val="24"/>
              </w:rPr>
              <w:t>审批机关：阳泉市人民政府办公室；</w:t>
            </w:r>
          </w:p>
        </w:tc>
      </w:tr>
      <w:tr w14:paraId="017E95A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11" w:hRule="atLeast"/>
        </w:trPr>
        <w:tc>
          <w:tcPr>
            <w:tcW w:w="1122" w:type="dxa"/>
            <w:tcMar>
              <w:top w:w="16" w:type="dxa"/>
              <w:left w:w="16" w:type="dxa"/>
              <w:right w:w="16" w:type="dxa"/>
            </w:tcMar>
            <w:vAlign w:val="center"/>
          </w:tcPr>
          <w:p w14:paraId="55CE8AB8">
            <w:pPr>
              <w:autoSpaceDE w:val="0"/>
              <w:autoSpaceDN w:val="0"/>
              <w:adjustRightInd w:val="0"/>
              <w:snapToGrid w:val="0"/>
              <w:jc w:val="center"/>
              <w:rPr>
                <w:kern w:val="0"/>
                <w:sz w:val="24"/>
              </w:rPr>
            </w:pPr>
            <w:r>
              <w:rPr>
                <w:sz w:val="24"/>
              </w:rPr>
              <w:t>规划环境影响评价情况</w:t>
            </w:r>
          </w:p>
        </w:tc>
        <w:tc>
          <w:tcPr>
            <w:tcW w:w="7917" w:type="dxa"/>
            <w:gridSpan w:val="3"/>
            <w:tcMar>
              <w:top w:w="16" w:type="dxa"/>
              <w:left w:w="16" w:type="dxa"/>
              <w:right w:w="16" w:type="dxa"/>
            </w:tcMar>
            <w:vAlign w:val="center"/>
          </w:tcPr>
          <w:p w14:paraId="468E73FD">
            <w:pPr>
              <w:adjustRightInd w:val="0"/>
              <w:snapToGrid w:val="0"/>
              <w:spacing w:line="360" w:lineRule="exact"/>
              <w:jc w:val="left"/>
              <w:rPr>
                <w:kern w:val="0"/>
                <w:sz w:val="24"/>
              </w:rPr>
            </w:pPr>
            <w:r>
              <w:rPr>
                <w:rFonts w:hint="eastAsia"/>
                <w:kern w:val="0"/>
                <w:sz w:val="24"/>
              </w:rPr>
              <w:t>文件名称：《山西省矿产资源总体规划（2021—2025年）环境影响报告书》；</w:t>
            </w:r>
          </w:p>
          <w:p w14:paraId="549141D6">
            <w:pPr>
              <w:adjustRightInd w:val="0"/>
              <w:snapToGrid w:val="0"/>
              <w:spacing w:line="360" w:lineRule="exact"/>
              <w:jc w:val="left"/>
              <w:rPr>
                <w:kern w:val="0"/>
                <w:sz w:val="24"/>
              </w:rPr>
            </w:pPr>
            <w:r>
              <w:rPr>
                <w:rFonts w:hint="eastAsia"/>
                <w:kern w:val="0"/>
                <w:sz w:val="24"/>
              </w:rPr>
              <w:t>审批文号：环审〔2022〕192号；</w:t>
            </w:r>
          </w:p>
          <w:p w14:paraId="10775913">
            <w:pPr>
              <w:adjustRightInd w:val="0"/>
              <w:snapToGrid w:val="0"/>
              <w:spacing w:line="360" w:lineRule="exact"/>
              <w:jc w:val="left"/>
              <w:rPr>
                <w:kern w:val="0"/>
                <w:sz w:val="24"/>
              </w:rPr>
            </w:pPr>
            <w:r>
              <w:rPr>
                <w:rFonts w:hint="eastAsia"/>
                <w:kern w:val="0"/>
                <w:sz w:val="24"/>
              </w:rPr>
              <w:t>审批机关：生态环境部。</w:t>
            </w:r>
          </w:p>
        </w:tc>
      </w:tr>
      <w:tr w14:paraId="2F487C1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78" w:hRule="atLeast"/>
        </w:trPr>
        <w:tc>
          <w:tcPr>
            <w:tcW w:w="1122" w:type="dxa"/>
            <w:tcMar>
              <w:top w:w="16" w:type="dxa"/>
              <w:left w:w="16" w:type="dxa"/>
              <w:right w:w="16" w:type="dxa"/>
            </w:tcMar>
            <w:vAlign w:val="center"/>
          </w:tcPr>
          <w:p w14:paraId="2EE8ADA8">
            <w:pPr>
              <w:autoSpaceDE w:val="0"/>
              <w:autoSpaceDN w:val="0"/>
              <w:adjustRightInd w:val="0"/>
              <w:snapToGrid w:val="0"/>
              <w:jc w:val="center"/>
              <w:rPr>
                <w:kern w:val="0"/>
                <w:sz w:val="24"/>
              </w:rPr>
            </w:pPr>
            <w:r>
              <w:rPr>
                <w:kern w:val="0"/>
                <w:sz w:val="24"/>
              </w:rPr>
              <w:t>规划及规划环境影响评价符合性分析</w:t>
            </w:r>
          </w:p>
        </w:tc>
        <w:tc>
          <w:tcPr>
            <w:tcW w:w="7917" w:type="dxa"/>
            <w:gridSpan w:val="3"/>
            <w:tcMar>
              <w:top w:w="16" w:type="dxa"/>
              <w:left w:w="16" w:type="dxa"/>
              <w:right w:w="16" w:type="dxa"/>
            </w:tcMar>
            <w:vAlign w:val="center"/>
          </w:tcPr>
          <w:p w14:paraId="5F9875AC">
            <w:pPr>
              <w:autoSpaceDE w:val="0"/>
              <w:autoSpaceDN w:val="0"/>
              <w:adjustRightInd w:val="0"/>
              <w:snapToGrid w:val="0"/>
              <w:spacing w:line="480" w:lineRule="exact"/>
              <w:ind w:firstLine="482" w:firstLineChars="200"/>
              <w:jc w:val="left"/>
              <w:rPr>
                <w:b/>
                <w:bCs/>
                <w:kern w:val="0"/>
                <w:sz w:val="24"/>
              </w:rPr>
            </w:pPr>
            <w:r>
              <w:rPr>
                <w:rFonts w:hint="eastAsia"/>
                <w:b/>
                <w:bCs/>
                <w:kern w:val="0"/>
                <w:sz w:val="24"/>
              </w:rPr>
              <w:t>1.与《山西省矿产资源总体规划（2021—2025年）》符合性分析</w:t>
            </w:r>
          </w:p>
          <w:p w14:paraId="1BF51AC5">
            <w:pPr>
              <w:autoSpaceDE w:val="0"/>
              <w:autoSpaceDN w:val="0"/>
              <w:adjustRightInd w:val="0"/>
              <w:snapToGrid w:val="0"/>
              <w:spacing w:line="480" w:lineRule="exact"/>
              <w:ind w:firstLine="480" w:firstLineChars="200"/>
              <w:jc w:val="left"/>
              <w:rPr>
                <w:kern w:val="0"/>
                <w:sz w:val="24"/>
              </w:rPr>
            </w:pPr>
            <w:r>
              <w:rPr>
                <w:rFonts w:hint="eastAsia"/>
                <w:kern w:val="0"/>
                <w:sz w:val="24"/>
              </w:rPr>
              <w:t>2023年1月19日，山西省人民政府办公厅以“晋政办发〔2022〕107号”下发了《山西省矿产资源总体规划（2021—2025年）》，《规划》中具体要求如下：</w:t>
            </w:r>
          </w:p>
          <w:p w14:paraId="46F2A494">
            <w:pPr>
              <w:autoSpaceDE w:val="0"/>
              <w:autoSpaceDN w:val="0"/>
              <w:adjustRightInd w:val="0"/>
              <w:snapToGrid w:val="0"/>
              <w:spacing w:line="480" w:lineRule="exact"/>
              <w:ind w:firstLine="480" w:firstLineChars="200"/>
              <w:jc w:val="left"/>
              <w:rPr>
                <w:kern w:val="0"/>
                <w:sz w:val="24"/>
              </w:rPr>
            </w:pPr>
            <w:r>
              <w:rPr>
                <w:rFonts w:hint="eastAsia"/>
                <w:kern w:val="0"/>
                <w:sz w:val="24"/>
              </w:rPr>
              <w:t>第四章 总体布局</w:t>
            </w:r>
          </w:p>
          <w:p w14:paraId="05359019">
            <w:pPr>
              <w:autoSpaceDE w:val="0"/>
              <w:autoSpaceDN w:val="0"/>
              <w:adjustRightInd w:val="0"/>
              <w:snapToGrid w:val="0"/>
              <w:spacing w:line="480" w:lineRule="exact"/>
              <w:ind w:firstLine="480" w:firstLineChars="200"/>
              <w:jc w:val="left"/>
              <w:rPr>
                <w:kern w:val="0"/>
                <w:sz w:val="24"/>
              </w:rPr>
            </w:pPr>
            <w:r>
              <w:rPr>
                <w:rFonts w:hint="eastAsia"/>
                <w:kern w:val="0"/>
                <w:sz w:val="24"/>
              </w:rPr>
              <w:t>三、重点勘查区、重点开采区和战略性矿产保护区建设</w:t>
            </w:r>
          </w:p>
          <w:p w14:paraId="796CB3F7">
            <w:pPr>
              <w:autoSpaceDE w:val="0"/>
              <w:autoSpaceDN w:val="0"/>
              <w:adjustRightInd w:val="0"/>
              <w:snapToGrid w:val="0"/>
              <w:spacing w:line="480" w:lineRule="exact"/>
              <w:ind w:firstLine="480" w:firstLineChars="200"/>
              <w:jc w:val="left"/>
              <w:rPr>
                <w:kern w:val="0"/>
                <w:sz w:val="24"/>
              </w:rPr>
            </w:pPr>
            <w:r>
              <w:rPr>
                <w:rFonts w:hint="eastAsia"/>
                <w:kern w:val="0"/>
                <w:sz w:val="24"/>
              </w:rPr>
              <w:t>根据我省实际，合理划定重点勘查区、重点开采区及战略性矿产保护区。</w:t>
            </w:r>
          </w:p>
          <w:p w14:paraId="38942E88">
            <w:pPr>
              <w:autoSpaceDE w:val="0"/>
              <w:autoSpaceDN w:val="0"/>
              <w:adjustRightInd w:val="0"/>
              <w:snapToGrid w:val="0"/>
              <w:spacing w:line="480" w:lineRule="exact"/>
              <w:ind w:firstLine="480" w:firstLineChars="200"/>
              <w:jc w:val="left"/>
              <w:rPr>
                <w:kern w:val="0"/>
                <w:sz w:val="24"/>
              </w:rPr>
            </w:pPr>
            <w:r>
              <w:rPr>
                <w:rFonts w:hint="eastAsia"/>
                <w:kern w:val="0"/>
                <w:sz w:val="24"/>
              </w:rPr>
              <w:t>（一）重点勘查区</w:t>
            </w:r>
          </w:p>
          <w:p w14:paraId="65CA64E2">
            <w:pPr>
              <w:autoSpaceDE w:val="0"/>
              <w:autoSpaceDN w:val="0"/>
              <w:adjustRightInd w:val="0"/>
              <w:snapToGrid w:val="0"/>
              <w:spacing w:line="480" w:lineRule="exact"/>
              <w:ind w:firstLine="480" w:firstLineChars="200"/>
              <w:jc w:val="left"/>
              <w:rPr>
                <w:kern w:val="0"/>
                <w:sz w:val="24"/>
              </w:rPr>
            </w:pPr>
            <w:r>
              <w:rPr>
                <w:rFonts w:hint="eastAsia"/>
                <w:kern w:val="0"/>
                <w:sz w:val="24"/>
              </w:rPr>
              <w:t>以我省重要成矿区（带）为重点，重点开采煤层气、铝土矿、铁矿、铜（金）矿、地热、氦气勘查工作，规划重点勘查区32个，其中煤层气7个、铝土矿7个、铁矿5个、铜（金）矿3个、地热9个、氦气1个。</w:t>
            </w:r>
          </w:p>
          <w:p w14:paraId="5E024B4B">
            <w:pPr>
              <w:autoSpaceDE w:val="0"/>
              <w:autoSpaceDN w:val="0"/>
              <w:adjustRightInd w:val="0"/>
              <w:snapToGrid w:val="0"/>
              <w:spacing w:line="480" w:lineRule="exact"/>
              <w:ind w:firstLine="480" w:firstLineChars="200"/>
              <w:jc w:val="left"/>
              <w:rPr>
                <w:kern w:val="0"/>
                <w:sz w:val="24"/>
              </w:rPr>
            </w:pPr>
            <w:r>
              <w:rPr>
                <w:rFonts w:hint="eastAsia"/>
                <w:kern w:val="0"/>
                <w:sz w:val="24"/>
              </w:rPr>
              <w:t>（二）重点开采区</w:t>
            </w:r>
          </w:p>
          <w:p w14:paraId="28EF1B28">
            <w:pPr>
              <w:autoSpaceDE w:val="0"/>
              <w:autoSpaceDN w:val="0"/>
              <w:adjustRightInd w:val="0"/>
              <w:snapToGrid w:val="0"/>
              <w:spacing w:line="480" w:lineRule="exact"/>
              <w:ind w:firstLine="480" w:firstLineChars="200"/>
              <w:jc w:val="left"/>
              <w:rPr>
                <w:kern w:val="0"/>
                <w:sz w:val="24"/>
              </w:rPr>
            </w:pPr>
            <w:r>
              <w:rPr>
                <w:rFonts w:hint="eastAsia"/>
                <w:kern w:val="0"/>
                <w:sz w:val="24"/>
              </w:rPr>
              <w:t>以铝、铁、铜、煤层气等矿种大中型矿产地集中分布区域为基础，结合产业发展需求以及拟出让采矿权情况综合划定，划定重点开采区19个，其中煤层气7个、铝土矿6个、铁矿5个、铜矿1个。</w:t>
            </w:r>
          </w:p>
          <w:p w14:paraId="2296C638">
            <w:pPr>
              <w:autoSpaceDE w:val="0"/>
              <w:autoSpaceDN w:val="0"/>
              <w:adjustRightInd w:val="0"/>
              <w:snapToGrid w:val="0"/>
              <w:spacing w:line="480" w:lineRule="exact"/>
              <w:ind w:firstLine="480" w:firstLineChars="200"/>
              <w:jc w:val="left"/>
              <w:rPr>
                <w:kern w:val="0"/>
                <w:sz w:val="24"/>
              </w:rPr>
            </w:pPr>
            <w:r>
              <w:rPr>
                <w:rFonts w:hint="eastAsia"/>
                <w:kern w:val="0"/>
                <w:sz w:val="24"/>
              </w:rPr>
              <w:t>（三）战略性矿产资源保护区</w:t>
            </w:r>
          </w:p>
          <w:p w14:paraId="1B03FA9F">
            <w:pPr>
              <w:autoSpaceDE w:val="0"/>
              <w:autoSpaceDN w:val="0"/>
              <w:adjustRightInd w:val="0"/>
              <w:snapToGrid w:val="0"/>
              <w:spacing w:line="480" w:lineRule="exact"/>
              <w:ind w:firstLine="480" w:firstLineChars="200"/>
              <w:jc w:val="left"/>
              <w:rPr>
                <w:kern w:val="0"/>
                <w:sz w:val="24"/>
              </w:rPr>
            </w:pPr>
            <w:r>
              <w:rPr>
                <w:rFonts w:hint="eastAsia"/>
                <w:kern w:val="0"/>
                <w:sz w:val="24"/>
              </w:rPr>
              <w:t>划定10个战略性矿产资源保护区，涉及煤炭、铝土矿两个矿种。</w:t>
            </w:r>
          </w:p>
          <w:p w14:paraId="60B606B3">
            <w:pPr>
              <w:autoSpaceDE w:val="0"/>
              <w:autoSpaceDN w:val="0"/>
              <w:adjustRightInd w:val="0"/>
              <w:snapToGrid w:val="0"/>
              <w:spacing w:line="480" w:lineRule="exact"/>
              <w:ind w:firstLine="480" w:firstLineChars="200"/>
              <w:jc w:val="left"/>
              <w:rPr>
                <w:kern w:val="0"/>
                <w:sz w:val="24"/>
              </w:rPr>
            </w:pPr>
            <w:r>
              <w:rPr>
                <w:kern w:val="0"/>
                <w:sz w:val="24"/>
              </w:rPr>
              <w:t>战略性矿产资源保护区原则上禁止开发，根据经济社会发展、外部条件变化和国家战略需求，经严格论证和相应自然资源主管部门批准后，方可转化为开采矿区，进行有序开发。各地政府应加强对战略性矿产资源储备区的保护和监管，防止被各类工程建设项目压覆或人为破坏。建立战略性矿产资源保护区动态调整机制，根据实际情况和需要对战略性矿产资源储备区进行动态调整。</w:t>
            </w:r>
          </w:p>
          <w:p w14:paraId="3DEC986C">
            <w:pPr>
              <w:autoSpaceDE w:val="0"/>
              <w:autoSpaceDN w:val="0"/>
              <w:adjustRightInd w:val="0"/>
              <w:snapToGrid w:val="0"/>
              <w:spacing w:line="480" w:lineRule="exact"/>
              <w:ind w:firstLine="480" w:firstLineChars="200"/>
              <w:jc w:val="left"/>
              <w:rPr>
                <w:kern w:val="0"/>
                <w:sz w:val="24"/>
              </w:rPr>
            </w:pPr>
            <w:r>
              <w:rPr>
                <w:rFonts w:hint="eastAsia"/>
                <w:kern w:val="0"/>
                <w:sz w:val="24"/>
              </w:rPr>
              <w:t>（四）重要矿种勘查开发方向</w:t>
            </w:r>
          </w:p>
          <w:p w14:paraId="1B4BABEB">
            <w:pPr>
              <w:autoSpaceDE w:val="0"/>
              <w:autoSpaceDN w:val="0"/>
              <w:adjustRightInd w:val="0"/>
              <w:snapToGrid w:val="0"/>
              <w:spacing w:line="480" w:lineRule="exact"/>
              <w:ind w:firstLine="480" w:firstLineChars="200"/>
              <w:jc w:val="left"/>
              <w:rPr>
                <w:kern w:val="0"/>
                <w:sz w:val="24"/>
              </w:rPr>
            </w:pPr>
            <w:r>
              <w:rPr>
                <w:kern w:val="0"/>
                <w:sz w:val="24"/>
              </w:rPr>
              <w:t>结合山西实际，保障能源资源安全和战略性新兴产业发展需求，合理确定重点、限制、禁止勘查开采矿种。</w:t>
            </w:r>
          </w:p>
          <w:p w14:paraId="77933B95">
            <w:pPr>
              <w:autoSpaceDE w:val="0"/>
              <w:autoSpaceDN w:val="0"/>
              <w:adjustRightInd w:val="0"/>
              <w:snapToGrid w:val="0"/>
              <w:spacing w:line="480" w:lineRule="exact"/>
              <w:ind w:firstLine="480" w:firstLineChars="200"/>
              <w:jc w:val="left"/>
              <w:rPr>
                <w:kern w:val="0"/>
                <w:sz w:val="24"/>
              </w:rPr>
            </w:pPr>
            <w:r>
              <w:rPr>
                <w:kern w:val="0"/>
                <w:sz w:val="24"/>
              </w:rPr>
              <w:t>重点勘查矿种：加强财政资金投入，着重向重要紧缺矿种、战略性矿产、新型清洁能源等倾斜，引导并促进社会资本投入勘查。重点加强煤层气、页岩气、地热（浅层地温能、干热岩）等清洁能源和锂、铌、钽、晶质石墨、氦气等战略性新兴产业所需矿产资源的勘查力度，进一步勘查煤炭、铁、铝土矿、金、铜、铅、锌、钼、银、锰、金红石、冶镁白云岩、石膏、水泥用灰岩、玻璃用硅质原料、高岭土、矿泉水等矿产。</w:t>
            </w:r>
          </w:p>
          <w:p w14:paraId="4C67C405">
            <w:pPr>
              <w:autoSpaceDE w:val="0"/>
              <w:autoSpaceDN w:val="0"/>
              <w:adjustRightInd w:val="0"/>
              <w:snapToGrid w:val="0"/>
              <w:spacing w:line="480" w:lineRule="exact"/>
              <w:ind w:firstLine="480" w:firstLineChars="200"/>
              <w:jc w:val="left"/>
              <w:rPr>
                <w:kern w:val="0"/>
                <w:sz w:val="24"/>
              </w:rPr>
            </w:pPr>
            <w:r>
              <w:rPr>
                <w:kern w:val="0"/>
                <w:sz w:val="24"/>
              </w:rPr>
              <w:t>重点开采矿种：紧抓国家政策机遇，积极推进煤炭资源接续配置，加快向市场投放煤炭矿业权、释放先进优质煤矿产能，强化煤炭和煤层气综合开发利用，有序开采铝、铁、铜、金、锰、银、金红石、石墨、脉石英、石膏、高岭土、膨润土、珍珠岩、花岗岩、含钾岩石、水泥用灰岩、白云岩、硫铁矿、建筑石料用灰岩等固体矿产及地热、矿泉水等液体矿产。</w:t>
            </w:r>
          </w:p>
          <w:p w14:paraId="5F7CD0FA">
            <w:pPr>
              <w:autoSpaceDE w:val="0"/>
              <w:autoSpaceDN w:val="0"/>
              <w:adjustRightInd w:val="0"/>
              <w:snapToGrid w:val="0"/>
              <w:spacing w:line="480" w:lineRule="exact"/>
              <w:ind w:firstLine="480" w:firstLineChars="200"/>
              <w:jc w:val="left"/>
              <w:rPr>
                <w:kern w:val="0"/>
                <w:sz w:val="24"/>
              </w:rPr>
            </w:pPr>
            <w:r>
              <w:rPr>
                <w:kern w:val="0"/>
                <w:sz w:val="24"/>
              </w:rPr>
              <w:t>限制开采矿种：限制开采高硫煤、高灰煤、低发热量煤炭资源，限制开采湿地泥炭以及砂金等重砂矿物。</w:t>
            </w:r>
          </w:p>
          <w:p w14:paraId="7F5A7886">
            <w:pPr>
              <w:autoSpaceDE w:val="0"/>
              <w:autoSpaceDN w:val="0"/>
              <w:adjustRightInd w:val="0"/>
              <w:snapToGrid w:val="0"/>
              <w:spacing w:line="480" w:lineRule="exact"/>
              <w:ind w:firstLine="480" w:firstLineChars="200"/>
              <w:jc w:val="left"/>
              <w:rPr>
                <w:kern w:val="0"/>
                <w:sz w:val="24"/>
              </w:rPr>
            </w:pPr>
            <w:r>
              <w:rPr>
                <w:kern w:val="0"/>
                <w:sz w:val="24"/>
              </w:rPr>
              <w:t>禁止勘查开采矿种：禁止将优质石灰岩、白云岩等作为普通建筑石料开采，禁止开采可耕地的砖瓦用粘土，禁止在河道内开采砂金。</w:t>
            </w:r>
          </w:p>
          <w:p w14:paraId="1B0844EB">
            <w:pPr>
              <w:autoSpaceDE w:val="0"/>
              <w:autoSpaceDN w:val="0"/>
              <w:adjustRightInd w:val="0"/>
              <w:snapToGrid w:val="0"/>
              <w:spacing w:line="480" w:lineRule="exact"/>
              <w:ind w:firstLine="480" w:firstLineChars="200"/>
              <w:jc w:val="left"/>
              <w:rPr>
                <w:kern w:val="0"/>
                <w:sz w:val="24"/>
              </w:rPr>
            </w:pPr>
            <w:r>
              <w:rPr>
                <w:rFonts w:hint="eastAsia"/>
                <w:kern w:val="0"/>
                <w:sz w:val="24"/>
              </w:rPr>
              <w:t>第七章 矿业绿色发展</w:t>
            </w:r>
          </w:p>
          <w:p w14:paraId="230813E1">
            <w:pPr>
              <w:autoSpaceDE w:val="0"/>
              <w:autoSpaceDN w:val="0"/>
              <w:adjustRightInd w:val="0"/>
              <w:snapToGrid w:val="0"/>
              <w:spacing w:line="480" w:lineRule="exact"/>
              <w:ind w:firstLine="480" w:firstLineChars="200"/>
              <w:jc w:val="left"/>
              <w:rPr>
                <w:kern w:val="0"/>
                <w:sz w:val="24"/>
              </w:rPr>
            </w:pPr>
            <w:r>
              <w:rPr>
                <w:rFonts w:hint="eastAsia"/>
                <w:kern w:val="0"/>
                <w:sz w:val="24"/>
              </w:rPr>
              <w:t>三、矿区生态保护修复</w:t>
            </w:r>
          </w:p>
          <w:p w14:paraId="6913E73D">
            <w:pPr>
              <w:autoSpaceDE w:val="0"/>
              <w:autoSpaceDN w:val="0"/>
              <w:adjustRightInd w:val="0"/>
              <w:snapToGrid w:val="0"/>
              <w:spacing w:line="480" w:lineRule="exact"/>
              <w:ind w:firstLine="480" w:firstLineChars="200"/>
              <w:jc w:val="left"/>
              <w:rPr>
                <w:kern w:val="0"/>
                <w:sz w:val="24"/>
              </w:rPr>
            </w:pPr>
            <w:r>
              <w:rPr>
                <w:rFonts w:hint="eastAsia"/>
                <w:kern w:val="0"/>
                <w:sz w:val="24"/>
              </w:rPr>
              <w:t>（一）新建矿山</w:t>
            </w:r>
          </w:p>
          <w:p w14:paraId="634D3196">
            <w:pPr>
              <w:autoSpaceDE w:val="0"/>
              <w:autoSpaceDN w:val="0"/>
              <w:adjustRightInd w:val="0"/>
              <w:snapToGrid w:val="0"/>
              <w:spacing w:line="480" w:lineRule="exact"/>
              <w:ind w:firstLine="480" w:firstLineChars="200"/>
              <w:jc w:val="left"/>
              <w:rPr>
                <w:kern w:val="0"/>
                <w:sz w:val="24"/>
              </w:rPr>
            </w:pPr>
            <w:r>
              <w:rPr>
                <w:rFonts w:hint="eastAsia"/>
                <w:kern w:val="0"/>
                <w:sz w:val="24"/>
              </w:rPr>
              <w:t>严格矿山准入条件，积极推动新建矿山按照绿色矿山标准要求进行建设。按照绿色矿山建设标准，从设计、建设、管理环节上对生态保护修复进行全面规划，形成“采前有规划、过程能控制、采后可修复”准入制度。</w:t>
            </w:r>
          </w:p>
          <w:p w14:paraId="2C95BE25">
            <w:pPr>
              <w:autoSpaceDE w:val="0"/>
              <w:autoSpaceDN w:val="0"/>
              <w:adjustRightInd w:val="0"/>
              <w:snapToGrid w:val="0"/>
              <w:spacing w:line="480" w:lineRule="exact"/>
              <w:ind w:firstLine="480" w:firstLineChars="200"/>
              <w:rPr>
                <w:kern w:val="0"/>
                <w:sz w:val="24"/>
              </w:rPr>
            </w:pPr>
            <w:r>
              <w:rPr>
                <w:rFonts w:hint="eastAsia"/>
                <w:kern w:val="0"/>
                <w:sz w:val="24"/>
              </w:rPr>
              <w:t>本项目开采矿种为</w:t>
            </w:r>
            <w:r>
              <w:rPr>
                <w:rFonts w:hint="eastAsia"/>
                <w:sz w:val="24"/>
              </w:rPr>
              <w:t>饰面用花岗岩</w:t>
            </w:r>
            <w:r>
              <w:rPr>
                <w:rFonts w:hint="eastAsia"/>
                <w:kern w:val="0"/>
                <w:sz w:val="24"/>
              </w:rPr>
              <w:t>，位于</w:t>
            </w:r>
            <w:r>
              <w:rPr>
                <w:sz w:val="24"/>
              </w:rPr>
              <w:t>阳泉市盂县</w:t>
            </w:r>
            <w:r>
              <w:rPr>
                <w:rFonts w:hint="eastAsia"/>
                <w:sz w:val="24"/>
              </w:rPr>
              <w:t>西潘乡宋庄村东侧</w:t>
            </w:r>
            <w:r>
              <w:rPr>
                <w:sz w:val="24"/>
              </w:rPr>
              <w:t>约</w:t>
            </w:r>
            <w:r>
              <w:rPr>
                <w:rFonts w:hint="eastAsia"/>
                <w:sz w:val="24"/>
              </w:rPr>
              <w:t>530</w:t>
            </w:r>
            <w:r>
              <w:rPr>
                <w:sz w:val="24"/>
              </w:rPr>
              <w:t>m</w:t>
            </w:r>
            <w:r>
              <w:rPr>
                <w:rFonts w:hint="eastAsia"/>
                <w:sz w:val="24"/>
              </w:rPr>
              <w:t>处</w:t>
            </w:r>
            <w:r>
              <w:rPr>
                <w:rFonts w:hint="eastAsia"/>
                <w:kern w:val="0"/>
                <w:sz w:val="24"/>
              </w:rPr>
              <w:t>，矿区位置不属于重点勘查区、重点开采区以及战略性矿产资源保护区，不属于</w:t>
            </w:r>
            <w:r>
              <w:rPr>
                <w:kern w:val="0"/>
                <w:sz w:val="24"/>
              </w:rPr>
              <w:t>限制开采</w:t>
            </w:r>
            <w:r>
              <w:rPr>
                <w:rFonts w:hint="eastAsia"/>
                <w:kern w:val="0"/>
                <w:sz w:val="24"/>
              </w:rPr>
              <w:t>矿种、</w:t>
            </w:r>
            <w:r>
              <w:rPr>
                <w:kern w:val="0"/>
                <w:sz w:val="24"/>
              </w:rPr>
              <w:t>禁止勘查开采矿种</w:t>
            </w:r>
            <w:r>
              <w:rPr>
                <w:rFonts w:hint="eastAsia"/>
                <w:kern w:val="0"/>
                <w:sz w:val="24"/>
              </w:rPr>
              <w:t>。针对矿区开采完成后的生态修复，已编制完成《山西省盂县石鑫矿业有限公司饰面用花岗岩矿资源开发利用和矿山环境保护与土地复垦方案》，并取得了山西省矿业联合会下发的评审意见书（晋矿联技审字〔2025〕163号），项目的建设符合《山西省矿产资源总体规划（2021—2025年）》的有关要求。</w:t>
            </w:r>
          </w:p>
          <w:p w14:paraId="398AF60B">
            <w:pPr>
              <w:autoSpaceDE w:val="0"/>
              <w:autoSpaceDN w:val="0"/>
              <w:adjustRightInd w:val="0"/>
              <w:snapToGrid w:val="0"/>
              <w:spacing w:line="480" w:lineRule="exact"/>
              <w:ind w:firstLine="482" w:firstLineChars="200"/>
              <w:jc w:val="left"/>
              <w:rPr>
                <w:b/>
                <w:bCs/>
                <w:kern w:val="0"/>
                <w:sz w:val="24"/>
              </w:rPr>
            </w:pPr>
            <w:r>
              <w:rPr>
                <w:rFonts w:hint="eastAsia"/>
                <w:b/>
                <w:bCs/>
                <w:kern w:val="0"/>
                <w:sz w:val="24"/>
              </w:rPr>
              <w:t>2.与《山西省矿产资源总体规划（2021</w:t>
            </w:r>
            <w:r>
              <w:rPr>
                <w:rFonts w:hint="eastAsia"/>
                <w:kern w:val="0"/>
                <w:sz w:val="24"/>
              </w:rPr>
              <w:t>—</w:t>
            </w:r>
            <w:r>
              <w:rPr>
                <w:rFonts w:hint="eastAsia"/>
                <w:b/>
                <w:bCs/>
                <w:kern w:val="0"/>
                <w:sz w:val="24"/>
              </w:rPr>
              <w:t>2025年）环境影响报告书》审查意见的符合性分析</w:t>
            </w:r>
          </w:p>
          <w:p w14:paraId="297244A1">
            <w:pPr>
              <w:pStyle w:val="15"/>
              <w:spacing w:line="480" w:lineRule="exact"/>
              <w:rPr>
                <w:rFonts w:eastAsia="宋体"/>
                <w:sz w:val="21"/>
                <w:szCs w:val="21"/>
              </w:rPr>
            </w:pPr>
            <w:r>
              <w:rPr>
                <w:rFonts w:hint="eastAsia" w:eastAsia="宋体"/>
                <w:sz w:val="21"/>
                <w:szCs w:val="21"/>
              </w:rPr>
              <w:t>表1-1 与审查意见的符合性分析一览表</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8"/>
              <w:gridCol w:w="4419"/>
              <w:gridCol w:w="2035"/>
              <w:gridCol w:w="724"/>
            </w:tblGrid>
            <w:tr w14:paraId="04B19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8" w:type="dxa"/>
                  <w:tcBorders>
                    <w:tl2br w:val="nil"/>
                    <w:tr2bl w:val="nil"/>
                  </w:tcBorders>
                  <w:vAlign w:val="center"/>
                </w:tcPr>
                <w:p w14:paraId="529BFEB4">
                  <w:pPr>
                    <w:autoSpaceDE w:val="0"/>
                    <w:autoSpaceDN w:val="0"/>
                    <w:adjustRightInd w:val="0"/>
                    <w:snapToGrid w:val="0"/>
                    <w:jc w:val="center"/>
                    <w:rPr>
                      <w:kern w:val="0"/>
                      <w:szCs w:val="21"/>
                    </w:rPr>
                  </w:pPr>
                  <w:r>
                    <w:rPr>
                      <w:rFonts w:hint="eastAsia"/>
                      <w:kern w:val="0"/>
                      <w:szCs w:val="21"/>
                    </w:rPr>
                    <w:t>序号</w:t>
                  </w:r>
                </w:p>
              </w:tc>
              <w:tc>
                <w:tcPr>
                  <w:tcW w:w="4419" w:type="dxa"/>
                  <w:tcBorders>
                    <w:tl2br w:val="nil"/>
                    <w:tr2bl w:val="nil"/>
                  </w:tcBorders>
                  <w:vAlign w:val="center"/>
                </w:tcPr>
                <w:p w14:paraId="469CFC3E">
                  <w:pPr>
                    <w:autoSpaceDE w:val="0"/>
                    <w:autoSpaceDN w:val="0"/>
                    <w:adjustRightInd w:val="0"/>
                    <w:snapToGrid w:val="0"/>
                    <w:jc w:val="center"/>
                    <w:rPr>
                      <w:kern w:val="0"/>
                      <w:szCs w:val="21"/>
                    </w:rPr>
                  </w:pPr>
                  <w:r>
                    <w:rPr>
                      <w:rFonts w:hint="eastAsia"/>
                      <w:kern w:val="0"/>
                      <w:szCs w:val="21"/>
                    </w:rPr>
                    <w:t>《规划》优化调整和实施的意见</w:t>
                  </w:r>
                </w:p>
              </w:tc>
              <w:tc>
                <w:tcPr>
                  <w:tcW w:w="2035" w:type="dxa"/>
                  <w:tcBorders>
                    <w:tl2br w:val="nil"/>
                    <w:tr2bl w:val="nil"/>
                  </w:tcBorders>
                  <w:vAlign w:val="center"/>
                </w:tcPr>
                <w:p w14:paraId="4E0DA415">
                  <w:pPr>
                    <w:autoSpaceDE w:val="0"/>
                    <w:autoSpaceDN w:val="0"/>
                    <w:adjustRightInd w:val="0"/>
                    <w:snapToGrid w:val="0"/>
                    <w:jc w:val="center"/>
                    <w:rPr>
                      <w:kern w:val="0"/>
                      <w:szCs w:val="21"/>
                    </w:rPr>
                  </w:pPr>
                  <w:r>
                    <w:rPr>
                      <w:rFonts w:hint="eastAsia"/>
                      <w:kern w:val="0"/>
                      <w:szCs w:val="21"/>
                    </w:rPr>
                    <w:t>本项目情况</w:t>
                  </w:r>
                </w:p>
              </w:tc>
              <w:tc>
                <w:tcPr>
                  <w:tcW w:w="724" w:type="dxa"/>
                  <w:tcBorders>
                    <w:tl2br w:val="nil"/>
                    <w:tr2bl w:val="nil"/>
                  </w:tcBorders>
                  <w:vAlign w:val="center"/>
                </w:tcPr>
                <w:p w14:paraId="18C6F245">
                  <w:pPr>
                    <w:autoSpaceDE w:val="0"/>
                    <w:autoSpaceDN w:val="0"/>
                    <w:adjustRightInd w:val="0"/>
                    <w:snapToGrid w:val="0"/>
                    <w:jc w:val="center"/>
                    <w:rPr>
                      <w:kern w:val="0"/>
                      <w:szCs w:val="21"/>
                    </w:rPr>
                  </w:pPr>
                  <w:r>
                    <w:rPr>
                      <w:rFonts w:hint="eastAsia"/>
                      <w:kern w:val="0"/>
                      <w:szCs w:val="21"/>
                    </w:rPr>
                    <w:t>是否符合</w:t>
                  </w:r>
                </w:p>
              </w:tc>
            </w:tr>
            <w:tr w14:paraId="3E4AB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8" w:type="dxa"/>
                  <w:tcBorders>
                    <w:tl2br w:val="nil"/>
                    <w:tr2bl w:val="nil"/>
                  </w:tcBorders>
                  <w:vAlign w:val="center"/>
                </w:tcPr>
                <w:p w14:paraId="0A05D17D">
                  <w:pPr>
                    <w:autoSpaceDE w:val="0"/>
                    <w:autoSpaceDN w:val="0"/>
                    <w:adjustRightInd w:val="0"/>
                    <w:snapToGrid w:val="0"/>
                    <w:jc w:val="center"/>
                    <w:rPr>
                      <w:kern w:val="0"/>
                      <w:szCs w:val="21"/>
                    </w:rPr>
                  </w:pPr>
                  <w:r>
                    <w:rPr>
                      <w:rFonts w:hint="eastAsia"/>
                      <w:kern w:val="0"/>
                      <w:szCs w:val="21"/>
                    </w:rPr>
                    <w:t>1</w:t>
                  </w:r>
                </w:p>
              </w:tc>
              <w:tc>
                <w:tcPr>
                  <w:tcW w:w="4419" w:type="dxa"/>
                  <w:tcBorders>
                    <w:tl2br w:val="nil"/>
                    <w:tr2bl w:val="nil"/>
                  </w:tcBorders>
                  <w:vAlign w:val="center"/>
                </w:tcPr>
                <w:p w14:paraId="554C96B8">
                  <w:pPr>
                    <w:autoSpaceDE w:val="0"/>
                    <w:autoSpaceDN w:val="0"/>
                    <w:adjustRightInd w:val="0"/>
                    <w:snapToGrid w:val="0"/>
                    <w:jc w:val="center"/>
                    <w:rPr>
                      <w:kern w:val="0"/>
                      <w:szCs w:val="21"/>
                    </w:rPr>
                  </w:pPr>
                  <w:r>
                    <w:rPr>
                      <w:rFonts w:hint="eastAsia"/>
                      <w:kern w:val="0"/>
                      <w:szCs w:val="21"/>
                    </w:rPr>
                    <w:t>（一）坚持生态优先、绿色低碳发展。坚持以习近平生态文明思想为指导，立足于生态系统稳定和生态环境质量改善，处理好生态环境保护与矿产资源开发的关系，合理控制矿产资源开发规模与强度，不得占用依法应当禁止开发的区域，优先避让生态环境敏感区域。结合“十三五”末未完成指标任务和“十四五”新要求，加强生物多样性保护，优先避让生态环境敏感区，不得占用依法禁止开发的区域。进一步强化《规划》的生态环境保护总体要求，将细化后的大中型矿山比例、矿山“三率”（开采回采率、选矿回收率、综合利用率）水平、绿色矿山比例等绿色开发的相关目标和指标作为《规划》实施的强约束。《规划》应严格执行国家矿产资源合理开发利用“三率”水平标准，在符合国家有关规定的基础上，矿山“三率”达标率达到85%以上，推动提升煤层气（煤矿瓦斯）采收率和利用率。煤层气地面抽采采收率达到59%以上，致密砂岩气地面抽采采收率达到40%以上，抽采利用率达到90%，煤矿瓦斯利用率达到50%。合理确定布局、结构、规模和开发时序，严格落实《规划》提出的全省矿山总数控制在3200个以内、大中型矿山比例达到35%等要求，新建矿山必须达到绿色矿山建设要求，2025年底前全省绿色矿山创建率力争达到70%。统筹能源安全，落实煤炭等能源保供要求。加快结构调整和转型升级。采取严格的生态保护和修复措施，确保优化后的《规划》符合绿色低碳发展要求，推动生态环境与矿产资源开发目标同步实现。</w:t>
                  </w:r>
                </w:p>
              </w:tc>
              <w:tc>
                <w:tcPr>
                  <w:tcW w:w="2035" w:type="dxa"/>
                  <w:tcBorders>
                    <w:tl2br w:val="nil"/>
                    <w:tr2bl w:val="nil"/>
                  </w:tcBorders>
                  <w:vAlign w:val="center"/>
                </w:tcPr>
                <w:p w14:paraId="382BA00A">
                  <w:pPr>
                    <w:autoSpaceDE w:val="0"/>
                    <w:autoSpaceDN w:val="0"/>
                    <w:adjustRightInd w:val="0"/>
                    <w:snapToGrid w:val="0"/>
                    <w:rPr>
                      <w:kern w:val="0"/>
                      <w:szCs w:val="21"/>
                    </w:rPr>
                  </w:pPr>
                  <w:r>
                    <w:rPr>
                      <w:rFonts w:hint="eastAsia"/>
                      <w:kern w:val="0"/>
                      <w:szCs w:val="21"/>
                    </w:rPr>
                    <w:t>本项目矿区位置不在禁止开发的区域内，不在生态保护红线范围内；</w:t>
                  </w:r>
                </w:p>
                <w:p w14:paraId="11D6495C">
                  <w:pPr>
                    <w:autoSpaceDE w:val="0"/>
                    <w:autoSpaceDN w:val="0"/>
                    <w:adjustRightInd w:val="0"/>
                    <w:snapToGrid w:val="0"/>
                    <w:rPr>
                      <w:kern w:val="0"/>
                      <w:szCs w:val="21"/>
                    </w:rPr>
                  </w:pPr>
                  <w:r>
                    <w:rPr>
                      <w:rFonts w:hint="eastAsia"/>
                      <w:kern w:val="0"/>
                      <w:szCs w:val="21"/>
                    </w:rPr>
                    <w:t>本项目不开采煤层气、致密砂岩气等；</w:t>
                  </w:r>
                </w:p>
                <w:p w14:paraId="7B0DC255">
                  <w:pPr>
                    <w:autoSpaceDE w:val="0"/>
                    <w:autoSpaceDN w:val="0"/>
                    <w:adjustRightInd w:val="0"/>
                    <w:snapToGrid w:val="0"/>
                    <w:rPr>
                      <w:kern w:val="0"/>
                      <w:szCs w:val="21"/>
                    </w:rPr>
                  </w:pPr>
                  <w:r>
                    <w:rPr>
                      <w:rFonts w:hint="eastAsia"/>
                      <w:kern w:val="0"/>
                      <w:szCs w:val="21"/>
                    </w:rPr>
                    <w:t>本项目开采回采率为95%，不涉及选矿，开采过程中剥离的黄土全部用于土地复垦，综合利用率为100%；</w:t>
                  </w:r>
                </w:p>
                <w:p w14:paraId="48EA1CAE">
                  <w:pPr>
                    <w:autoSpaceDE w:val="0"/>
                    <w:autoSpaceDN w:val="0"/>
                    <w:adjustRightInd w:val="0"/>
                    <w:snapToGrid w:val="0"/>
                  </w:pPr>
                  <w:r>
                    <w:rPr>
                      <w:rFonts w:hint="eastAsia"/>
                      <w:kern w:val="0"/>
                      <w:szCs w:val="21"/>
                    </w:rPr>
                    <w:t>本项目严格按照绿色矿山的相关要求进行建设，并采取了严格的生态保护和修复措施。</w:t>
                  </w:r>
                </w:p>
              </w:tc>
              <w:tc>
                <w:tcPr>
                  <w:tcW w:w="724" w:type="dxa"/>
                  <w:tcBorders>
                    <w:tl2br w:val="nil"/>
                    <w:tr2bl w:val="nil"/>
                  </w:tcBorders>
                  <w:vAlign w:val="center"/>
                </w:tcPr>
                <w:p w14:paraId="12A20044">
                  <w:pPr>
                    <w:autoSpaceDE w:val="0"/>
                    <w:autoSpaceDN w:val="0"/>
                    <w:adjustRightInd w:val="0"/>
                    <w:snapToGrid w:val="0"/>
                    <w:jc w:val="center"/>
                    <w:rPr>
                      <w:kern w:val="0"/>
                      <w:szCs w:val="21"/>
                    </w:rPr>
                  </w:pPr>
                  <w:r>
                    <w:rPr>
                      <w:rFonts w:hint="eastAsia"/>
                      <w:kern w:val="0"/>
                      <w:szCs w:val="21"/>
                    </w:rPr>
                    <w:t>符合</w:t>
                  </w:r>
                </w:p>
              </w:tc>
            </w:tr>
            <w:tr w14:paraId="4743A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8" w:type="dxa"/>
                  <w:tcBorders>
                    <w:tl2br w:val="nil"/>
                    <w:tr2bl w:val="nil"/>
                  </w:tcBorders>
                  <w:vAlign w:val="center"/>
                </w:tcPr>
                <w:p w14:paraId="27221BAF">
                  <w:pPr>
                    <w:autoSpaceDE w:val="0"/>
                    <w:autoSpaceDN w:val="0"/>
                    <w:adjustRightInd w:val="0"/>
                    <w:snapToGrid w:val="0"/>
                    <w:jc w:val="center"/>
                    <w:rPr>
                      <w:kern w:val="0"/>
                      <w:szCs w:val="21"/>
                    </w:rPr>
                  </w:pPr>
                  <w:r>
                    <w:rPr>
                      <w:rFonts w:hint="eastAsia"/>
                      <w:kern w:val="0"/>
                      <w:szCs w:val="21"/>
                    </w:rPr>
                    <w:t>2</w:t>
                  </w:r>
                </w:p>
              </w:tc>
              <w:tc>
                <w:tcPr>
                  <w:tcW w:w="4419" w:type="dxa"/>
                  <w:tcBorders>
                    <w:tl2br w:val="nil"/>
                    <w:tr2bl w:val="nil"/>
                  </w:tcBorders>
                  <w:vAlign w:val="center"/>
                </w:tcPr>
                <w:p w14:paraId="14EBFB9D">
                  <w:pPr>
                    <w:autoSpaceDE w:val="0"/>
                    <w:autoSpaceDN w:val="0"/>
                    <w:adjustRightInd w:val="0"/>
                    <w:snapToGrid w:val="0"/>
                    <w:jc w:val="center"/>
                    <w:rPr>
                      <w:kern w:val="0"/>
                      <w:szCs w:val="21"/>
                    </w:rPr>
                  </w:pPr>
                  <w:r>
                    <w:rPr>
                      <w:rFonts w:hint="eastAsia"/>
                      <w:kern w:val="0"/>
                      <w:szCs w:val="21"/>
                    </w:rPr>
                    <w:t>（二）严格保护生态空间，优化《规划》布局。将生态保护红线作为保障和维护区域生态安全的底线，进一步优化矿业权设置和空间布局，依法依规对生态空间实施严格保护。针对与生态保护红线存在空间重叠的6个能源资源基地、20个国家规划矿区、31个重点勘查区和重点开采区等进行优化，确保满足生态保护红线管控要求。针对与自然保护区、森林公园、湿地公园、风景名胜区等生态环境敏感区存在重叠的141个勘查规划区块、58个开采规划区块、19个国家规划矿区、15个重点勘查区和重点开采区等，在矿业权设置时优化开发布局和开采方式，确保符合生态敏感区管控要求</w:t>
                  </w:r>
                </w:p>
              </w:tc>
              <w:tc>
                <w:tcPr>
                  <w:tcW w:w="2035" w:type="dxa"/>
                  <w:tcBorders>
                    <w:tl2br w:val="nil"/>
                    <w:tr2bl w:val="nil"/>
                  </w:tcBorders>
                  <w:vAlign w:val="center"/>
                </w:tcPr>
                <w:p w14:paraId="2D2E1251">
                  <w:pPr>
                    <w:autoSpaceDE w:val="0"/>
                    <w:autoSpaceDN w:val="0"/>
                    <w:adjustRightInd w:val="0"/>
                    <w:snapToGrid w:val="0"/>
                    <w:rPr>
                      <w:kern w:val="0"/>
                      <w:szCs w:val="21"/>
                    </w:rPr>
                  </w:pPr>
                  <w:r>
                    <w:rPr>
                      <w:kern w:val="0"/>
                      <w:szCs w:val="21"/>
                    </w:rPr>
                    <w:t>本项目位于</w:t>
                  </w:r>
                  <w:r>
                    <w:rPr>
                      <w:rFonts w:hint="eastAsia"/>
                      <w:kern w:val="0"/>
                      <w:szCs w:val="21"/>
                    </w:rPr>
                    <w:t>阳泉市盂县西潘乡宋庄村东侧约530m处</w:t>
                  </w:r>
                  <w:r>
                    <w:rPr>
                      <w:kern w:val="0"/>
                      <w:szCs w:val="21"/>
                    </w:rPr>
                    <w:t>，不在《</w:t>
                  </w:r>
                  <w:r>
                    <w:rPr>
                      <w:rFonts w:hint="eastAsia"/>
                      <w:kern w:val="0"/>
                      <w:szCs w:val="21"/>
                    </w:rPr>
                    <w:t>盂县</w:t>
                  </w:r>
                  <w:r>
                    <w:rPr>
                      <w:kern w:val="0"/>
                      <w:szCs w:val="21"/>
                    </w:rPr>
                    <w:t>国土空间总体规划</w:t>
                  </w:r>
                  <w:r>
                    <w:rPr>
                      <w:rFonts w:hint="eastAsia"/>
                      <w:kern w:val="0"/>
                      <w:szCs w:val="21"/>
                    </w:rPr>
                    <w:t>（</w:t>
                  </w:r>
                  <w:r>
                    <w:rPr>
                      <w:kern w:val="0"/>
                      <w:szCs w:val="21"/>
                    </w:rPr>
                    <w:t>2021</w:t>
                  </w:r>
                  <w:r>
                    <w:rPr>
                      <w:rFonts w:hint="eastAsia"/>
                      <w:kern w:val="0"/>
                      <w:szCs w:val="21"/>
                    </w:rPr>
                    <w:t>—</w:t>
                  </w:r>
                  <w:r>
                    <w:rPr>
                      <w:kern w:val="0"/>
                      <w:szCs w:val="21"/>
                    </w:rPr>
                    <w:t>2035年</w:t>
                  </w:r>
                  <w:r>
                    <w:rPr>
                      <w:rFonts w:hint="eastAsia"/>
                      <w:kern w:val="0"/>
                      <w:szCs w:val="21"/>
                    </w:rPr>
                    <w:t>）</w:t>
                  </w:r>
                  <w:r>
                    <w:rPr>
                      <w:kern w:val="0"/>
                      <w:szCs w:val="21"/>
                    </w:rPr>
                    <w:t>》中划定的永久基本农田保护红线、城镇开发边界以及生态保护红线范围内。</w:t>
                  </w:r>
                </w:p>
              </w:tc>
              <w:tc>
                <w:tcPr>
                  <w:tcW w:w="724" w:type="dxa"/>
                  <w:tcBorders>
                    <w:tl2br w:val="nil"/>
                    <w:tr2bl w:val="nil"/>
                  </w:tcBorders>
                  <w:vAlign w:val="center"/>
                </w:tcPr>
                <w:p w14:paraId="27682F35">
                  <w:pPr>
                    <w:autoSpaceDE w:val="0"/>
                    <w:autoSpaceDN w:val="0"/>
                    <w:adjustRightInd w:val="0"/>
                    <w:snapToGrid w:val="0"/>
                    <w:jc w:val="center"/>
                    <w:rPr>
                      <w:kern w:val="0"/>
                      <w:szCs w:val="21"/>
                    </w:rPr>
                  </w:pPr>
                  <w:r>
                    <w:rPr>
                      <w:rFonts w:hint="eastAsia"/>
                      <w:kern w:val="0"/>
                      <w:szCs w:val="21"/>
                    </w:rPr>
                    <w:t>符合</w:t>
                  </w:r>
                </w:p>
              </w:tc>
            </w:tr>
            <w:tr w14:paraId="0C1CD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8" w:type="dxa"/>
                  <w:tcBorders>
                    <w:tl2br w:val="nil"/>
                    <w:tr2bl w:val="nil"/>
                  </w:tcBorders>
                  <w:vAlign w:val="center"/>
                </w:tcPr>
                <w:p w14:paraId="6A8C241C">
                  <w:pPr>
                    <w:autoSpaceDE w:val="0"/>
                    <w:autoSpaceDN w:val="0"/>
                    <w:adjustRightInd w:val="0"/>
                    <w:snapToGrid w:val="0"/>
                    <w:jc w:val="center"/>
                    <w:rPr>
                      <w:kern w:val="0"/>
                      <w:szCs w:val="21"/>
                    </w:rPr>
                  </w:pPr>
                  <w:r>
                    <w:rPr>
                      <w:rFonts w:hint="eastAsia"/>
                      <w:kern w:val="0"/>
                      <w:szCs w:val="21"/>
                    </w:rPr>
                    <w:t>3</w:t>
                  </w:r>
                </w:p>
              </w:tc>
              <w:tc>
                <w:tcPr>
                  <w:tcW w:w="4419" w:type="dxa"/>
                  <w:tcBorders>
                    <w:tl2br w:val="nil"/>
                    <w:tr2bl w:val="nil"/>
                  </w:tcBorders>
                  <w:vAlign w:val="center"/>
                </w:tcPr>
                <w:p w14:paraId="0BF06B65">
                  <w:pPr>
                    <w:autoSpaceDE w:val="0"/>
                    <w:autoSpaceDN w:val="0"/>
                    <w:adjustRightInd w:val="0"/>
                    <w:snapToGrid w:val="0"/>
                    <w:jc w:val="center"/>
                    <w:rPr>
                      <w:kern w:val="0"/>
                      <w:szCs w:val="21"/>
                    </w:rPr>
                  </w:pPr>
                  <w:r>
                    <w:rPr>
                      <w:rFonts w:hint="eastAsia"/>
                      <w:kern w:val="0"/>
                      <w:szCs w:val="21"/>
                    </w:rPr>
                    <w:t>（三）严格产业准入，合理控制矿山开采种类和规模。严格落实《规划》提出的全省煤炭产能总量控制和25个重点矿种矿山最低开采规模要求。切实提高大中型矿山比例，加大落后产能和小型矿山的淘汰力度，依法关闭资源和环境破坏严重、限期整改仍不满足环保、安全等标准要求的矿山，促进矿区、矿山绿色低碳转型发展。重点区域不再规划新建露天矿山，禁止在河道内开采</w:t>
                  </w:r>
                  <w:r>
                    <w:rPr>
                      <w:rFonts w:hint="eastAsia"/>
                      <w:kern w:val="0"/>
                      <w:szCs w:val="21"/>
                      <w:lang w:eastAsia="zh-CN"/>
                    </w:rPr>
                    <w:t>沙金</w:t>
                  </w:r>
                  <w:r>
                    <w:rPr>
                      <w:rFonts w:hint="eastAsia"/>
                      <w:kern w:val="0"/>
                      <w:szCs w:val="21"/>
                    </w:rPr>
                    <w:t>，限制开采高硫、高灰、低发热量等煤炭资源。严格尾矿库的新建和管理，确保符合相关要求</w:t>
                  </w:r>
                </w:p>
              </w:tc>
              <w:tc>
                <w:tcPr>
                  <w:tcW w:w="2035" w:type="dxa"/>
                  <w:tcBorders>
                    <w:tl2br w:val="nil"/>
                    <w:tr2bl w:val="nil"/>
                  </w:tcBorders>
                  <w:vAlign w:val="center"/>
                </w:tcPr>
                <w:p w14:paraId="2516E320">
                  <w:pPr>
                    <w:autoSpaceDE w:val="0"/>
                    <w:autoSpaceDN w:val="0"/>
                    <w:adjustRightInd w:val="0"/>
                    <w:snapToGrid w:val="0"/>
                  </w:pPr>
                  <w:r>
                    <w:rPr>
                      <w:rFonts w:hint="eastAsia"/>
                      <w:kern w:val="0"/>
                      <w:szCs w:val="21"/>
                    </w:rPr>
                    <w:t>本项目开采矿种为饰面用花岗岩，开采能力为2万m</w:t>
                  </w:r>
                  <w:r>
                    <w:rPr>
                      <w:rFonts w:hint="eastAsia"/>
                      <w:kern w:val="0"/>
                      <w:szCs w:val="21"/>
                      <w:vertAlign w:val="superscript"/>
                    </w:rPr>
                    <w:t>3</w:t>
                  </w:r>
                  <w:r>
                    <w:rPr>
                      <w:rFonts w:hint="eastAsia"/>
                      <w:kern w:val="0"/>
                      <w:szCs w:val="21"/>
                    </w:rPr>
                    <w:t>/年，能够满足最低开采规模的要求；本项目严格按照绿色矿山的要求进行；本项目不在河道内开采</w:t>
                  </w:r>
                  <w:r>
                    <w:rPr>
                      <w:rFonts w:hint="eastAsia"/>
                      <w:kern w:val="0"/>
                      <w:szCs w:val="21"/>
                      <w:lang w:eastAsia="zh-CN"/>
                    </w:rPr>
                    <w:t>沙金</w:t>
                  </w:r>
                  <w:r>
                    <w:rPr>
                      <w:rFonts w:hint="eastAsia"/>
                      <w:kern w:val="0"/>
                      <w:szCs w:val="21"/>
                    </w:rPr>
                    <w:t>，不开采高硫、高灰以及低发热量的煤炭资源；本项目不涉及尾矿库。</w:t>
                  </w:r>
                </w:p>
              </w:tc>
              <w:tc>
                <w:tcPr>
                  <w:tcW w:w="724" w:type="dxa"/>
                  <w:tcBorders>
                    <w:tl2br w:val="nil"/>
                    <w:tr2bl w:val="nil"/>
                  </w:tcBorders>
                  <w:vAlign w:val="center"/>
                </w:tcPr>
                <w:p w14:paraId="42597DFE">
                  <w:pPr>
                    <w:autoSpaceDE w:val="0"/>
                    <w:autoSpaceDN w:val="0"/>
                    <w:adjustRightInd w:val="0"/>
                    <w:snapToGrid w:val="0"/>
                    <w:jc w:val="center"/>
                    <w:rPr>
                      <w:kern w:val="0"/>
                      <w:szCs w:val="21"/>
                    </w:rPr>
                  </w:pPr>
                  <w:r>
                    <w:rPr>
                      <w:rFonts w:hint="eastAsia"/>
                      <w:kern w:val="0"/>
                      <w:szCs w:val="21"/>
                    </w:rPr>
                    <w:t>符合</w:t>
                  </w:r>
                </w:p>
              </w:tc>
            </w:tr>
            <w:tr w14:paraId="49293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8" w:type="dxa"/>
                  <w:tcBorders>
                    <w:tl2br w:val="nil"/>
                    <w:tr2bl w:val="nil"/>
                  </w:tcBorders>
                  <w:vAlign w:val="center"/>
                </w:tcPr>
                <w:p w14:paraId="31185D8E">
                  <w:pPr>
                    <w:autoSpaceDE w:val="0"/>
                    <w:autoSpaceDN w:val="0"/>
                    <w:adjustRightInd w:val="0"/>
                    <w:snapToGrid w:val="0"/>
                    <w:jc w:val="center"/>
                    <w:rPr>
                      <w:kern w:val="0"/>
                      <w:szCs w:val="21"/>
                    </w:rPr>
                  </w:pPr>
                  <w:r>
                    <w:rPr>
                      <w:rFonts w:hint="eastAsia"/>
                      <w:kern w:val="0"/>
                      <w:szCs w:val="21"/>
                    </w:rPr>
                    <w:t>4</w:t>
                  </w:r>
                </w:p>
              </w:tc>
              <w:tc>
                <w:tcPr>
                  <w:tcW w:w="4419" w:type="dxa"/>
                  <w:tcBorders>
                    <w:tl2br w:val="nil"/>
                    <w:tr2bl w:val="nil"/>
                  </w:tcBorders>
                  <w:vAlign w:val="center"/>
                </w:tcPr>
                <w:p w14:paraId="6002876B">
                  <w:pPr>
                    <w:autoSpaceDE w:val="0"/>
                    <w:autoSpaceDN w:val="0"/>
                    <w:adjustRightInd w:val="0"/>
                    <w:snapToGrid w:val="0"/>
                    <w:jc w:val="center"/>
                    <w:rPr>
                      <w:kern w:val="0"/>
                      <w:szCs w:val="21"/>
                    </w:rPr>
                  </w:pPr>
                  <w:r>
                    <w:rPr>
                      <w:rFonts w:hint="eastAsia"/>
                      <w:kern w:val="0"/>
                      <w:szCs w:val="21"/>
                    </w:rPr>
                    <w:t>（四）严格环境准入，保护区域生态功能。落实山西省生态环境分区管控方案、生态环境保护规划等要求，与大气环境优先保护区、水环境优先保护区、土壤环境优先保护区等存在空间重叠的现有矿业权、勘查规划区块、开采规划区块，应严格执行相应管控要求，控制勘查、开采活动范围和强度。落实绿色勘查、绿色开采及矿山环境保护、生态修复相关要求，严控露天开采，避免加重地下水位下降、煤矸石堆存等生态环境问题。</w:t>
                  </w:r>
                </w:p>
              </w:tc>
              <w:tc>
                <w:tcPr>
                  <w:tcW w:w="2035" w:type="dxa"/>
                  <w:tcBorders>
                    <w:tl2br w:val="nil"/>
                    <w:tr2bl w:val="nil"/>
                  </w:tcBorders>
                  <w:vAlign w:val="center"/>
                </w:tcPr>
                <w:p w14:paraId="3B5BF19D">
                  <w:pPr>
                    <w:autoSpaceDE w:val="0"/>
                    <w:autoSpaceDN w:val="0"/>
                    <w:adjustRightInd w:val="0"/>
                    <w:snapToGrid w:val="0"/>
                    <w:jc w:val="center"/>
                    <w:rPr>
                      <w:kern w:val="0"/>
                      <w:szCs w:val="21"/>
                    </w:rPr>
                  </w:pPr>
                  <w:r>
                    <w:rPr>
                      <w:rFonts w:hint="eastAsia"/>
                      <w:kern w:val="0"/>
                      <w:szCs w:val="21"/>
                    </w:rPr>
                    <w:t>本项目的建设满足山西省生态环境保护规划的相关要求；矿区位置不在大气、水、土壤等优先保护区范围内；本项目严格按照绿色矿山的相关要求进行建设。</w:t>
                  </w:r>
                </w:p>
              </w:tc>
              <w:tc>
                <w:tcPr>
                  <w:tcW w:w="724" w:type="dxa"/>
                  <w:tcBorders>
                    <w:tl2br w:val="nil"/>
                    <w:tr2bl w:val="nil"/>
                  </w:tcBorders>
                  <w:vAlign w:val="center"/>
                </w:tcPr>
                <w:p w14:paraId="7D848CEB">
                  <w:pPr>
                    <w:autoSpaceDE w:val="0"/>
                    <w:autoSpaceDN w:val="0"/>
                    <w:adjustRightInd w:val="0"/>
                    <w:snapToGrid w:val="0"/>
                    <w:jc w:val="center"/>
                    <w:rPr>
                      <w:kern w:val="0"/>
                      <w:szCs w:val="21"/>
                    </w:rPr>
                  </w:pPr>
                  <w:r>
                    <w:rPr>
                      <w:rFonts w:hint="eastAsia"/>
                      <w:kern w:val="0"/>
                      <w:szCs w:val="21"/>
                    </w:rPr>
                    <w:t>符合</w:t>
                  </w:r>
                </w:p>
              </w:tc>
            </w:tr>
            <w:tr w14:paraId="1287E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8" w:type="dxa"/>
                  <w:tcBorders>
                    <w:tl2br w:val="nil"/>
                    <w:tr2bl w:val="nil"/>
                  </w:tcBorders>
                  <w:vAlign w:val="center"/>
                </w:tcPr>
                <w:p w14:paraId="16260A63">
                  <w:pPr>
                    <w:autoSpaceDE w:val="0"/>
                    <w:autoSpaceDN w:val="0"/>
                    <w:adjustRightInd w:val="0"/>
                    <w:snapToGrid w:val="0"/>
                    <w:jc w:val="center"/>
                    <w:rPr>
                      <w:kern w:val="0"/>
                      <w:szCs w:val="21"/>
                    </w:rPr>
                  </w:pPr>
                  <w:r>
                    <w:rPr>
                      <w:rFonts w:hint="eastAsia"/>
                      <w:kern w:val="0"/>
                      <w:szCs w:val="21"/>
                    </w:rPr>
                    <w:t>5</w:t>
                  </w:r>
                </w:p>
              </w:tc>
              <w:tc>
                <w:tcPr>
                  <w:tcW w:w="4419" w:type="dxa"/>
                  <w:tcBorders>
                    <w:tl2br w:val="nil"/>
                    <w:tr2bl w:val="nil"/>
                  </w:tcBorders>
                  <w:vAlign w:val="center"/>
                </w:tcPr>
                <w:p w14:paraId="20CB338E">
                  <w:pPr>
                    <w:autoSpaceDE w:val="0"/>
                    <w:autoSpaceDN w:val="0"/>
                    <w:adjustRightInd w:val="0"/>
                    <w:snapToGrid w:val="0"/>
                    <w:jc w:val="center"/>
                    <w:rPr>
                      <w:kern w:val="0"/>
                      <w:szCs w:val="21"/>
                    </w:rPr>
                  </w:pPr>
                  <w:r>
                    <w:rPr>
                      <w:rFonts w:hint="eastAsia"/>
                      <w:kern w:val="0"/>
                      <w:szCs w:val="21"/>
                    </w:rPr>
                    <w:t>（五）加强矿山生态修复和环境治理。结合区域生态环境质量改善目标和主要生态环境问题，制定分区域、分矿种的矿山生态修复和环境治理方案。强化矿山关闭的生态环境保护要求，明确污染治理、生态修复的任务、要求和措施，确保“十四五”规划期生态修复治理面积达到240万平方公里。统筹推进采煤沉陷区、历史遗留矿山的综合治理，加快矸石山处理处置，对可能造成地表沉陷、地下水位下降、重金属污染等环境问题的矿区，应进一步优化开发方式，加大治理投入。</w:t>
                  </w:r>
                </w:p>
              </w:tc>
              <w:tc>
                <w:tcPr>
                  <w:tcW w:w="2035" w:type="dxa"/>
                  <w:tcBorders>
                    <w:tl2br w:val="nil"/>
                    <w:tr2bl w:val="nil"/>
                  </w:tcBorders>
                  <w:vAlign w:val="center"/>
                </w:tcPr>
                <w:p w14:paraId="27650A71">
                  <w:pPr>
                    <w:autoSpaceDE w:val="0"/>
                    <w:autoSpaceDN w:val="0"/>
                    <w:adjustRightInd w:val="0"/>
                    <w:snapToGrid w:val="0"/>
                    <w:jc w:val="center"/>
                    <w:rPr>
                      <w:kern w:val="0"/>
                      <w:szCs w:val="21"/>
                    </w:rPr>
                  </w:pPr>
                  <w:r>
                    <w:rPr>
                      <w:kern w:val="0"/>
                      <w:szCs w:val="21"/>
                    </w:rPr>
                    <w:t>本项目编制完成了</w:t>
                  </w:r>
                  <w:r>
                    <w:rPr>
                      <w:rFonts w:hint="eastAsia"/>
                      <w:kern w:val="0"/>
                      <w:szCs w:val="21"/>
                    </w:rPr>
                    <w:t>《山西省盂县石鑫矿业有限公司饰面用花岗岩矿资源开发利用和矿山环境保护与土地复垦方案》</w:t>
                  </w:r>
                  <w:r>
                    <w:rPr>
                      <w:kern w:val="0"/>
                      <w:szCs w:val="21"/>
                    </w:rPr>
                    <w:t>，并取得了山西省矿业联合会下发的评审意见书（</w:t>
                  </w:r>
                  <w:r>
                    <w:rPr>
                      <w:rFonts w:hint="eastAsia"/>
                      <w:kern w:val="0"/>
                      <w:szCs w:val="21"/>
                    </w:rPr>
                    <w:t>晋矿联技审字〔2025〕163号</w:t>
                  </w:r>
                  <w:r>
                    <w:rPr>
                      <w:kern w:val="0"/>
                      <w:szCs w:val="21"/>
                    </w:rPr>
                    <w:t>）；建设单位将严格按照报告计划进行生态治理。</w:t>
                  </w:r>
                </w:p>
              </w:tc>
              <w:tc>
                <w:tcPr>
                  <w:tcW w:w="724" w:type="dxa"/>
                  <w:tcBorders>
                    <w:tl2br w:val="nil"/>
                    <w:tr2bl w:val="nil"/>
                  </w:tcBorders>
                  <w:vAlign w:val="center"/>
                </w:tcPr>
                <w:p w14:paraId="05C37853">
                  <w:pPr>
                    <w:autoSpaceDE w:val="0"/>
                    <w:autoSpaceDN w:val="0"/>
                    <w:adjustRightInd w:val="0"/>
                    <w:snapToGrid w:val="0"/>
                    <w:jc w:val="center"/>
                    <w:rPr>
                      <w:kern w:val="0"/>
                      <w:szCs w:val="21"/>
                    </w:rPr>
                  </w:pPr>
                  <w:r>
                    <w:rPr>
                      <w:rFonts w:hint="eastAsia"/>
                      <w:kern w:val="0"/>
                      <w:szCs w:val="21"/>
                    </w:rPr>
                    <w:t>符合</w:t>
                  </w:r>
                </w:p>
              </w:tc>
            </w:tr>
            <w:tr w14:paraId="08A66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8" w:type="dxa"/>
                  <w:tcBorders>
                    <w:tl2br w:val="nil"/>
                    <w:tr2bl w:val="nil"/>
                  </w:tcBorders>
                  <w:vAlign w:val="center"/>
                </w:tcPr>
                <w:p w14:paraId="496775BD">
                  <w:pPr>
                    <w:autoSpaceDE w:val="0"/>
                    <w:autoSpaceDN w:val="0"/>
                    <w:adjustRightInd w:val="0"/>
                    <w:snapToGrid w:val="0"/>
                    <w:jc w:val="center"/>
                    <w:rPr>
                      <w:kern w:val="0"/>
                      <w:szCs w:val="21"/>
                    </w:rPr>
                  </w:pPr>
                  <w:r>
                    <w:rPr>
                      <w:rFonts w:hint="eastAsia"/>
                      <w:kern w:val="0"/>
                      <w:szCs w:val="21"/>
                    </w:rPr>
                    <w:t>6</w:t>
                  </w:r>
                </w:p>
              </w:tc>
              <w:tc>
                <w:tcPr>
                  <w:tcW w:w="4419" w:type="dxa"/>
                  <w:tcBorders>
                    <w:tl2br w:val="nil"/>
                    <w:tr2bl w:val="nil"/>
                  </w:tcBorders>
                  <w:vAlign w:val="center"/>
                </w:tcPr>
                <w:p w14:paraId="03F6A11A">
                  <w:pPr>
                    <w:autoSpaceDE w:val="0"/>
                    <w:autoSpaceDN w:val="0"/>
                    <w:adjustRightInd w:val="0"/>
                    <w:snapToGrid w:val="0"/>
                    <w:jc w:val="center"/>
                    <w:rPr>
                      <w:kern w:val="0"/>
                      <w:szCs w:val="21"/>
                    </w:rPr>
                  </w:pPr>
                  <w:r>
                    <w:rPr>
                      <w:rFonts w:hint="eastAsia"/>
                      <w:kern w:val="0"/>
                      <w:szCs w:val="21"/>
                    </w:rPr>
                    <w:t>（六）加强</w:t>
                  </w:r>
                  <w:r>
                    <w:rPr>
                      <w:rFonts w:hint="eastAsia"/>
                      <w:kern w:val="0"/>
                      <w:szCs w:val="21"/>
                      <w:lang w:eastAsia="zh-CN"/>
                    </w:rPr>
                    <w:t>生态环境保护督察</w:t>
                  </w:r>
                  <w:r>
                    <w:rPr>
                      <w:rFonts w:hint="eastAsia"/>
                      <w:kern w:val="0"/>
                      <w:szCs w:val="21"/>
                    </w:rPr>
                    <w:t>和预警。明确责任主体、强化资金保障，推进重点矿区建设涵养生态、地表水、地下水、土壤等要素的长期监测监控体系。在用尾矿库100%安装在线监测装置。组织开展主要矿种集中开采区域生态修复效果评估，并根据监测和评估结果增加或优化必要的保护措施。针对地表水环境及土壤环境累计影响、地下水环境质量下降、生态退化等情况，建立预警机制。</w:t>
                  </w:r>
                </w:p>
              </w:tc>
              <w:tc>
                <w:tcPr>
                  <w:tcW w:w="2035" w:type="dxa"/>
                  <w:tcBorders>
                    <w:tl2br w:val="nil"/>
                    <w:tr2bl w:val="nil"/>
                  </w:tcBorders>
                  <w:vAlign w:val="center"/>
                </w:tcPr>
                <w:p w14:paraId="4DF9A55C">
                  <w:pPr>
                    <w:autoSpaceDE w:val="0"/>
                    <w:autoSpaceDN w:val="0"/>
                    <w:adjustRightInd w:val="0"/>
                    <w:snapToGrid w:val="0"/>
                    <w:jc w:val="center"/>
                    <w:rPr>
                      <w:kern w:val="0"/>
                      <w:szCs w:val="21"/>
                    </w:rPr>
                  </w:pPr>
                  <w:r>
                    <w:rPr>
                      <w:rFonts w:hint="eastAsia"/>
                      <w:kern w:val="0"/>
                      <w:szCs w:val="21"/>
                    </w:rPr>
                    <w:t>本项目生态恢复完成后，将加强对土地复垦的监测及管护，针对监测及管护存在的问题，增加或优化必要的保护措施。</w:t>
                  </w:r>
                </w:p>
              </w:tc>
              <w:tc>
                <w:tcPr>
                  <w:tcW w:w="724" w:type="dxa"/>
                  <w:tcBorders>
                    <w:tl2br w:val="nil"/>
                    <w:tr2bl w:val="nil"/>
                  </w:tcBorders>
                  <w:vAlign w:val="center"/>
                </w:tcPr>
                <w:p w14:paraId="3122D361">
                  <w:pPr>
                    <w:autoSpaceDE w:val="0"/>
                    <w:autoSpaceDN w:val="0"/>
                    <w:adjustRightInd w:val="0"/>
                    <w:snapToGrid w:val="0"/>
                    <w:jc w:val="center"/>
                    <w:rPr>
                      <w:kern w:val="0"/>
                      <w:szCs w:val="21"/>
                    </w:rPr>
                  </w:pPr>
                  <w:r>
                    <w:rPr>
                      <w:rFonts w:hint="eastAsia"/>
                      <w:kern w:val="0"/>
                      <w:szCs w:val="21"/>
                    </w:rPr>
                    <w:t>符合</w:t>
                  </w:r>
                </w:p>
              </w:tc>
            </w:tr>
          </w:tbl>
          <w:p w14:paraId="3CEC6F0A">
            <w:pPr>
              <w:autoSpaceDE w:val="0"/>
              <w:autoSpaceDN w:val="0"/>
              <w:adjustRightInd w:val="0"/>
              <w:snapToGrid w:val="0"/>
              <w:spacing w:line="480" w:lineRule="exact"/>
              <w:ind w:firstLine="482" w:firstLineChars="200"/>
              <w:jc w:val="left"/>
              <w:rPr>
                <w:b/>
                <w:bCs/>
                <w:kern w:val="0"/>
                <w:sz w:val="24"/>
              </w:rPr>
            </w:pPr>
            <w:r>
              <w:rPr>
                <w:rFonts w:hint="eastAsia"/>
                <w:b/>
                <w:bCs/>
                <w:kern w:val="0"/>
                <w:sz w:val="24"/>
              </w:rPr>
              <w:t>3.与《阳泉市矿产资源总体规划（2021—2025年）》符合性分析</w:t>
            </w:r>
          </w:p>
          <w:p w14:paraId="78002F77">
            <w:pPr>
              <w:autoSpaceDE w:val="0"/>
              <w:autoSpaceDN w:val="0"/>
              <w:adjustRightInd w:val="0"/>
              <w:snapToGrid w:val="0"/>
              <w:spacing w:line="480" w:lineRule="exact"/>
              <w:ind w:firstLine="480" w:firstLineChars="200"/>
              <w:jc w:val="left"/>
              <w:rPr>
                <w:kern w:val="0"/>
                <w:sz w:val="24"/>
              </w:rPr>
            </w:pPr>
            <w:r>
              <w:rPr>
                <w:rFonts w:hint="eastAsia"/>
                <w:kern w:val="0"/>
                <w:sz w:val="24"/>
              </w:rPr>
              <w:t>2023年7月14日，阳泉市人民政府办公室以“阳政办发〔2023〕56号”下发了《关于印发〈阳泉市2021—2025年矿产资源总体规划〉的通知》，本项目与《阳泉市矿产资源总体规划（2021—2025年）》的符合性分析详见下表。</w:t>
            </w:r>
          </w:p>
          <w:p w14:paraId="5027E0A2">
            <w:pPr>
              <w:pStyle w:val="15"/>
              <w:spacing w:line="480" w:lineRule="exact"/>
              <w:rPr>
                <w:rFonts w:eastAsia="宋体"/>
                <w:b/>
                <w:bCs/>
                <w:kern w:val="0"/>
                <w:sz w:val="21"/>
                <w:szCs w:val="21"/>
              </w:rPr>
            </w:pPr>
            <w:r>
              <w:rPr>
                <w:rFonts w:hint="eastAsia" w:eastAsia="宋体"/>
                <w:sz w:val="21"/>
                <w:szCs w:val="21"/>
              </w:rPr>
              <w:t>表1-2  本项目与《阳泉市矿产资源总体规划（2021—2025年）》的符合性分析</w:t>
            </w:r>
          </w:p>
          <w:tbl>
            <w:tblPr>
              <w:tblStyle w:val="30"/>
              <w:tblW w:w="493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1"/>
              <w:gridCol w:w="464"/>
              <w:gridCol w:w="3435"/>
              <w:gridCol w:w="2926"/>
              <w:gridCol w:w="453"/>
            </w:tblGrid>
            <w:tr w14:paraId="049BE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0" w:type="pct"/>
                  <w:gridSpan w:val="2"/>
                  <w:tcBorders>
                    <w:tl2br w:val="nil"/>
                    <w:tr2bl w:val="nil"/>
                  </w:tcBorders>
                  <w:vAlign w:val="center"/>
                </w:tcPr>
                <w:p w14:paraId="413E4469">
                  <w:pPr>
                    <w:autoSpaceDE w:val="0"/>
                    <w:autoSpaceDN w:val="0"/>
                    <w:adjustRightInd w:val="0"/>
                    <w:snapToGrid w:val="0"/>
                    <w:jc w:val="center"/>
                    <w:rPr>
                      <w:kern w:val="0"/>
                      <w:szCs w:val="21"/>
                    </w:rPr>
                  </w:pPr>
                  <w:r>
                    <w:rPr>
                      <w:rFonts w:hint="eastAsia"/>
                      <w:kern w:val="0"/>
                      <w:szCs w:val="21"/>
                    </w:rPr>
                    <w:t>序号</w:t>
                  </w:r>
                </w:p>
              </w:tc>
              <w:tc>
                <w:tcPr>
                  <w:tcW w:w="2207" w:type="pct"/>
                  <w:tcBorders>
                    <w:tl2br w:val="nil"/>
                    <w:tr2bl w:val="nil"/>
                  </w:tcBorders>
                  <w:vAlign w:val="center"/>
                </w:tcPr>
                <w:p w14:paraId="121B1B49">
                  <w:pPr>
                    <w:autoSpaceDE w:val="0"/>
                    <w:autoSpaceDN w:val="0"/>
                    <w:adjustRightInd w:val="0"/>
                    <w:snapToGrid w:val="0"/>
                    <w:jc w:val="center"/>
                    <w:rPr>
                      <w:kern w:val="0"/>
                      <w:szCs w:val="21"/>
                    </w:rPr>
                  </w:pPr>
                  <w:r>
                    <w:rPr>
                      <w:rFonts w:hint="eastAsia"/>
                      <w:kern w:val="0"/>
                      <w:szCs w:val="21"/>
                    </w:rPr>
                    <w:t>管控要求</w:t>
                  </w:r>
                </w:p>
              </w:tc>
              <w:tc>
                <w:tcPr>
                  <w:tcW w:w="1880" w:type="pct"/>
                  <w:tcBorders>
                    <w:tl2br w:val="nil"/>
                    <w:tr2bl w:val="nil"/>
                  </w:tcBorders>
                  <w:vAlign w:val="center"/>
                </w:tcPr>
                <w:p w14:paraId="6647BF37">
                  <w:pPr>
                    <w:autoSpaceDE w:val="0"/>
                    <w:autoSpaceDN w:val="0"/>
                    <w:adjustRightInd w:val="0"/>
                    <w:snapToGrid w:val="0"/>
                    <w:jc w:val="center"/>
                    <w:rPr>
                      <w:kern w:val="0"/>
                      <w:szCs w:val="21"/>
                    </w:rPr>
                  </w:pPr>
                  <w:r>
                    <w:rPr>
                      <w:rFonts w:hint="eastAsia"/>
                      <w:kern w:val="0"/>
                      <w:szCs w:val="21"/>
                    </w:rPr>
                    <w:t>本项目情况</w:t>
                  </w:r>
                </w:p>
              </w:tc>
              <w:tc>
                <w:tcPr>
                  <w:tcW w:w="291" w:type="pct"/>
                  <w:tcBorders>
                    <w:tl2br w:val="nil"/>
                    <w:tr2bl w:val="nil"/>
                  </w:tcBorders>
                  <w:vAlign w:val="center"/>
                </w:tcPr>
                <w:p w14:paraId="29090356">
                  <w:pPr>
                    <w:autoSpaceDE w:val="0"/>
                    <w:autoSpaceDN w:val="0"/>
                    <w:adjustRightInd w:val="0"/>
                    <w:snapToGrid w:val="0"/>
                    <w:ind w:left="-105" w:leftChars="-50" w:right="-105" w:rightChars="-50"/>
                    <w:jc w:val="center"/>
                    <w:rPr>
                      <w:kern w:val="0"/>
                      <w:szCs w:val="21"/>
                    </w:rPr>
                  </w:pPr>
                  <w:r>
                    <w:rPr>
                      <w:rFonts w:hint="eastAsia"/>
                      <w:kern w:val="0"/>
                      <w:szCs w:val="21"/>
                    </w:rPr>
                    <w:t>是否符合</w:t>
                  </w:r>
                </w:p>
              </w:tc>
            </w:tr>
            <w:tr w14:paraId="3F8E6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2" w:type="pct"/>
                  <w:tcBorders>
                    <w:tl2br w:val="nil"/>
                    <w:tr2bl w:val="nil"/>
                  </w:tcBorders>
                  <w:vAlign w:val="center"/>
                </w:tcPr>
                <w:p w14:paraId="69A737AC">
                  <w:pPr>
                    <w:autoSpaceDE w:val="0"/>
                    <w:autoSpaceDN w:val="0"/>
                    <w:adjustRightInd w:val="0"/>
                    <w:snapToGrid w:val="0"/>
                    <w:jc w:val="center"/>
                    <w:rPr>
                      <w:kern w:val="0"/>
                      <w:szCs w:val="21"/>
                    </w:rPr>
                  </w:pPr>
                  <w:r>
                    <w:rPr>
                      <w:rFonts w:hint="eastAsia"/>
                      <w:kern w:val="0"/>
                      <w:szCs w:val="21"/>
                    </w:rPr>
                    <w:t>1</w:t>
                  </w:r>
                </w:p>
              </w:tc>
              <w:tc>
                <w:tcPr>
                  <w:tcW w:w="298" w:type="pct"/>
                  <w:tcBorders>
                    <w:tl2br w:val="nil"/>
                    <w:tr2bl w:val="nil"/>
                  </w:tcBorders>
                  <w:vAlign w:val="center"/>
                </w:tcPr>
                <w:p w14:paraId="4E9E368E">
                  <w:pPr>
                    <w:autoSpaceDE w:val="0"/>
                    <w:autoSpaceDN w:val="0"/>
                    <w:adjustRightInd w:val="0"/>
                    <w:snapToGrid w:val="0"/>
                    <w:jc w:val="center"/>
                    <w:rPr>
                      <w:kern w:val="0"/>
                      <w:szCs w:val="21"/>
                    </w:rPr>
                  </w:pPr>
                  <w:r>
                    <w:rPr>
                      <w:rFonts w:hint="eastAsia"/>
                      <w:kern w:val="0"/>
                      <w:szCs w:val="21"/>
                    </w:rPr>
                    <w:t>矿山规模</w:t>
                  </w:r>
                </w:p>
              </w:tc>
              <w:tc>
                <w:tcPr>
                  <w:tcW w:w="2207" w:type="pct"/>
                  <w:tcBorders>
                    <w:tl2br w:val="nil"/>
                    <w:tr2bl w:val="nil"/>
                  </w:tcBorders>
                  <w:vAlign w:val="center"/>
                </w:tcPr>
                <w:p w14:paraId="05A58603">
                  <w:pPr>
                    <w:autoSpaceDE w:val="0"/>
                    <w:autoSpaceDN w:val="0"/>
                    <w:adjustRightInd w:val="0"/>
                    <w:snapToGrid w:val="0"/>
                    <w:jc w:val="center"/>
                    <w:rPr>
                      <w:kern w:val="0"/>
                      <w:szCs w:val="21"/>
                    </w:rPr>
                  </w:pPr>
                  <w:r>
                    <w:rPr>
                      <w:rFonts w:hint="eastAsia"/>
                      <w:kern w:val="0"/>
                      <w:szCs w:val="21"/>
                    </w:rPr>
                    <w:t>最低开采规模条件：属于省级发证矿山，新建矿山生产规模按照省级规划执行；建筑石料用石灰岩矿最低开采规模50万吨/年以上；水泥用石灰岩矿最低开采规模50万吨/年以上；熔剂用石灰岩矿最低开采规模50万吨/年以上；石英岩矿最低开采规模5万吨/年以上，饰面石材最低开采规模0.6万m</w:t>
                  </w:r>
                  <w:r>
                    <w:rPr>
                      <w:rFonts w:hint="eastAsia"/>
                      <w:kern w:val="0"/>
                      <w:szCs w:val="21"/>
                      <w:vertAlign w:val="superscript"/>
                    </w:rPr>
                    <w:t>3</w:t>
                  </w:r>
                  <w:r>
                    <w:rPr>
                      <w:rFonts w:hint="eastAsia"/>
                      <w:kern w:val="0"/>
                      <w:szCs w:val="21"/>
                    </w:rPr>
                    <w:t>/年以上。</w:t>
                  </w:r>
                </w:p>
              </w:tc>
              <w:tc>
                <w:tcPr>
                  <w:tcW w:w="1880" w:type="pct"/>
                  <w:tcBorders>
                    <w:tl2br w:val="nil"/>
                    <w:tr2bl w:val="nil"/>
                  </w:tcBorders>
                  <w:vAlign w:val="center"/>
                </w:tcPr>
                <w:p w14:paraId="01CC44B8">
                  <w:pPr>
                    <w:autoSpaceDE w:val="0"/>
                    <w:autoSpaceDN w:val="0"/>
                    <w:adjustRightInd w:val="0"/>
                    <w:snapToGrid w:val="0"/>
                    <w:jc w:val="center"/>
                    <w:rPr>
                      <w:kern w:val="0"/>
                      <w:szCs w:val="21"/>
                    </w:rPr>
                  </w:pPr>
                  <w:r>
                    <w:rPr>
                      <w:rFonts w:hint="eastAsia"/>
                      <w:kern w:val="0"/>
                      <w:szCs w:val="21"/>
                    </w:rPr>
                    <w:t>本项目开采矿种为饰面用花岗岩，开采能力为2万m</w:t>
                  </w:r>
                  <w:r>
                    <w:rPr>
                      <w:rFonts w:hint="eastAsia"/>
                      <w:kern w:val="0"/>
                      <w:szCs w:val="21"/>
                      <w:vertAlign w:val="superscript"/>
                    </w:rPr>
                    <w:t>3</w:t>
                  </w:r>
                  <w:r>
                    <w:rPr>
                      <w:rFonts w:hint="eastAsia"/>
                      <w:kern w:val="0"/>
                      <w:szCs w:val="21"/>
                    </w:rPr>
                    <w:t>/年，能够满足最低开采规模的要求；矿山开采取得了阳泉市规划和自然资源局下发的采矿许可证，许可证编号：XC14030020100471200602</w:t>
                  </w:r>
                </w:p>
                <w:p w14:paraId="6301314B">
                  <w:pPr>
                    <w:autoSpaceDE w:val="0"/>
                    <w:autoSpaceDN w:val="0"/>
                    <w:adjustRightInd w:val="0"/>
                    <w:snapToGrid w:val="0"/>
                    <w:jc w:val="center"/>
                    <w:rPr>
                      <w:kern w:val="0"/>
                      <w:szCs w:val="21"/>
                    </w:rPr>
                  </w:pPr>
                  <w:r>
                    <w:rPr>
                      <w:rFonts w:hint="eastAsia"/>
                      <w:kern w:val="0"/>
                      <w:szCs w:val="21"/>
                    </w:rPr>
                    <w:t>52。</w:t>
                  </w:r>
                </w:p>
              </w:tc>
              <w:tc>
                <w:tcPr>
                  <w:tcW w:w="291" w:type="pct"/>
                  <w:tcBorders>
                    <w:tl2br w:val="nil"/>
                    <w:tr2bl w:val="nil"/>
                  </w:tcBorders>
                  <w:vAlign w:val="center"/>
                </w:tcPr>
                <w:p w14:paraId="323823F4">
                  <w:pPr>
                    <w:autoSpaceDE w:val="0"/>
                    <w:autoSpaceDN w:val="0"/>
                    <w:adjustRightInd w:val="0"/>
                    <w:snapToGrid w:val="0"/>
                    <w:jc w:val="center"/>
                    <w:rPr>
                      <w:kern w:val="0"/>
                      <w:szCs w:val="21"/>
                    </w:rPr>
                  </w:pPr>
                  <w:r>
                    <w:rPr>
                      <w:rFonts w:hint="eastAsia"/>
                      <w:kern w:val="0"/>
                      <w:szCs w:val="21"/>
                    </w:rPr>
                    <w:t>符合</w:t>
                  </w:r>
                </w:p>
              </w:tc>
            </w:tr>
            <w:tr w14:paraId="3BCF4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2" w:type="pct"/>
                  <w:tcBorders>
                    <w:tl2br w:val="nil"/>
                    <w:tr2bl w:val="nil"/>
                  </w:tcBorders>
                  <w:vAlign w:val="center"/>
                </w:tcPr>
                <w:p w14:paraId="3485C66A">
                  <w:pPr>
                    <w:autoSpaceDE w:val="0"/>
                    <w:autoSpaceDN w:val="0"/>
                    <w:adjustRightInd w:val="0"/>
                    <w:snapToGrid w:val="0"/>
                    <w:jc w:val="center"/>
                    <w:rPr>
                      <w:kern w:val="0"/>
                      <w:szCs w:val="21"/>
                    </w:rPr>
                  </w:pPr>
                  <w:r>
                    <w:rPr>
                      <w:rFonts w:hint="eastAsia"/>
                      <w:kern w:val="0"/>
                      <w:szCs w:val="21"/>
                    </w:rPr>
                    <w:t>2</w:t>
                  </w:r>
                </w:p>
              </w:tc>
              <w:tc>
                <w:tcPr>
                  <w:tcW w:w="298" w:type="pct"/>
                  <w:tcBorders>
                    <w:tl2br w:val="nil"/>
                    <w:tr2bl w:val="nil"/>
                  </w:tcBorders>
                  <w:vAlign w:val="center"/>
                </w:tcPr>
                <w:p w14:paraId="6BE96AFE">
                  <w:pPr>
                    <w:autoSpaceDE w:val="0"/>
                    <w:autoSpaceDN w:val="0"/>
                    <w:adjustRightInd w:val="0"/>
                    <w:snapToGrid w:val="0"/>
                    <w:jc w:val="center"/>
                    <w:rPr>
                      <w:kern w:val="0"/>
                      <w:szCs w:val="21"/>
                    </w:rPr>
                  </w:pPr>
                  <w:r>
                    <w:rPr>
                      <w:rFonts w:hint="eastAsia"/>
                      <w:kern w:val="0"/>
                      <w:szCs w:val="21"/>
                    </w:rPr>
                    <w:t>产业重点发展区域</w:t>
                  </w:r>
                </w:p>
              </w:tc>
              <w:tc>
                <w:tcPr>
                  <w:tcW w:w="2207" w:type="pct"/>
                  <w:tcBorders>
                    <w:tl2br w:val="nil"/>
                    <w:tr2bl w:val="nil"/>
                  </w:tcBorders>
                  <w:vAlign w:val="center"/>
                </w:tcPr>
                <w:p w14:paraId="38296682">
                  <w:pPr>
                    <w:autoSpaceDE w:val="0"/>
                    <w:autoSpaceDN w:val="0"/>
                    <w:adjustRightInd w:val="0"/>
                    <w:snapToGrid w:val="0"/>
                    <w:jc w:val="center"/>
                    <w:rPr>
                      <w:kern w:val="0"/>
                      <w:szCs w:val="21"/>
                    </w:rPr>
                  </w:pPr>
                  <w:r>
                    <w:rPr>
                      <w:kern w:val="0"/>
                      <w:szCs w:val="21"/>
                    </w:rPr>
                    <w:t>阳泉市建材勘查开发保护区</w:t>
                  </w:r>
                  <w:r>
                    <w:rPr>
                      <w:rFonts w:hint="eastAsia"/>
                      <w:kern w:val="0"/>
                      <w:szCs w:val="21"/>
                    </w:rPr>
                    <w:t>：</w:t>
                  </w:r>
                  <w:r>
                    <w:rPr>
                      <w:kern w:val="0"/>
                      <w:szCs w:val="21"/>
                    </w:rPr>
                    <w:t>石灰岩主要赋存于奥陶系马家沟组，广泛分布于盂县南部，平定县中、北部，郊区中、东部地区，面积约2482km</w:t>
                  </w:r>
                  <w:r>
                    <w:rPr>
                      <w:kern w:val="0"/>
                      <w:szCs w:val="21"/>
                      <w:vertAlign w:val="superscript"/>
                    </w:rPr>
                    <w:t>2</w:t>
                  </w:r>
                  <w:r>
                    <w:rPr>
                      <w:kern w:val="0"/>
                      <w:szCs w:val="21"/>
                    </w:rPr>
                    <w:t>，占市域总面积的54%。依据经济社会发展，优选资源条件较好、生态环境影响较小、外部条件成熟的区域，划定砂石矿集中开采区。各级政府和管理部门应加快推进非煤矿山整合及资源量枯竭露天矿山的关闭工作，合理规划开发布局，实施投放一批建筑石料用、水泥用、熔剂用石灰岩大中型采矿权，推进规模化、集约化开采，提高资源利用效率，提高砂石矿山的集约化、规模化水平。</w:t>
                  </w:r>
                </w:p>
              </w:tc>
              <w:tc>
                <w:tcPr>
                  <w:tcW w:w="1880" w:type="pct"/>
                  <w:tcBorders>
                    <w:tl2br w:val="nil"/>
                    <w:tr2bl w:val="nil"/>
                  </w:tcBorders>
                  <w:vAlign w:val="center"/>
                </w:tcPr>
                <w:p w14:paraId="157ECD46">
                  <w:pPr>
                    <w:autoSpaceDE w:val="0"/>
                    <w:autoSpaceDN w:val="0"/>
                    <w:adjustRightInd w:val="0"/>
                    <w:snapToGrid w:val="0"/>
                    <w:jc w:val="center"/>
                    <w:rPr>
                      <w:kern w:val="0"/>
                      <w:szCs w:val="21"/>
                    </w:rPr>
                  </w:pPr>
                  <w:r>
                    <w:rPr>
                      <w:rFonts w:hint="eastAsia"/>
                      <w:kern w:val="0"/>
                      <w:szCs w:val="21"/>
                    </w:rPr>
                    <w:t>本项目矿区属于盂县宋庄村一带整合开采区（一），由盂县石鑫矿业有限公司与</w:t>
                  </w:r>
                  <w:r>
                    <w:t>盂县西潘乡鑫盛石矿</w:t>
                  </w:r>
                  <w:r>
                    <w:rPr>
                      <w:rFonts w:hint="eastAsia"/>
                      <w:kern w:val="0"/>
                      <w:szCs w:val="21"/>
                    </w:rPr>
                    <w:t>整合而成，2023年7月，盂县石鑫矿业有限公司竞得该采矿权；本项目建设完成后形成年开采饰面用花岗岩2万m</w:t>
                  </w:r>
                  <w:r>
                    <w:rPr>
                      <w:rFonts w:hint="eastAsia"/>
                      <w:kern w:val="0"/>
                      <w:szCs w:val="21"/>
                      <w:vertAlign w:val="superscript"/>
                    </w:rPr>
                    <w:t>3</w:t>
                  </w:r>
                  <w:r>
                    <w:rPr>
                      <w:rFonts w:hint="eastAsia"/>
                      <w:kern w:val="0"/>
                      <w:szCs w:val="21"/>
                    </w:rPr>
                    <w:t>的生产能力。</w:t>
                  </w:r>
                </w:p>
              </w:tc>
              <w:tc>
                <w:tcPr>
                  <w:tcW w:w="291" w:type="pct"/>
                  <w:tcBorders>
                    <w:tl2br w:val="nil"/>
                    <w:tr2bl w:val="nil"/>
                  </w:tcBorders>
                  <w:vAlign w:val="center"/>
                </w:tcPr>
                <w:p w14:paraId="1A093648">
                  <w:pPr>
                    <w:autoSpaceDE w:val="0"/>
                    <w:autoSpaceDN w:val="0"/>
                    <w:adjustRightInd w:val="0"/>
                    <w:snapToGrid w:val="0"/>
                    <w:jc w:val="center"/>
                    <w:rPr>
                      <w:kern w:val="0"/>
                      <w:szCs w:val="21"/>
                    </w:rPr>
                  </w:pPr>
                  <w:r>
                    <w:rPr>
                      <w:rFonts w:hint="eastAsia"/>
                      <w:kern w:val="0"/>
                      <w:szCs w:val="21"/>
                    </w:rPr>
                    <w:t>符合</w:t>
                  </w:r>
                </w:p>
              </w:tc>
            </w:tr>
            <w:tr w14:paraId="062F1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2" w:type="pct"/>
                  <w:tcBorders>
                    <w:tl2br w:val="nil"/>
                    <w:tr2bl w:val="nil"/>
                  </w:tcBorders>
                  <w:vAlign w:val="center"/>
                </w:tcPr>
                <w:p w14:paraId="486D8A82">
                  <w:pPr>
                    <w:autoSpaceDE w:val="0"/>
                    <w:autoSpaceDN w:val="0"/>
                    <w:adjustRightInd w:val="0"/>
                    <w:snapToGrid w:val="0"/>
                    <w:jc w:val="center"/>
                    <w:rPr>
                      <w:kern w:val="0"/>
                      <w:szCs w:val="21"/>
                    </w:rPr>
                  </w:pPr>
                  <w:r>
                    <w:rPr>
                      <w:rFonts w:hint="eastAsia"/>
                      <w:kern w:val="0"/>
                      <w:szCs w:val="21"/>
                    </w:rPr>
                    <w:t>3</w:t>
                  </w:r>
                </w:p>
              </w:tc>
              <w:tc>
                <w:tcPr>
                  <w:tcW w:w="298" w:type="pct"/>
                  <w:tcBorders>
                    <w:tl2br w:val="nil"/>
                    <w:tr2bl w:val="nil"/>
                  </w:tcBorders>
                  <w:vAlign w:val="center"/>
                </w:tcPr>
                <w:p w14:paraId="51CBB31A">
                  <w:pPr>
                    <w:autoSpaceDE w:val="0"/>
                    <w:autoSpaceDN w:val="0"/>
                    <w:adjustRightInd w:val="0"/>
                    <w:snapToGrid w:val="0"/>
                    <w:jc w:val="center"/>
                    <w:rPr>
                      <w:kern w:val="0"/>
                      <w:szCs w:val="21"/>
                    </w:rPr>
                  </w:pPr>
                  <w:r>
                    <w:rPr>
                      <w:rFonts w:hint="eastAsia"/>
                      <w:kern w:val="0"/>
                      <w:szCs w:val="21"/>
                    </w:rPr>
                    <w:t>矿产勘查开发与保护布局</w:t>
                  </w:r>
                </w:p>
              </w:tc>
              <w:tc>
                <w:tcPr>
                  <w:tcW w:w="2207" w:type="pct"/>
                  <w:tcBorders>
                    <w:tl2br w:val="nil"/>
                    <w:tr2bl w:val="nil"/>
                  </w:tcBorders>
                  <w:vAlign w:val="center"/>
                </w:tcPr>
                <w:p w14:paraId="607641FA">
                  <w:pPr>
                    <w:autoSpaceDE w:val="0"/>
                    <w:autoSpaceDN w:val="0"/>
                    <w:adjustRightInd w:val="0"/>
                    <w:snapToGrid w:val="0"/>
                    <w:jc w:val="center"/>
                    <w:rPr>
                      <w:kern w:val="0"/>
                      <w:szCs w:val="21"/>
                    </w:rPr>
                  </w:pPr>
                  <w:r>
                    <w:rPr>
                      <w:kern w:val="0"/>
                      <w:szCs w:val="21"/>
                    </w:rPr>
                    <w:t>强化国土空间和</w:t>
                  </w:r>
                  <w:r>
                    <w:rPr>
                      <w:rFonts w:hint="eastAsia"/>
                      <w:kern w:val="0"/>
                      <w:szCs w:val="21"/>
                    </w:rPr>
                    <w:t>“</w:t>
                  </w:r>
                  <w:r>
                    <w:rPr>
                      <w:kern w:val="0"/>
                      <w:szCs w:val="21"/>
                    </w:rPr>
                    <w:t>三区三线</w:t>
                  </w:r>
                  <w:r>
                    <w:rPr>
                      <w:rFonts w:hint="eastAsia"/>
                      <w:kern w:val="0"/>
                      <w:szCs w:val="21"/>
                    </w:rPr>
                    <w:t>”</w:t>
                  </w:r>
                  <w:r>
                    <w:rPr>
                      <w:kern w:val="0"/>
                      <w:szCs w:val="21"/>
                    </w:rPr>
                    <w:t>生态管控。落实主体功能区战略，加强国土空间三条控制线内矿业活动管制。禁止在自然保护地、生态保护红线内勘查开发矿产资源，严禁矿产资源开发破坏永久基本农田。加强矿产资源开发管控，合理调控全市矿产资源开发利用总量、强度，提高矿产资源利用效率。落实生态环境准入清单，严格矿产资源开发禁止和限制的环境准入要求。</w:t>
                  </w:r>
                </w:p>
              </w:tc>
              <w:tc>
                <w:tcPr>
                  <w:tcW w:w="1880" w:type="pct"/>
                  <w:tcBorders>
                    <w:tl2br w:val="nil"/>
                    <w:tr2bl w:val="nil"/>
                  </w:tcBorders>
                  <w:vAlign w:val="center"/>
                </w:tcPr>
                <w:p w14:paraId="451D06BB">
                  <w:pPr>
                    <w:autoSpaceDE w:val="0"/>
                    <w:autoSpaceDN w:val="0"/>
                    <w:adjustRightInd w:val="0"/>
                    <w:snapToGrid w:val="0"/>
                    <w:rPr>
                      <w:kern w:val="0"/>
                      <w:szCs w:val="21"/>
                    </w:rPr>
                  </w:pPr>
                  <w:r>
                    <w:rPr>
                      <w:rFonts w:hint="eastAsia"/>
                      <w:kern w:val="0"/>
                      <w:szCs w:val="21"/>
                    </w:rPr>
                    <w:t>本项目位于阳泉市盂县西潘乡宋庄村东侧约530m，不在《盂县国土空间总体规划（2021—2035年）》中划定的永久基本农田保护红线、城镇开发边界以及生态保护红线范围内。本项目不涉及</w:t>
                  </w:r>
                  <w:r>
                    <w:rPr>
                      <w:kern w:val="0"/>
                      <w:szCs w:val="21"/>
                    </w:rPr>
                    <w:t>自然保护地</w:t>
                  </w:r>
                  <w:r>
                    <w:rPr>
                      <w:rFonts w:hint="eastAsia"/>
                      <w:kern w:val="0"/>
                      <w:szCs w:val="21"/>
                    </w:rPr>
                    <w:t>。本项目的建设符合《阳泉市生态环境分区管控动态更新成果》的要求。</w:t>
                  </w:r>
                </w:p>
              </w:tc>
              <w:tc>
                <w:tcPr>
                  <w:tcW w:w="291" w:type="pct"/>
                  <w:tcBorders>
                    <w:tl2br w:val="nil"/>
                    <w:tr2bl w:val="nil"/>
                  </w:tcBorders>
                  <w:vAlign w:val="center"/>
                </w:tcPr>
                <w:p w14:paraId="17B862C6">
                  <w:pPr>
                    <w:autoSpaceDE w:val="0"/>
                    <w:autoSpaceDN w:val="0"/>
                    <w:adjustRightInd w:val="0"/>
                    <w:snapToGrid w:val="0"/>
                    <w:jc w:val="center"/>
                    <w:rPr>
                      <w:kern w:val="0"/>
                      <w:szCs w:val="21"/>
                    </w:rPr>
                  </w:pPr>
                  <w:r>
                    <w:rPr>
                      <w:rFonts w:hint="eastAsia"/>
                      <w:kern w:val="0"/>
                      <w:szCs w:val="21"/>
                    </w:rPr>
                    <w:t>符合</w:t>
                  </w:r>
                </w:p>
              </w:tc>
            </w:tr>
            <w:tr w14:paraId="68D90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2" w:type="pct"/>
                  <w:tcBorders>
                    <w:tl2br w:val="nil"/>
                    <w:tr2bl w:val="nil"/>
                  </w:tcBorders>
                  <w:vAlign w:val="center"/>
                </w:tcPr>
                <w:p w14:paraId="7F4ED3D5">
                  <w:pPr>
                    <w:autoSpaceDE w:val="0"/>
                    <w:autoSpaceDN w:val="0"/>
                    <w:adjustRightInd w:val="0"/>
                    <w:snapToGrid w:val="0"/>
                    <w:jc w:val="center"/>
                    <w:rPr>
                      <w:kern w:val="0"/>
                      <w:szCs w:val="21"/>
                    </w:rPr>
                  </w:pPr>
                  <w:r>
                    <w:rPr>
                      <w:rFonts w:hint="eastAsia"/>
                      <w:kern w:val="0"/>
                      <w:szCs w:val="21"/>
                    </w:rPr>
                    <w:t>4</w:t>
                  </w:r>
                </w:p>
              </w:tc>
              <w:tc>
                <w:tcPr>
                  <w:tcW w:w="298" w:type="pct"/>
                  <w:tcBorders>
                    <w:tl2br w:val="nil"/>
                    <w:tr2bl w:val="nil"/>
                  </w:tcBorders>
                  <w:vAlign w:val="center"/>
                </w:tcPr>
                <w:p w14:paraId="07B6C917">
                  <w:pPr>
                    <w:autoSpaceDE w:val="0"/>
                    <w:autoSpaceDN w:val="0"/>
                    <w:adjustRightInd w:val="0"/>
                    <w:snapToGrid w:val="0"/>
                    <w:jc w:val="center"/>
                    <w:rPr>
                      <w:kern w:val="0"/>
                      <w:szCs w:val="21"/>
                    </w:rPr>
                  </w:pPr>
                  <w:r>
                    <w:rPr>
                      <w:rFonts w:hint="eastAsia"/>
                      <w:kern w:val="0"/>
                      <w:szCs w:val="21"/>
                    </w:rPr>
                    <w:t>绿色矿山建设</w:t>
                  </w:r>
                </w:p>
              </w:tc>
              <w:tc>
                <w:tcPr>
                  <w:tcW w:w="2207" w:type="pct"/>
                  <w:tcBorders>
                    <w:tl2br w:val="nil"/>
                    <w:tr2bl w:val="nil"/>
                  </w:tcBorders>
                  <w:vAlign w:val="center"/>
                </w:tcPr>
                <w:p w14:paraId="36C43F95">
                  <w:pPr>
                    <w:autoSpaceDE w:val="0"/>
                    <w:autoSpaceDN w:val="0"/>
                    <w:adjustRightInd w:val="0"/>
                    <w:snapToGrid w:val="0"/>
                    <w:jc w:val="center"/>
                    <w:rPr>
                      <w:kern w:val="0"/>
                      <w:szCs w:val="21"/>
                    </w:rPr>
                  </w:pPr>
                  <w:r>
                    <w:rPr>
                      <w:kern w:val="0"/>
                      <w:szCs w:val="21"/>
                    </w:rPr>
                    <w:t>根据绿色矿山建设标准和要求，结合我市绿色矿山建设差异化现状，统筹规划、合理部署、分类管理。对已建成绿色矿山的进行巩固，建立长效监督管理机制，加大对绿色矿山企业先进典型经验的舆论宣传与推广；对基本达到绿色矿山建设要求的矿山进行督促，加快升级改造，以达到绿色矿山建设标准，积极开展绿色矿山申报及第三方评估工作，争取尽早纳入省级绿色矿山名录；对矿山规模大、建设基础较好，具备绿色矿山建设基本条件的矿山企业重点培养，尽快完善绿色矿山建设工作；对不具备绿色矿山建设基本条件的矿山，通过整改、关闭等手段，规范矿山企业管理。</w:t>
                  </w:r>
                </w:p>
                <w:p w14:paraId="30430D1A">
                  <w:pPr>
                    <w:autoSpaceDE w:val="0"/>
                    <w:autoSpaceDN w:val="0"/>
                    <w:adjustRightInd w:val="0"/>
                    <w:snapToGrid w:val="0"/>
                    <w:jc w:val="center"/>
                    <w:rPr>
                      <w:kern w:val="0"/>
                      <w:szCs w:val="21"/>
                    </w:rPr>
                  </w:pPr>
                  <w:r>
                    <w:rPr>
                      <w:kern w:val="0"/>
                      <w:szCs w:val="21"/>
                    </w:rPr>
                    <w:t>全市新建矿山、非煤资源整合后矿山必须按照绿色矿山标准建设。</w:t>
                  </w:r>
                </w:p>
              </w:tc>
              <w:tc>
                <w:tcPr>
                  <w:tcW w:w="1880" w:type="pct"/>
                  <w:tcBorders>
                    <w:tl2br w:val="nil"/>
                    <w:tr2bl w:val="nil"/>
                  </w:tcBorders>
                  <w:vAlign w:val="center"/>
                </w:tcPr>
                <w:p w14:paraId="20475806">
                  <w:pPr>
                    <w:autoSpaceDE w:val="0"/>
                    <w:autoSpaceDN w:val="0"/>
                    <w:adjustRightInd w:val="0"/>
                    <w:snapToGrid w:val="0"/>
                    <w:jc w:val="center"/>
                    <w:rPr>
                      <w:kern w:val="0"/>
                      <w:szCs w:val="21"/>
                    </w:rPr>
                  </w:pPr>
                  <w:r>
                    <w:rPr>
                      <w:rFonts w:hint="eastAsia"/>
                      <w:kern w:val="0"/>
                      <w:szCs w:val="21"/>
                    </w:rPr>
                    <w:t>本项目编制完成了《山西省盂县石鑫矿业有限公司饰面用花岗岩矿资源开发利用和矿山环境保护与土地复垦方案》</w:t>
                  </w:r>
                  <w:r>
                    <w:rPr>
                      <w:kern w:val="0"/>
                      <w:szCs w:val="21"/>
                    </w:rPr>
                    <w:t>，并取得了山西省矿业联合会下发的评审意见书（</w:t>
                  </w:r>
                  <w:r>
                    <w:rPr>
                      <w:rFonts w:hint="eastAsia"/>
                      <w:kern w:val="0"/>
                      <w:szCs w:val="21"/>
                    </w:rPr>
                    <w:t>晋矿联技审字〔2025〕163号</w:t>
                  </w:r>
                  <w:r>
                    <w:rPr>
                      <w:kern w:val="0"/>
                      <w:szCs w:val="21"/>
                    </w:rPr>
                    <w:t>）</w:t>
                  </w:r>
                  <w:r>
                    <w:rPr>
                      <w:rFonts w:hint="eastAsia"/>
                      <w:kern w:val="0"/>
                      <w:szCs w:val="21"/>
                    </w:rPr>
                    <w:t>；在开采过程中强化边开采、边治理举措，按照绿色矿山的要求进行生态修复。</w:t>
                  </w:r>
                </w:p>
              </w:tc>
              <w:tc>
                <w:tcPr>
                  <w:tcW w:w="291" w:type="pct"/>
                  <w:tcBorders>
                    <w:tl2br w:val="nil"/>
                    <w:tr2bl w:val="nil"/>
                  </w:tcBorders>
                  <w:vAlign w:val="center"/>
                </w:tcPr>
                <w:p w14:paraId="72E7079A">
                  <w:pPr>
                    <w:autoSpaceDE w:val="0"/>
                    <w:autoSpaceDN w:val="0"/>
                    <w:adjustRightInd w:val="0"/>
                    <w:snapToGrid w:val="0"/>
                    <w:jc w:val="center"/>
                    <w:rPr>
                      <w:kern w:val="0"/>
                      <w:szCs w:val="21"/>
                    </w:rPr>
                  </w:pPr>
                  <w:r>
                    <w:rPr>
                      <w:rFonts w:hint="eastAsia"/>
                      <w:kern w:val="0"/>
                      <w:szCs w:val="21"/>
                    </w:rPr>
                    <w:t>符合</w:t>
                  </w:r>
                </w:p>
              </w:tc>
            </w:tr>
            <w:tr w14:paraId="519ED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2" w:type="pct"/>
                  <w:tcBorders>
                    <w:tl2br w:val="nil"/>
                    <w:tr2bl w:val="nil"/>
                  </w:tcBorders>
                  <w:vAlign w:val="center"/>
                </w:tcPr>
                <w:p w14:paraId="59AE7A14">
                  <w:pPr>
                    <w:autoSpaceDE w:val="0"/>
                    <w:autoSpaceDN w:val="0"/>
                    <w:adjustRightInd w:val="0"/>
                    <w:snapToGrid w:val="0"/>
                    <w:jc w:val="center"/>
                    <w:rPr>
                      <w:kern w:val="0"/>
                      <w:szCs w:val="21"/>
                    </w:rPr>
                  </w:pPr>
                  <w:r>
                    <w:rPr>
                      <w:rFonts w:hint="eastAsia"/>
                      <w:kern w:val="0"/>
                      <w:szCs w:val="21"/>
                    </w:rPr>
                    <w:t>5</w:t>
                  </w:r>
                </w:p>
              </w:tc>
              <w:tc>
                <w:tcPr>
                  <w:tcW w:w="298" w:type="pct"/>
                  <w:tcBorders>
                    <w:tl2br w:val="nil"/>
                    <w:tr2bl w:val="nil"/>
                  </w:tcBorders>
                  <w:vAlign w:val="center"/>
                </w:tcPr>
                <w:p w14:paraId="75072004">
                  <w:pPr>
                    <w:autoSpaceDE w:val="0"/>
                    <w:autoSpaceDN w:val="0"/>
                    <w:adjustRightInd w:val="0"/>
                    <w:snapToGrid w:val="0"/>
                    <w:jc w:val="center"/>
                    <w:rPr>
                      <w:kern w:val="0"/>
                      <w:szCs w:val="21"/>
                    </w:rPr>
                  </w:pPr>
                  <w:r>
                    <w:rPr>
                      <w:rFonts w:hint="eastAsia"/>
                      <w:kern w:val="0"/>
                      <w:szCs w:val="21"/>
                    </w:rPr>
                    <w:t>生态保护修复</w:t>
                  </w:r>
                </w:p>
              </w:tc>
              <w:tc>
                <w:tcPr>
                  <w:tcW w:w="2207" w:type="pct"/>
                  <w:tcBorders>
                    <w:tl2br w:val="nil"/>
                    <w:tr2bl w:val="nil"/>
                  </w:tcBorders>
                  <w:vAlign w:val="center"/>
                </w:tcPr>
                <w:p w14:paraId="1E5CE4E2">
                  <w:pPr>
                    <w:autoSpaceDE w:val="0"/>
                    <w:autoSpaceDN w:val="0"/>
                    <w:adjustRightInd w:val="0"/>
                    <w:snapToGrid w:val="0"/>
                    <w:jc w:val="center"/>
                    <w:rPr>
                      <w:kern w:val="0"/>
                      <w:szCs w:val="21"/>
                    </w:rPr>
                  </w:pPr>
                  <w:r>
                    <w:rPr>
                      <w:rFonts w:hint="eastAsia"/>
                      <w:kern w:val="0"/>
                      <w:szCs w:val="21"/>
                    </w:rPr>
                    <w:t>新建矿山：</w:t>
                  </w:r>
                  <w:r>
                    <w:rPr>
                      <w:kern w:val="0"/>
                      <w:szCs w:val="21"/>
                    </w:rPr>
                    <w:t>严格矿山准入条件，新建矿山必须达到绿色矿山要求。坚持源头预防，按照绿色矿山建设标准，新建矿山制定从生产到闭坑矿区生态保护修复的全面规划，形成</w:t>
                  </w:r>
                  <w:r>
                    <w:rPr>
                      <w:rFonts w:hint="eastAsia"/>
                      <w:kern w:val="0"/>
                      <w:szCs w:val="21"/>
                    </w:rPr>
                    <w:t>“</w:t>
                  </w:r>
                  <w:r>
                    <w:rPr>
                      <w:kern w:val="0"/>
                      <w:szCs w:val="21"/>
                    </w:rPr>
                    <w:t>采前有规划，过程能控制，采后可修复</w:t>
                  </w:r>
                  <w:r>
                    <w:rPr>
                      <w:rFonts w:hint="eastAsia"/>
                      <w:kern w:val="0"/>
                      <w:szCs w:val="21"/>
                    </w:rPr>
                    <w:t>”</w:t>
                  </w:r>
                  <w:r>
                    <w:rPr>
                      <w:kern w:val="0"/>
                      <w:szCs w:val="21"/>
                    </w:rPr>
                    <w:t>准入制度。</w:t>
                  </w:r>
                </w:p>
              </w:tc>
              <w:tc>
                <w:tcPr>
                  <w:tcW w:w="1880" w:type="pct"/>
                  <w:tcBorders>
                    <w:tl2br w:val="nil"/>
                    <w:tr2bl w:val="nil"/>
                  </w:tcBorders>
                  <w:vAlign w:val="center"/>
                </w:tcPr>
                <w:p w14:paraId="6D4C6DFD">
                  <w:pPr>
                    <w:autoSpaceDE w:val="0"/>
                    <w:autoSpaceDN w:val="0"/>
                    <w:adjustRightInd w:val="0"/>
                    <w:snapToGrid w:val="0"/>
                    <w:jc w:val="center"/>
                    <w:rPr>
                      <w:kern w:val="0"/>
                      <w:szCs w:val="21"/>
                    </w:rPr>
                  </w:pPr>
                  <w:r>
                    <w:rPr>
                      <w:rFonts w:hint="eastAsia"/>
                      <w:kern w:val="0"/>
                      <w:szCs w:val="21"/>
                    </w:rPr>
                    <w:t>本矿将按照</w:t>
                  </w:r>
                  <w:r>
                    <w:rPr>
                      <w:kern w:val="0"/>
                      <w:szCs w:val="21"/>
                    </w:rPr>
                    <w:t>绿色矿山建设标准和要求</w:t>
                  </w:r>
                  <w:r>
                    <w:rPr>
                      <w:rFonts w:hint="eastAsia"/>
                      <w:kern w:val="0"/>
                      <w:szCs w:val="21"/>
                    </w:rPr>
                    <w:t>进行建设。</w:t>
                  </w:r>
                </w:p>
              </w:tc>
              <w:tc>
                <w:tcPr>
                  <w:tcW w:w="291" w:type="pct"/>
                  <w:tcBorders>
                    <w:tl2br w:val="nil"/>
                    <w:tr2bl w:val="nil"/>
                  </w:tcBorders>
                  <w:vAlign w:val="center"/>
                </w:tcPr>
                <w:p w14:paraId="5CA26983">
                  <w:pPr>
                    <w:autoSpaceDE w:val="0"/>
                    <w:autoSpaceDN w:val="0"/>
                    <w:adjustRightInd w:val="0"/>
                    <w:snapToGrid w:val="0"/>
                    <w:jc w:val="center"/>
                    <w:rPr>
                      <w:kern w:val="0"/>
                      <w:szCs w:val="21"/>
                    </w:rPr>
                  </w:pPr>
                  <w:r>
                    <w:rPr>
                      <w:rFonts w:hint="eastAsia"/>
                      <w:kern w:val="0"/>
                      <w:szCs w:val="21"/>
                    </w:rPr>
                    <w:t>符合</w:t>
                  </w:r>
                </w:p>
              </w:tc>
            </w:tr>
          </w:tbl>
          <w:p w14:paraId="73F575A5">
            <w:pPr>
              <w:rPr>
                <w:color w:val="FF0000"/>
              </w:rPr>
            </w:pPr>
          </w:p>
          <w:p w14:paraId="4ECD4EFF">
            <w:pPr>
              <w:pStyle w:val="2"/>
              <w:rPr>
                <w:color w:val="FF0000"/>
              </w:rPr>
            </w:pPr>
          </w:p>
          <w:p w14:paraId="79308721">
            <w:pPr>
              <w:pStyle w:val="4"/>
              <w:rPr>
                <w:color w:val="FF0000"/>
              </w:rPr>
            </w:pPr>
          </w:p>
          <w:p w14:paraId="1E70C384">
            <w:pPr>
              <w:pStyle w:val="7"/>
              <w:rPr>
                <w:color w:val="FF0000"/>
              </w:rPr>
            </w:pPr>
          </w:p>
          <w:p w14:paraId="530668CA">
            <w:pPr>
              <w:rPr>
                <w:color w:val="FF0000"/>
              </w:rPr>
            </w:pPr>
          </w:p>
          <w:p w14:paraId="6D2E6F07">
            <w:pPr>
              <w:pStyle w:val="2"/>
              <w:rPr>
                <w:color w:val="FF0000"/>
              </w:rPr>
            </w:pPr>
          </w:p>
          <w:p w14:paraId="04C6C411">
            <w:pPr>
              <w:pStyle w:val="7"/>
              <w:rPr>
                <w:color w:val="FF0000"/>
              </w:rPr>
            </w:pPr>
          </w:p>
          <w:p w14:paraId="5FE3A14F">
            <w:pPr>
              <w:rPr>
                <w:color w:val="FF0000"/>
              </w:rPr>
            </w:pPr>
          </w:p>
          <w:p w14:paraId="3487146B">
            <w:pPr>
              <w:pStyle w:val="2"/>
            </w:pPr>
          </w:p>
          <w:p w14:paraId="28387A82">
            <w:pPr>
              <w:pStyle w:val="4"/>
            </w:pPr>
          </w:p>
          <w:p w14:paraId="42A19379">
            <w:pPr>
              <w:pStyle w:val="7"/>
            </w:pPr>
          </w:p>
          <w:p w14:paraId="2970DB7B"/>
          <w:p w14:paraId="6EDF2119"/>
        </w:tc>
      </w:tr>
      <w:tr w14:paraId="35B648C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431" w:hRule="atLeast"/>
        </w:trPr>
        <w:tc>
          <w:tcPr>
            <w:tcW w:w="1122" w:type="dxa"/>
            <w:tcMar>
              <w:top w:w="16" w:type="dxa"/>
              <w:left w:w="16" w:type="dxa"/>
              <w:right w:w="16" w:type="dxa"/>
            </w:tcMar>
            <w:vAlign w:val="center"/>
          </w:tcPr>
          <w:p w14:paraId="5D7245EC">
            <w:pPr>
              <w:autoSpaceDE w:val="0"/>
              <w:autoSpaceDN w:val="0"/>
              <w:adjustRightInd w:val="0"/>
              <w:snapToGrid w:val="0"/>
              <w:jc w:val="center"/>
              <w:rPr>
                <w:kern w:val="0"/>
                <w:sz w:val="24"/>
              </w:rPr>
            </w:pPr>
            <w:bookmarkStart w:id="2" w:name="_Hlk56690880"/>
            <w:r>
              <w:rPr>
                <w:kern w:val="0"/>
                <w:sz w:val="24"/>
              </w:rPr>
              <w:t>其他符合性分析</w:t>
            </w:r>
            <w:bookmarkEnd w:id="2"/>
          </w:p>
        </w:tc>
        <w:tc>
          <w:tcPr>
            <w:tcW w:w="7917" w:type="dxa"/>
            <w:gridSpan w:val="3"/>
            <w:tcMar>
              <w:top w:w="16" w:type="dxa"/>
              <w:left w:w="16" w:type="dxa"/>
              <w:right w:w="16" w:type="dxa"/>
            </w:tcMar>
            <w:vAlign w:val="center"/>
          </w:tcPr>
          <w:p w14:paraId="70F7B64B">
            <w:pPr>
              <w:autoSpaceDE w:val="0"/>
              <w:autoSpaceDN w:val="0"/>
              <w:adjustRightInd w:val="0"/>
              <w:snapToGrid w:val="0"/>
              <w:spacing w:line="480" w:lineRule="exact"/>
              <w:ind w:firstLine="482" w:firstLineChars="200"/>
              <w:rPr>
                <w:b/>
                <w:bCs/>
                <w:kern w:val="0"/>
                <w:sz w:val="24"/>
              </w:rPr>
            </w:pPr>
            <w:r>
              <w:rPr>
                <w:rFonts w:hint="eastAsia"/>
                <w:b/>
                <w:bCs/>
                <w:kern w:val="0"/>
                <w:sz w:val="24"/>
              </w:rPr>
              <w:t>1.产业政策的符合性分析</w:t>
            </w:r>
          </w:p>
          <w:p w14:paraId="3D98C26D">
            <w:pPr>
              <w:autoSpaceDE w:val="0"/>
              <w:autoSpaceDN w:val="0"/>
              <w:adjustRightInd w:val="0"/>
              <w:snapToGrid w:val="0"/>
              <w:spacing w:line="480" w:lineRule="exact"/>
              <w:ind w:firstLine="480" w:firstLineChars="200"/>
              <w:rPr>
                <w:kern w:val="0"/>
                <w:sz w:val="24"/>
              </w:rPr>
            </w:pPr>
            <w:r>
              <w:rPr>
                <w:kern w:val="0"/>
                <w:sz w:val="24"/>
              </w:rPr>
              <w:t>根据</w:t>
            </w:r>
            <w:r>
              <w:rPr>
                <w:rFonts w:hint="eastAsia"/>
                <w:kern w:val="0"/>
                <w:sz w:val="24"/>
              </w:rPr>
              <w:t>《产业结构调整指导目录（2024年本）》</w:t>
            </w:r>
            <w:r>
              <w:rPr>
                <w:kern w:val="0"/>
                <w:sz w:val="24"/>
              </w:rPr>
              <w:t>，本项目不属于限制类和淘汰类。根据阳泉市人民政府办公室《关于县（区）非煤矿山整合实施方案的批复》（阳政办函〔2022〕188号），本矿</w:t>
            </w:r>
            <w:r>
              <w:rPr>
                <w:rFonts w:hint="eastAsia"/>
                <w:kern w:val="0"/>
                <w:sz w:val="24"/>
              </w:rPr>
              <w:t>由盂县石鑫矿业有限公司与盂县西潘乡鑫盛石矿</w:t>
            </w:r>
            <w:r>
              <w:rPr>
                <w:kern w:val="0"/>
                <w:sz w:val="24"/>
              </w:rPr>
              <w:t>整合而成，整合区名称为</w:t>
            </w:r>
            <w:r>
              <w:rPr>
                <w:rFonts w:hint="eastAsia"/>
                <w:sz w:val="24"/>
              </w:rPr>
              <w:t>盂县宋庄村一带整合开采区（一）</w:t>
            </w:r>
            <w:r>
              <w:rPr>
                <w:kern w:val="0"/>
                <w:sz w:val="24"/>
              </w:rPr>
              <w:t>。</w:t>
            </w:r>
            <w:r>
              <w:rPr>
                <w:rFonts w:hint="eastAsia"/>
                <w:sz w:val="24"/>
              </w:rPr>
              <w:t>盂县石鑫矿业有限公司</w:t>
            </w:r>
            <w:r>
              <w:rPr>
                <w:kern w:val="0"/>
                <w:sz w:val="24"/>
              </w:rPr>
              <w:t>于202</w:t>
            </w:r>
            <w:r>
              <w:rPr>
                <w:rFonts w:hint="eastAsia"/>
                <w:kern w:val="0"/>
                <w:sz w:val="24"/>
              </w:rPr>
              <w:t>3</w:t>
            </w:r>
            <w:r>
              <w:rPr>
                <w:kern w:val="0"/>
                <w:sz w:val="24"/>
              </w:rPr>
              <w:t>年</w:t>
            </w:r>
            <w:r>
              <w:rPr>
                <w:rFonts w:hint="eastAsia"/>
                <w:kern w:val="0"/>
                <w:sz w:val="24"/>
              </w:rPr>
              <w:t>7</w:t>
            </w:r>
            <w:r>
              <w:rPr>
                <w:kern w:val="0"/>
                <w:sz w:val="24"/>
              </w:rPr>
              <w:t>月竞得该采矿权，本矿属于资源整合矿山，2024年</w:t>
            </w:r>
            <w:r>
              <w:rPr>
                <w:rFonts w:hint="eastAsia"/>
                <w:kern w:val="0"/>
                <w:sz w:val="24"/>
              </w:rPr>
              <w:t>3</w:t>
            </w:r>
            <w:r>
              <w:rPr>
                <w:kern w:val="0"/>
                <w:sz w:val="24"/>
              </w:rPr>
              <w:t>月</w:t>
            </w:r>
            <w:r>
              <w:rPr>
                <w:rFonts w:hint="eastAsia"/>
                <w:kern w:val="0"/>
                <w:sz w:val="24"/>
              </w:rPr>
              <w:t>4</w:t>
            </w:r>
            <w:r>
              <w:rPr>
                <w:kern w:val="0"/>
                <w:sz w:val="24"/>
              </w:rPr>
              <w:t>日取得了阳泉市规划和自然资源局下发的采矿许可证</w:t>
            </w:r>
            <w:r>
              <w:rPr>
                <w:rFonts w:hint="eastAsia"/>
                <w:kern w:val="0"/>
                <w:sz w:val="24"/>
              </w:rPr>
              <w:t>，许可证编号：XC1403002010047120060252</w:t>
            </w:r>
            <w:r>
              <w:rPr>
                <w:kern w:val="0"/>
                <w:sz w:val="24"/>
              </w:rPr>
              <w:t>。202</w:t>
            </w:r>
            <w:r>
              <w:rPr>
                <w:rFonts w:hint="eastAsia"/>
                <w:kern w:val="0"/>
                <w:sz w:val="24"/>
              </w:rPr>
              <w:t>5</w:t>
            </w:r>
            <w:r>
              <w:rPr>
                <w:kern w:val="0"/>
                <w:sz w:val="24"/>
              </w:rPr>
              <w:t>年</w:t>
            </w:r>
            <w:r>
              <w:rPr>
                <w:rFonts w:hint="eastAsia"/>
                <w:kern w:val="0"/>
                <w:sz w:val="24"/>
              </w:rPr>
              <w:t>10</w:t>
            </w:r>
            <w:r>
              <w:rPr>
                <w:kern w:val="0"/>
                <w:sz w:val="24"/>
              </w:rPr>
              <w:t>月</w:t>
            </w:r>
            <w:r>
              <w:rPr>
                <w:rFonts w:hint="eastAsia"/>
                <w:kern w:val="0"/>
                <w:sz w:val="24"/>
              </w:rPr>
              <w:t>20</w:t>
            </w:r>
            <w:r>
              <w:rPr>
                <w:kern w:val="0"/>
                <w:sz w:val="24"/>
              </w:rPr>
              <w:t>日，</w:t>
            </w:r>
            <w:r>
              <w:rPr>
                <w:rFonts w:hint="eastAsia"/>
                <w:kern w:val="0"/>
                <w:sz w:val="24"/>
              </w:rPr>
              <w:t>盂县</w:t>
            </w:r>
            <w:r>
              <w:rPr>
                <w:kern w:val="0"/>
                <w:sz w:val="24"/>
              </w:rPr>
              <w:t>行政审批服务管理局下发了山西省企业投资项目备案证，项目代码：</w:t>
            </w:r>
            <w:r>
              <w:rPr>
                <w:rFonts w:hint="eastAsia"/>
                <w:kern w:val="0"/>
                <w:sz w:val="24"/>
              </w:rPr>
              <w:t>2510-140322-89-05-495851</w:t>
            </w:r>
            <w:r>
              <w:rPr>
                <w:kern w:val="0"/>
                <w:sz w:val="24"/>
              </w:rPr>
              <w:t>。因此，本项目的建设符合产业政策的要求。</w:t>
            </w:r>
          </w:p>
          <w:p w14:paraId="0B6E9547">
            <w:pPr>
              <w:pStyle w:val="57"/>
              <w:spacing w:line="480" w:lineRule="exact"/>
              <w:ind w:firstLine="482"/>
              <w:jc w:val="both"/>
              <w:rPr>
                <w:rFonts w:ascii="Times New Roman" w:hAnsi="Times New Roman"/>
                <w:b/>
                <w:bCs/>
                <w:color w:val="000000" w:themeColor="text1"/>
                <w:sz w:val="24"/>
                <w:szCs w:val="24"/>
                <w:lang w:bidi="ar"/>
                <w14:textFill>
                  <w14:solidFill>
                    <w14:schemeClr w14:val="tx1"/>
                  </w14:solidFill>
                </w14:textFill>
              </w:rPr>
            </w:pPr>
            <w:r>
              <w:rPr>
                <w:rFonts w:hint="eastAsia" w:ascii="Times New Roman" w:hAnsi="Times New Roman"/>
                <w:b/>
                <w:bCs/>
                <w:color w:val="000000" w:themeColor="text1"/>
                <w:sz w:val="24"/>
                <w:szCs w:val="24"/>
                <w:lang w:bidi="ar"/>
                <w14:textFill>
                  <w14:solidFill>
                    <w14:schemeClr w14:val="tx1"/>
                  </w14:solidFill>
                </w14:textFill>
              </w:rPr>
              <w:t>2.“三线一单”</w:t>
            </w:r>
            <w:r>
              <w:rPr>
                <w:rFonts w:ascii="Times New Roman" w:hAnsi="Times New Roman"/>
                <w:b/>
                <w:bCs/>
                <w:color w:val="000000" w:themeColor="text1"/>
                <w:sz w:val="24"/>
                <w:szCs w:val="24"/>
                <w:lang w:bidi="ar"/>
                <w14:textFill>
                  <w14:solidFill>
                    <w14:schemeClr w14:val="tx1"/>
                  </w14:solidFill>
                </w14:textFill>
              </w:rPr>
              <w:t>符合性分析</w:t>
            </w:r>
          </w:p>
          <w:p w14:paraId="1865246B">
            <w:pPr>
              <w:pStyle w:val="21"/>
              <w:widowControl w:val="0"/>
              <w:spacing w:before="0" w:beforeAutospacing="0" w:after="0" w:afterAutospacing="0" w:line="480" w:lineRule="exact"/>
              <w:ind w:firstLine="480" w:firstLineChars="200"/>
              <w:jc w:val="both"/>
              <w:rPr>
                <w:rFonts w:ascii="Times New Roman" w:hAnsi="Times New Roman"/>
                <w:color w:val="000000" w:themeColor="text1"/>
                <w14:textFill>
                  <w14:solidFill>
                    <w14:schemeClr w14:val="tx1"/>
                  </w14:solidFill>
                </w14:textFill>
              </w:rPr>
            </w:pPr>
            <w:r>
              <w:rPr>
                <w:rFonts w:ascii="Times New Roman" w:hAnsi="Times New Roman"/>
                <w:color w:val="000000" w:themeColor="text1"/>
                <w:kern w:val="2"/>
                <w:lang w:bidi="ar"/>
                <w14:textFill>
                  <w14:solidFill>
                    <w14:schemeClr w14:val="tx1"/>
                  </w14:solidFill>
                </w14:textFill>
              </w:rPr>
              <w:t>（1）生态保护红线符合性分析</w:t>
            </w:r>
          </w:p>
          <w:p w14:paraId="0B30AFAA">
            <w:pPr>
              <w:autoSpaceDE w:val="0"/>
              <w:autoSpaceDN w:val="0"/>
              <w:adjustRightInd w:val="0"/>
              <w:snapToGrid w:val="0"/>
              <w:spacing w:line="480" w:lineRule="exact"/>
              <w:ind w:firstLine="480" w:firstLineChars="200"/>
              <w:jc w:val="left"/>
              <w:rPr>
                <w:bCs/>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本项目选址位于山西省阳泉市盂县西潘乡宋庄村东侧约530m处，</w:t>
            </w:r>
            <w:r>
              <w:rPr>
                <w:rFonts w:hint="eastAsia"/>
                <w:sz w:val="24"/>
              </w:rPr>
              <w:t>根据盂县自然资源局的核查意见及《盂县国土空间总体规划（2021—2035年）》三条控制线要求，矿区范围不在已划分的生态保护红线范围内，不在城镇开发边界范围内，未占用耕地及永久基本农田，与地质遗迹点不重叠。</w:t>
            </w:r>
          </w:p>
          <w:p w14:paraId="5F746E44">
            <w:pPr>
              <w:pStyle w:val="21"/>
              <w:widowControl w:val="0"/>
              <w:spacing w:before="0" w:beforeAutospacing="0" w:after="0" w:afterAutospacing="0" w:line="480" w:lineRule="exact"/>
              <w:ind w:firstLine="480" w:firstLineChars="200"/>
              <w:jc w:val="both"/>
              <w:rPr>
                <w:rFonts w:ascii="Times New Roman" w:hAnsi="Times New Roman"/>
                <w:color w:val="000000" w:themeColor="text1"/>
                <w:kern w:val="2"/>
                <w:lang w:bidi="ar"/>
                <w14:textFill>
                  <w14:solidFill>
                    <w14:schemeClr w14:val="tx1"/>
                  </w14:solidFill>
                </w14:textFill>
              </w:rPr>
            </w:pPr>
            <w:r>
              <w:rPr>
                <w:rFonts w:ascii="Times New Roman" w:hAnsi="Times New Roman"/>
                <w:color w:val="000000" w:themeColor="text1"/>
                <w:kern w:val="2"/>
                <w:lang w:bidi="ar"/>
                <w14:textFill>
                  <w14:solidFill>
                    <w14:schemeClr w14:val="tx1"/>
                  </w14:solidFill>
                </w14:textFill>
              </w:rPr>
              <w:t>（2）环境质量底线</w:t>
            </w:r>
          </w:p>
          <w:p w14:paraId="48C84DEE">
            <w:pPr>
              <w:spacing w:line="480" w:lineRule="exact"/>
              <w:ind w:firstLine="496" w:firstLineChars="200"/>
              <w:rPr>
                <w:bCs/>
                <w:color w:val="000000" w:themeColor="text1"/>
                <w:spacing w:val="4"/>
                <w:sz w:val="24"/>
                <w:highlight w:val="yellow"/>
                <w14:textFill>
                  <w14:solidFill>
                    <w14:schemeClr w14:val="tx1"/>
                  </w14:solidFill>
                </w14:textFill>
              </w:rPr>
            </w:pPr>
            <w:r>
              <w:rPr>
                <w:rFonts w:hint="eastAsia"/>
                <w:bCs/>
                <w:color w:val="000000" w:themeColor="text1"/>
                <w:spacing w:val="4"/>
                <w:sz w:val="24"/>
                <w14:textFill>
                  <w14:solidFill>
                    <w14:schemeClr w14:val="tx1"/>
                  </w14:solidFill>
                </w14:textFill>
              </w:rPr>
              <w:t>本次评价收集了阳泉市盂县202</w:t>
            </w:r>
            <w:r>
              <w:rPr>
                <w:rFonts w:hint="eastAsia"/>
                <w:bCs/>
                <w:color w:val="000000" w:themeColor="text1"/>
                <w:spacing w:val="4"/>
                <w:sz w:val="24"/>
                <w:lang w:val="en-US" w:eastAsia="zh-CN"/>
                <w14:textFill>
                  <w14:solidFill>
                    <w14:schemeClr w14:val="tx1"/>
                  </w14:solidFill>
                </w14:textFill>
              </w:rPr>
              <w:t>5</w:t>
            </w:r>
            <w:r>
              <w:rPr>
                <w:rFonts w:hint="eastAsia"/>
                <w:bCs/>
                <w:color w:val="000000" w:themeColor="text1"/>
                <w:spacing w:val="4"/>
                <w:sz w:val="24"/>
                <w14:textFill>
                  <w14:solidFill>
                    <w14:schemeClr w14:val="tx1"/>
                  </w14:solidFill>
                </w14:textFill>
              </w:rPr>
              <w:t>年环境空气例行监测资料，根据阳泉市盂县202</w:t>
            </w:r>
            <w:r>
              <w:rPr>
                <w:rFonts w:hint="eastAsia"/>
                <w:bCs/>
                <w:color w:val="000000" w:themeColor="text1"/>
                <w:spacing w:val="4"/>
                <w:sz w:val="24"/>
                <w:lang w:val="en-US" w:eastAsia="zh-CN"/>
                <w14:textFill>
                  <w14:solidFill>
                    <w14:schemeClr w14:val="tx1"/>
                  </w14:solidFill>
                </w14:textFill>
              </w:rPr>
              <w:t>5</w:t>
            </w:r>
            <w:r>
              <w:rPr>
                <w:rFonts w:hint="eastAsia"/>
                <w:bCs/>
                <w:color w:val="000000" w:themeColor="text1"/>
                <w:spacing w:val="4"/>
                <w:sz w:val="24"/>
                <w14:textFill>
                  <w14:solidFill>
                    <w14:schemeClr w14:val="tx1"/>
                  </w14:solidFill>
                </w14:textFill>
              </w:rPr>
              <w:t>年环境空气质量例行监测数据可知：</w:t>
            </w:r>
            <w:r>
              <w:rPr>
                <w:rFonts w:hint="eastAsia" w:cs="宋体"/>
                <w:kern w:val="0"/>
                <w:sz w:val="24"/>
              </w:rPr>
              <w:t>PM</w:t>
            </w:r>
            <w:r>
              <w:rPr>
                <w:rFonts w:hint="eastAsia" w:cs="宋体"/>
                <w:kern w:val="0"/>
                <w:sz w:val="24"/>
                <w:vertAlign w:val="subscript"/>
              </w:rPr>
              <w:t>2.5</w:t>
            </w:r>
            <w:r>
              <w:rPr>
                <w:rFonts w:hint="eastAsia" w:cs="宋体"/>
                <w:kern w:val="0"/>
                <w:sz w:val="24"/>
              </w:rPr>
              <w:t>、PM</w:t>
            </w:r>
            <w:r>
              <w:rPr>
                <w:rFonts w:hint="eastAsia" w:cs="宋体"/>
                <w:kern w:val="0"/>
                <w:sz w:val="24"/>
                <w:vertAlign w:val="subscript"/>
              </w:rPr>
              <w:t>10</w:t>
            </w:r>
            <w:r>
              <w:rPr>
                <w:rFonts w:hint="eastAsia" w:cs="宋体"/>
                <w:kern w:val="0"/>
                <w:sz w:val="24"/>
                <w:vertAlign w:val="baseline"/>
                <w:lang w:eastAsia="zh-CN"/>
              </w:rPr>
              <w:t>、</w:t>
            </w:r>
            <w:r>
              <w:rPr>
                <w:rFonts w:hint="eastAsia" w:cs="宋体"/>
                <w:kern w:val="0"/>
                <w:sz w:val="24"/>
              </w:rPr>
              <w:t>SO</w:t>
            </w:r>
            <w:r>
              <w:rPr>
                <w:rFonts w:hint="eastAsia" w:cs="宋体"/>
                <w:kern w:val="0"/>
                <w:sz w:val="24"/>
                <w:vertAlign w:val="subscript"/>
              </w:rPr>
              <w:t>2</w:t>
            </w:r>
            <w:r>
              <w:rPr>
                <w:rFonts w:hint="eastAsia" w:cs="宋体"/>
                <w:kern w:val="0"/>
                <w:sz w:val="24"/>
              </w:rPr>
              <w:t>、NO</w:t>
            </w:r>
            <w:r>
              <w:rPr>
                <w:rFonts w:hint="eastAsia" w:cs="宋体"/>
                <w:kern w:val="0"/>
                <w:sz w:val="24"/>
                <w:vertAlign w:val="subscript"/>
              </w:rPr>
              <w:t>2</w:t>
            </w:r>
            <w:r>
              <w:rPr>
                <w:rFonts w:hint="eastAsia" w:cs="宋体"/>
                <w:kern w:val="0"/>
                <w:sz w:val="24"/>
              </w:rPr>
              <w:t>、CO、O</w:t>
            </w:r>
            <w:r>
              <w:rPr>
                <w:rFonts w:hint="eastAsia" w:cs="宋体"/>
                <w:kern w:val="0"/>
                <w:sz w:val="24"/>
                <w:vertAlign w:val="subscript"/>
              </w:rPr>
              <w:t>3</w:t>
            </w:r>
            <w:r>
              <w:rPr>
                <w:rFonts w:hint="eastAsia" w:ascii="宋体" w:hAnsi="宋体" w:cs="宋体"/>
                <w:kern w:val="0"/>
                <w:sz w:val="24"/>
              </w:rPr>
              <w:t>-</w:t>
            </w:r>
            <w:r>
              <w:rPr>
                <w:rFonts w:hint="eastAsia" w:cs="宋体"/>
                <w:kern w:val="0"/>
                <w:sz w:val="24"/>
              </w:rPr>
              <w:t>8均满足</w:t>
            </w:r>
            <w:r>
              <w:rPr>
                <w:rFonts w:hint="eastAsia" w:ascii="Times New Roman" w:hAnsi="Times New Roman" w:cs="Times New Roman"/>
                <w:bCs/>
                <w:color w:val="auto"/>
                <w:spacing w:val="4"/>
                <w:sz w:val="24"/>
                <w:highlight w:val="none"/>
                <w:lang w:eastAsia="zh-CN"/>
              </w:rPr>
              <w:t>《环境空气质量标准》（GB3095-2012）</w:t>
            </w:r>
            <w:r>
              <w:rPr>
                <w:rFonts w:hint="eastAsia" w:ascii="Times New Roman" w:hAnsi="Times New Roman" w:cs="Times New Roman"/>
                <w:bCs/>
                <w:color w:val="auto"/>
                <w:spacing w:val="4"/>
                <w:sz w:val="24"/>
                <w:highlight w:val="none"/>
                <w:lang w:val="en-US" w:eastAsia="zh-CN"/>
              </w:rPr>
              <w:t>表1中</w:t>
            </w:r>
            <w:r>
              <w:rPr>
                <w:rFonts w:hint="eastAsia" w:ascii="Times New Roman" w:hAnsi="Times New Roman" w:cs="Times New Roman"/>
                <w:bCs/>
                <w:color w:val="auto"/>
                <w:spacing w:val="4"/>
                <w:sz w:val="24"/>
                <w:highlight w:val="none"/>
                <w:lang w:eastAsia="zh-CN"/>
              </w:rPr>
              <w:t>二级标准</w:t>
            </w:r>
            <w:r>
              <w:rPr>
                <w:rFonts w:hint="eastAsia" w:cs="宋体"/>
                <w:kern w:val="0"/>
                <w:sz w:val="24"/>
              </w:rPr>
              <w:t>，说明</w:t>
            </w:r>
            <w:r>
              <w:rPr>
                <w:rFonts w:hint="eastAsia" w:cs="宋体"/>
                <w:kern w:val="0"/>
                <w:sz w:val="24"/>
                <w:lang w:val="en-US" w:eastAsia="zh-CN"/>
              </w:rPr>
              <w:t>项目所在区</w:t>
            </w:r>
            <w:r>
              <w:rPr>
                <w:rFonts w:hint="eastAsia" w:cs="宋体"/>
                <w:kern w:val="0"/>
                <w:sz w:val="24"/>
              </w:rPr>
              <w:t>为达标区</w:t>
            </w:r>
            <w:r>
              <w:rPr>
                <w:rFonts w:hint="eastAsia"/>
                <w:bCs/>
                <w:color w:val="000000" w:themeColor="text1"/>
                <w:spacing w:val="4"/>
                <w:sz w:val="24"/>
                <w14:textFill>
                  <w14:solidFill>
                    <w14:schemeClr w14:val="tx1"/>
                  </w14:solidFill>
                </w14:textFill>
              </w:rPr>
              <w:t>；</w:t>
            </w:r>
            <w:r>
              <w:rPr>
                <w:sz w:val="24"/>
              </w:rPr>
              <w:t>本次评价</w:t>
            </w:r>
            <w:r>
              <w:rPr>
                <w:rFonts w:hint="eastAsia"/>
                <w:sz w:val="24"/>
              </w:rPr>
              <w:t>TSP引用《盂县西潘宋庄红花沟石料厂年开采2万立方米饰面用花岗岩露天开采改扩建项目环境影响报告表》中TSP的现状监测结果，项目附近TSP可以满足</w:t>
            </w:r>
            <w:r>
              <w:rPr>
                <w:kern w:val="21"/>
                <w:sz w:val="24"/>
                <w:lang w:bidi="ar"/>
              </w:rPr>
              <w:t>《环境空气质量标准》（GB3095-20</w:t>
            </w:r>
            <w:r>
              <w:rPr>
                <w:rFonts w:hint="eastAsia"/>
                <w:kern w:val="21"/>
                <w:sz w:val="24"/>
                <w:lang w:val="en-US" w:eastAsia="zh-CN" w:bidi="ar"/>
              </w:rPr>
              <w:t>12</w:t>
            </w:r>
            <w:r>
              <w:rPr>
                <w:kern w:val="21"/>
                <w:sz w:val="24"/>
                <w:lang w:bidi="ar"/>
              </w:rPr>
              <w:t>）</w:t>
            </w:r>
            <w:r>
              <w:rPr>
                <w:rFonts w:hint="eastAsia"/>
                <w:kern w:val="21"/>
                <w:sz w:val="24"/>
                <w:lang w:val="en-US" w:eastAsia="zh-CN" w:bidi="ar"/>
              </w:rPr>
              <w:t>表2中</w:t>
            </w:r>
            <w:r>
              <w:rPr>
                <w:kern w:val="21"/>
                <w:sz w:val="24"/>
                <w:lang w:bidi="ar"/>
              </w:rPr>
              <w:t>二级</w:t>
            </w:r>
            <w:r>
              <w:rPr>
                <w:rFonts w:hint="eastAsia"/>
                <w:kern w:val="21"/>
                <w:sz w:val="24"/>
                <w:lang w:val="en-US" w:eastAsia="zh-CN" w:bidi="ar"/>
              </w:rPr>
              <w:t>浓度限值</w:t>
            </w:r>
            <w:r>
              <w:rPr>
                <w:sz w:val="24"/>
              </w:rPr>
              <w:t>要求</w:t>
            </w:r>
            <w:r>
              <w:rPr>
                <w:rFonts w:hint="eastAsia"/>
                <w:sz w:val="24"/>
              </w:rPr>
              <w:t>。</w:t>
            </w:r>
          </w:p>
          <w:p w14:paraId="404D1F76">
            <w:pPr>
              <w:spacing w:line="480" w:lineRule="exact"/>
              <w:ind w:firstLine="480" w:firstLineChars="200"/>
              <w:rPr>
                <w:sz w:val="24"/>
              </w:rPr>
            </w:pPr>
            <w:r>
              <w:rPr>
                <w:rFonts w:hint="eastAsia"/>
                <w:sz w:val="24"/>
              </w:rPr>
              <w:t>地表水环境质量：</w:t>
            </w:r>
            <w:r>
              <w:rPr>
                <w:bCs/>
                <w:sz w:val="24"/>
              </w:rPr>
              <w:t>项目最近的地表水体为</w:t>
            </w:r>
            <w:r>
              <w:rPr>
                <w:rFonts w:hint="eastAsia"/>
                <w:bCs/>
                <w:sz w:val="24"/>
              </w:rPr>
              <w:t>项目西</w:t>
            </w:r>
            <w:r>
              <w:rPr>
                <w:bCs/>
                <w:sz w:val="24"/>
              </w:rPr>
              <w:t>侧</w:t>
            </w:r>
            <w:r>
              <w:rPr>
                <w:rFonts w:hint="eastAsia"/>
                <w:bCs/>
                <w:sz w:val="24"/>
              </w:rPr>
              <w:t>约1.5km</w:t>
            </w:r>
            <w:r>
              <w:rPr>
                <w:bCs/>
                <w:sz w:val="24"/>
              </w:rPr>
              <w:t>处的</w:t>
            </w:r>
            <w:r>
              <w:rPr>
                <w:rFonts w:hint="eastAsia"/>
                <w:bCs/>
                <w:sz w:val="24"/>
              </w:rPr>
              <w:t>乌河</w:t>
            </w:r>
            <w:r>
              <w:rPr>
                <w:bCs/>
                <w:sz w:val="24"/>
              </w:rPr>
              <w:t>，</w:t>
            </w:r>
            <w:r>
              <w:rPr>
                <w:rFonts w:hint="eastAsia"/>
                <w:bCs/>
                <w:sz w:val="24"/>
              </w:rPr>
              <w:t>乌河为滹沱河支流</w:t>
            </w:r>
            <w:r>
              <w:rPr>
                <w:rFonts w:hint="eastAsia"/>
                <w:sz w:val="24"/>
              </w:rPr>
              <w:t>。</w:t>
            </w:r>
            <w:r>
              <w:rPr>
                <w:kern w:val="0"/>
                <w:sz w:val="24"/>
              </w:rPr>
              <w:t>根据《山西省地表水环境功能区划》（DB14/67-2019），</w:t>
            </w:r>
            <w:r>
              <w:rPr>
                <w:rFonts w:hint="eastAsia"/>
                <w:kern w:val="0"/>
                <w:sz w:val="24"/>
              </w:rPr>
              <w:t>其水环境功能为保留区水源保护，水质要求为</w:t>
            </w:r>
            <w:r>
              <w:rPr>
                <w:kern w:val="0"/>
                <w:sz w:val="24"/>
              </w:rPr>
              <w:t>Ⅲ类</w:t>
            </w:r>
            <w:r>
              <w:rPr>
                <w:rFonts w:hint="eastAsia"/>
                <w:kern w:val="0"/>
                <w:sz w:val="24"/>
              </w:rPr>
              <w:t>。本</w:t>
            </w:r>
            <w:r>
              <w:rPr>
                <w:kern w:val="0"/>
                <w:sz w:val="24"/>
              </w:rPr>
              <w:t>项目最近的地表水监测断面</w:t>
            </w:r>
            <w:r>
              <w:rPr>
                <w:rFonts w:hint="eastAsia"/>
                <w:kern w:val="0"/>
                <w:sz w:val="24"/>
              </w:rPr>
              <w:t>是枣园村</w:t>
            </w:r>
            <w:r>
              <w:rPr>
                <w:kern w:val="0"/>
                <w:sz w:val="24"/>
              </w:rPr>
              <w:t>断面（</w:t>
            </w:r>
            <w:r>
              <w:rPr>
                <w:rFonts w:hint="eastAsia"/>
                <w:kern w:val="0"/>
                <w:sz w:val="24"/>
              </w:rPr>
              <w:t>国</w:t>
            </w:r>
            <w:r>
              <w:rPr>
                <w:kern w:val="0"/>
                <w:sz w:val="24"/>
              </w:rPr>
              <w:t>控断面）</w:t>
            </w:r>
            <w:r>
              <w:rPr>
                <w:rFonts w:hint="eastAsia"/>
                <w:kern w:val="0"/>
                <w:sz w:val="24"/>
              </w:rPr>
              <w:t>，</w:t>
            </w:r>
            <w:r>
              <w:rPr>
                <w:kern w:val="0"/>
                <w:sz w:val="24"/>
              </w:rPr>
              <w:t>根据202</w:t>
            </w:r>
            <w:r>
              <w:rPr>
                <w:rFonts w:hint="eastAsia"/>
                <w:kern w:val="0"/>
                <w:sz w:val="24"/>
              </w:rPr>
              <w:t>5</w:t>
            </w:r>
            <w:r>
              <w:rPr>
                <w:kern w:val="0"/>
                <w:sz w:val="24"/>
              </w:rPr>
              <w:t>年10月</w:t>
            </w:r>
            <w:r>
              <w:rPr>
                <w:rFonts w:hint="eastAsia"/>
                <w:sz w:val="24"/>
              </w:rPr>
              <w:t>山西省地表水环境质量报告</w:t>
            </w:r>
            <w:r>
              <w:rPr>
                <w:kern w:val="0"/>
                <w:sz w:val="24"/>
              </w:rPr>
              <w:t>，</w:t>
            </w:r>
            <w:r>
              <w:rPr>
                <w:rFonts w:hint="eastAsia"/>
                <w:kern w:val="0"/>
                <w:sz w:val="24"/>
              </w:rPr>
              <w:t>枣园村</w:t>
            </w:r>
            <w:r>
              <w:rPr>
                <w:kern w:val="0"/>
                <w:sz w:val="24"/>
              </w:rPr>
              <w:t>断面（</w:t>
            </w:r>
            <w:r>
              <w:rPr>
                <w:rFonts w:hint="eastAsia"/>
                <w:kern w:val="0"/>
                <w:sz w:val="24"/>
              </w:rPr>
              <w:t>国</w:t>
            </w:r>
            <w:r>
              <w:rPr>
                <w:kern w:val="0"/>
                <w:sz w:val="24"/>
              </w:rPr>
              <w:t>控断面）</w:t>
            </w:r>
            <w:r>
              <w:rPr>
                <w:sz w:val="24"/>
              </w:rPr>
              <w:t>水质为</w:t>
            </w:r>
            <w:r>
              <w:rPr>
                <w:kern w:val="0"/>
                <w:sz w:val="24"/>
              </w:rPr>
              <w:t>Ⅰ类，水质符合《地表水环境质量标准》（GB3838-2002）Ⅲ类标准限</w:t>
            </w:r>
            <w:r>
              <w:rPr>
                <w:rFonts w:hint="eastAsia"/>
                <w:kern w:val="0"/>
                <w:sz w:val="24"/>
              </w:rPr>
              <w:t>值</w:t>
            </w:r>
            <w:r>
              <w:rPr>
                <w:kern w:val="0"/>
                <w:sz w:val="24"/>
              </w:rPr>
              <w:t>要求。</w:t>
            </w:r>
          </w:p>
          <w:p w14:paraId="7BDA2D8F">
            <w:pPr>
              <w:spacing w:line="48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本项目在认真贯彻执行国家环保法律法规，严格落实环评规定的各项环保措施，加强环境管理的情况下，本项目产生的颗粒物能够满足达标排放和总量控制的要求，无废水排放，不会改变区域环境质量功能，不会导致区域环境质量降低，不违背环境质量底线要求。</w:t>
            </w:r>
          </w:p>
          <w:p w14:paraId="7896718F">
            <w:pPr>
              <w:pStyle w:val="21"/>
              <w:widowControl w:val="0"/>
              <w:spacing w:before="0" w:beforeAutospacing="0" w:after="0" w:afterAutospacing="0" w:line="480" w:lineRule="exact"/>
              <w:ind w:firstLine="480" w:firstLineChars="200"/>
              <w:jc w:val="both"/>
              <w:rPr>
                <w:rFonts w:ascii="Times New Roman" w:hAnsi="Times New Roman"/>
                <w:highlight w:val="red"/>
                <w:lang w:bidi="ar"/>
              </w:rPr>
            </w:pPr>
            <w:r>
              <w:rPr>
                <w:rFonts w:ascii="Times New Roman" w:hAnsi="Times New Roman"/>
                <w:color w:val="000000" w:themeColor="text1"/>
                <w:kern w:val="2"/>
                <w:lang w:bidi="ar"/>
                <w14:textFill>
                  <w14:solidFill>
                    <w14:schemeClr w14:val="tx1"/>
                  </w14:solidFill>
                </w14:textFill>
              </w:rPr>
              <w:t>（3）资源利用上线</w:t>
            </w:r>
          </w:p>
          <w:p w14:paraId="6D0B44FE">
            <w:pPr>
              <w:widowControl/>
              <w:spacing w:line="480" w:lineRule="exact"/>
              <w:ind w:firstLine="480" w:firstLineChars="200"/>
              <w:rPr>
                <w:color w:val="000000" w:themeColor="text1"/>
                <w:kern w:val="0"/>
                <w:sz w:val="24"/>
                <w:lang w:bidi="ar"/>
                <w14:textFill>
                  <w14:solidFill>
                    <w14:schemeClr w14:val="tx1"/>
                  </w14:solidFill>
                </w14:textFill>
              </w:rPr>
            </w:pPr>
            <w:r>
              <w:rPr>
                <w:color w:val="000000" w:themeColor="text1"/>
                <w:kern w:val="0"/>
                <w:sz w:val="24"/>
                <w:lang w:bidi="ar"/>
                <w14:textFill>
                  <w14:solidFill>
                    <w14:schemeClr w14:val="tx1"/>
                  </w14:solidFill>
                </w14:textFill>
              </w:rPr>
              <w:t>本项目</w:t>
            </w:r>
            <w:r>
              <w:rPr>
                <w:rFonts w:hint="eastAsia"/>
                <w:color w:val="000000" w:themeColor="text1"/>
                <w:kern w:val="0"/>
                <w:sz w:val="24"/>
                <w:lang w:bidi="ar"/>
                <w14:textFill>
                  <w14:solidFill>
                    <w14:schemeClr w14:val="tx1"/>
                  </w14:solidFill>
                </w14:textFill>
              </w:rPr>
              <w:t>生产</w:t>
            </w:r>
            <w:r>
              <w:rPr>
                <w:color w:val="000000" w:themeColor="text1"/>
                <w:kern w:val="0"/>
                <w:sz w:val="24"/>
                <w:lang w:bidi="ar"/>
                <w14:textFill>
                  <w14:solidFill>
                    <w14:schemeClr w14:val="tx1"/>
                  </w14:solidFill>
                </w14:textFill>
              </w:rPr>
              <w:t>过</w:t>
            </w:r>
            <w:r>
              <w:rPr>
                <w:rFonts w:hint="eastAsia"/>
                <w:color w:val="000000" w:themeColor="text1"/>
                <w:kern w:val="0"/>
                <w:sz w:val="24"/>
                <w:lang w:bidi="ar"/>
                <w14:textFill>
                  <w14:solidFill>
                    <w14:schemeClr w14:val="tx1"/>
                  </w14:solidFill>
                </w14:textFill>
              </w:rPr>
              <w:t>程中</w:t>
            </w:r>
            <w:r>
              <w:rPr>
                <w:color w:val="000000" w:themeColor="text1"/>
                <w:kern w:val="0"/>
                <w:sz w:val="24"/>
                <w:lang w:bidi="ar"/>
                <w14:textFill>
                  <w14:solidFill>
                    <w14:schemeClr w14:val="tx1"/>
                  </w14:solidFill>
                </w14:textFill>
              </w:rPr>
              <w:t>消耗的资源为电能和</w:t>
            </w:r>
            <w:r>
              <w:rPr>
                <w:rFonts w:hint="eastAsia"/>
                <w:color w:val="000000" w:themeColor="text1"/>
                <w:kern w:val="0"/>
                <w:sz w:val="24"/>
                <w:lang w:bidi="ar"/>
                <w14:textFill>
                  <w14:solidFill>
                    <w14:schemeClr w14:val="tx1"/>
                  </w14:solidFill>
                </w14:textFill>
              </w:rPr>
              <w:t>水</w:t>
            </w:r>
            <w:r>
              <w:rPr>
                <w:color w:val="000000" w:themeColor="text1"/>
                <w:kern w:val="0"/>
                <w:sz w:val="24"/>
                <w:lang w:bidi="ar"/>
                <w14:textFill>
                  <w14:solidFill>
                    <w14:schemeClr w14:val="tx1"/>
                  </w14:solidFill>
                </w14:textFill>
              </w:rPr>
              <w:t>，</w:t>
            </w:r>
            <w:r>
              <w:rPr>
                <w:rFonts w:hint="eastAsia"/>
                <w:color w:val="000000" w:themeColor="text1"/>
                <w:kern w:val="0"/>
                <w:sz w:val="24"/>
                <w:lang w:bidi="ar"/>
                <w14:textFill>
                  <w14:solidFill>
                    <w14:schemeClr w14:val="tx1"/>
                  </w14:solidFill>
                </w14:textFill>
              </w:rPr>
              <w:t>生活</w:t>
            </w:r>
            <w:r>
              <w:rPr>
                <w:color w:val="000000" w:themeColor="text1"/>
                <w:kern w:val="0"/>
                <w:sz w:val="24"/>
                <w:lang w:bidi="ar"/>
                <w14:textFill>
                  <w14:solidFill>
                    <w14:schemeClr w14:val="tx1"/>
                  </w14:solidFill>
                </w14:textFill>
              </w:rPr>
              <w:t>用水来自</w:t>
            </w:r>
            <w:r>
              <w:rPr>
                <w:rFonts w:hint="eastAsia"/>
                <w:color w:val="000000" w:themeColor="text1"/>
                <w:kern w:val="0"/>
                <w:sz w:val="24"/>
                <w:lang w:bidi="ar"/>
                <w14:textFill>
                  <w14:solidFill>
                    <w14:schemeClr w14:val="tx1"/>
                  </w14:solidFill>
                </w14:textFill>
              </w:rPr>
              <w:t>附近村庄</w:t>
            </w:r>
            <w:r>
              <w:rPr>
                <w:color w:val="000000" w:themeColor="text1"/>
                <w:kern w:val="0"/>
                <w:sz w:val="24"/>
                <w:lang w:bidi="ar"/>
                <w14:textFill>
                  <w14:solidFill>
                    <w14:schemeClr w14:val="tx1"/>
                  </w14:solidFill>
                </w14:textFill>
              </w:rPr>
              <w:t>，</w:t>
            </w:r>
            <w:r>
              <w:rPr>
                <w:rFonts w:hint="eastAsia"/>
                <w:color w:val="000000" w:themeColor="text1"/>
                <w:kern w:val="0"/>
                <w:sz w:val="24"/>
                <w:lang w:bidi="ar"/>
                <w14:textFill>
                  <w14:solidFill>
                    <w14:schemeClr w14:val="tx1"/>
                  </w14:solidFill>
                </w14:textFill>
              </w:rPr>
              <w:t>采用先进的生产工艺，并能够实现自动化控制</w:t>
            </w:r>
            <w:r>
              <w:rPr>
                <w:color w:val="000000" w:themeColor="text1"/>
                <w:kern w:val="0"/>
                <w:sz w:val="24"/>
                <w:lang w:bidi="ar"/>
                <w14:textFill>
                  <w14:solidFill>
                    <w14:schemeClr w14:val="tx1"/>
                  </w14:solidFill>
                </w14:textFill>
              </w:rPr>
              <w:t>，</w:t>
            </w:r>
            <w:r>
              <w:rPr>
                <w:rFonts w:hint="eastAsia"/>
                <w:color w:val="000000" w:themeColor="text1"/>
                <w:kern w:val="0"/>
                <w:sz w:val="24"/>
                <w:lang w:bidi="ar"/>
                <w14:textFill>
                  <w14:solidFill>
                    <w14:schemeClr w14:val="tx1"/>
                  </w14:solidFill>
                </w14:textFill>
              </w:rPr>
              <w:t>达到很好的节能效果，</w:t>
            </w:r>
            <w:r>
              <w:rPr>
                <w:color w:val="000000" w:themeColor="text1"/>
                <w:kern w:val="0"/>
                <w:sz w:val="24"/>
                <w:lang w:bidi="ar"/>
                <w14:textFill>
                  <w14:solidFill>
                    <w14:schemeClr w14:val="tx1"/>
                  </w14:solidFill>
                </w14:textFill>
              </w:rPr>
              <w:t>不会突破当地资源</w:t>
            </w:r>
            <w:bookmarkStart w:id="3" w:name="_Hlk527371199"/>
            <w:r>
              <w:rPr>
                <w:rFonts w:hint="eastAsia"/>
                <w:color w:val="000000" w:themeColor="text1"/>
                <w:kern w:val="0"/>
                <w:sz w:val="24"/>
                <w:lang w:bidi="ar"/>
                <w14:textFill>
                  <w14:solidFill>
                    <w14:schemeClr w14:val="tx1"/>
                  </w14:solidFill>
                </w14:textFill>
              </w:rPr>
              <w:t>上线；本项目占地不涉及基本农田，开采结束后进行生态恢复，不会突破资源利用上线，符合资源利用上线要求</w:t>
            </w:r>
            <w:r>
              <w:rPr>
                <w:color w:val="000000" w:themeColor="text1"/>
                <w:kern w:val="0"/>
                <w:sz w:val="24"/>
                <w:lang w:bidi="ar"/>
                <w14:textFill>
                  <w14:solidFill>
                    <w14:schemeClr w14:val="tx1"/>
                  </w14:solidFill>
                </w14:textFill>
              </w:rPr>
              <w:t>。</w:t>
            </w:r>
            <w:bookmarkEnd w:id="3"/>
          </w:p>
          <w:p w14:paraId="4CA761CA">
            <w:pPr>
              <w:pStyle w:val="21"/>
              <w:widowControl w:val="0"/>
              <w:spacing w:before="0" w:beforeAutospacing="0" w:after="0" w:afterAutospacing="0" w:line="480" w:lineRule="exact"/>
              <w:ind w:firstLine="480" w:firstLineChars="200"/>
              <w:jc w:val="both"/>
              <w:rPr>
                <w:rFonts w:ascii="Times New Roman" w:hAnsi="Times New Roman"/>
                <w:color w:val="000000" w:themeColor="text1"/>
                <w:kern w:val="2"/>
                <w:lang w:bidi="ar"/>
                <w14:textFill>
                  <w14:solidFill>
                    <w14:schemeClr w14:val="tx1"/>
                  </w14:solidFill>
                </w14:textFill>
              </w:rPr>
            </w:pPr>
            <w:r>
              <w:rPr>
                <w:rFonts w:ascii="Times New Roman" w:hAnsi="Times New Roman"/>
                <w:color w:val="000000" w:themeColor="text1"/>
                <w:kern w:val="2"/>
                <w:lang w:bidi="ar"/>
                <w14:textFill>
                  <w14:solidFill>
                    <w14:schemeClr w14:val="tx1"/>
                  </w14:solidFill>
                </w14:textFill>
              </w:rPr>
              <w:t>（4）环境准入负面清单</w:t>
            </w:r>
          </w:p>
          <w:p w14:paraId="1FE16DD2">
            <w:pPr>
              <w:spacing w:line="480" w:lineRule="exact"/>
              <w:ind w:firstLine="480" w:firstLineChars="200"/>
              <w:rPr>
                <w:kern w:val="0"/>
                <w:sz w:val="24"/>
              </w:rPr>
            </w:pPr>
            <w:r>
              <w:rPr>
                <w:rFonts w:hint="eastAsia"/>
                <w:sz w:val="24"/>
              </w:rPr>
              <w:t>根据</w:t>
            </w:r>
            <w:r>
              <w:rPr>
                <w:kern w:val="0"/>
                <w:sz w:val="24"/>
              </w:rPr>
              <w:t>山西省</w:t>
            </w:r>
            <w:r>
              <w:rPr>
                <w:rFonts w:hint="eastAsia"/>
                <w:kern w:val="0"/>
                <w:sz w:val="24"/>
              </w:rPr>
              <w:t>“三线一单”数据管理及应用平台智能研判结果，本项目位于阳泉市盂县一般管控单元，详见下表。</w:t>
            </w:r>
          </w:p>
          <w:p w14:paraId="20488EF2">
            <w:pPr>
              <w:pStyle w:val="15"/>
              <w:spacing w:line="480" w:lineRule="exact"/>
              <w:rPr>
                <w:rFonts w:eastAsia="宋体"/>
                <w:sz w:val="21"/>
                <w:szCs w:val="21"/>
              </w:rPr>
            </w:pPr>
            <w:r>
              <w:rPr>
                <w:rFonts w:hint="eastAsia" w:eastAsia="宋体"/>
                <w:sz w:val="21"/>
                <w:szCs w:val="21"/>
              </w:rPr>
              <w:t>表1-3   本项目环境管控单元</w:t>
            </w:r>
          </w:p>
          <w:tbl>
            <w:tblPr>
              <w:tblStyle w:val="30"/>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0"/>
              <w:gridCol w:w="1893"/>
              <w:gridCol w:w="3458"/>
              <w:gridCol w:w="1849"/>
            </w:tblGrid>
            <w:tr w14:paraId="2948D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6" w:type="pct"/>
                  <w:vAlign w:val="center"/>
                </w:tcPr>
                <w:p w14:paraId="49B51B5A">
                  <w:pPr>
                    <w:ind w:left="-105" w:leftChars="-50" w:right="-105" w:rightChars="-50"/>
                    <w:jc w:val="center"/>
                    <w:rPr>
                      <w:kern w:val="0"/>
                      <w:szCs w:val="21"/>
                    </w:rPr>
                  </w:pPr>
                  <w:r>
                    <w:rPr>
                      <w:rFonts w:hint="eastAsia"/>
                      <w:kern w:val="0"/>
                      <w:szCs w:val="21"/>
                    </w:rPr>
                    <w:t>序号</w:t>
                  </w:r>
                </w:p>
              </w:tc>
              <w:tc>
                <w:tcPr>
                  <w:tcW w:w="1202" w:type="pct"/>
                  <w:vAlign w:val="center"/>
                </w:tcPr>
                <w:p w14:paraId="1FC757FE">
                  <w:pPr>
                    <w:jc w:val="center"/>
                    <w:rPr>
                      <w:kern w:val="0"/>
                      <w:szCs w:val="21"/>
                    </w:rPr>
                  </w:pPr>
                  <w:r>
                    <w:rPr>
                      <w:rFonts w:hint="eastAsia"/>
                      <w:kern w:val="0"/>
                      <w:szCs w:val="21"/>
                    </w:rPr>
                    <w:t>管控单元编码</w:t>
                  </w:r>
                </w:p>
              </w:tc>
              <w:tc>
                <w:tcPr>
                  <w:tcW w:w="2196" w:type="pct"/>
                  <w:vAlign w:val="center"/>
                </w:tcPr>
                <w:p w14:paraId="381C81C5">
                  <w:pPr>
                    <w:jc w:val="center"/>
                    <w:rPr>
                      <w:kern w:val="0"/>
                      <w:szCs w:val="21"/>
                    </w:rPr>
                  </w:pPr>
                  <w:r>
                    <w:rPr>
                      <w:rFonts w:hint="eastAsia"/>
                      <w:kern w:val="0"/>
                      <w:szCs w:val="21"/>
                    </w:rPr>
                    <w:t>管控单元名称</w:t>
                  </w:r>
                </w:p>
              </w:tc>
              <w:tc>
                <w:tcPr>
                  <w:tcW w:w="1174" w:type="pct"/>
                  <w:vAlign w:val="center"/>
                </w:tcPr>
                <w:p w14:paraId="404C010B">
                  <w:pPr>
                    <w:jc w:val="center"/>
                    <w:rPr>
                      <w:kern w:val="0"/>
                      <w:szCs w:val="21"/>
                    </w:rPr>
                  </w:pPr>
                  <w:r>
                    <w:rPr>
                      <w:rFonts w:hint="eastAsia"/>
                      <w:kern w:val="0"/>
                      <w:szCs w:val="21"/>
                    </w:rPr>
                    <w:t>管控区分类</w:t>
                  </w:r>
                </w:p>
              </w:tc>
            </w:tr>
            <w:tr w14:paraId="36A72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6" w:type="pct"/>
                  <w:vAlign w:val="center"/>
                </w:tcPr>
                <w:p w14:paraId="4C45B978">
                  <w:pPr>
                    <w:jc w:val="center"/>
                    <w:rPr>
                      <w:kern w:val="0"/>
                      <w:szCs w:val="21"/>
                    </w:rPr>
                  </w:pPr>
                  <w:r>
                    <w:rPr>
                      <w:rFonts w:hint="eastAsia"/>
                      <w:kern w:val="0"/>
                      <w:szCs w:val="21"/>
                    </w:rPr>
                    <w:t>1</w:t>
                  </w:r>
                </w:p>
              </w:tc>
              <w:tc>
                <w:tcPr>
                  <w:tcW w:w="1202" w:type="pct"/>
                  <w:vAlign w:val="center"/>
                </w:tcPr>
                <w:p w14:paraId="26941834">
                  <w:pPr>
                    <w:ind w:left="-105" w:leftChars="-50" w:right="-105" w:rightChars="-50"/>
                    <w:jc w:val="center"/>
                    <w:rPr>
                      <w:kern w:val="0"/>
                      <w:szCs w:val="21"/>
                    </w:rPr>
                  </w:pPr>
                  <w:r>
                    <w:rPr>
                      <w:rFonts w:hint="eastAsia"/>
                      <w:kern w:val="0"/>
                      <w:szCs w:val="21"/>
                    </w:rPr>
                    <w:t>ZH14032230001</w:t>
                  </w:r>
                </w:p>
              </w:tc>
              <w:tc>
                <w:tcPr>
                  <w:tcW w:w="2196" w:type="pct"/>
                  <w:vAlign w:val="center"/>
                </w:tcPr>
                <w:p w14:paraId="0FBD1F1C">
                  <w:pPr>
                    <w:jc w:val="center"/>
                    <w:rPr>
                      <w:kern w:val="0"/>
                      <w:szCs w:val="21"/>
                    </w:rPr>
                  </w:pPr>
                  <w:r>
                    <w:rPr>
                      <w:rFonts w:hint="eastAsia"/>
                      <w:kern w:val="0"/>
                      <w:szCs w:val="21"/>
                    </w:rPr>
                    <w:t>阳泉市盂县一般管控单元</w:t>
                  </w:r>
                </w:p>
              </w:tc>
              <w:tc>
                <w:tcPr>
                  <w:tcW w:w="1174" w:type="pct"/>
                  <w:vAlign w:val="center"/>
                </w:tcPr>
                <w:p w14:paraId="2D8B5A3C">
                  <w:pPr>
                    <w:jc w:val="center"/>
                    <w:rPr>
                      <w:kern w:val="0"/>
                      <w:szCs w:val="21"/>
                    </w:rPr>
                  </w:pPr>
                  <w:r>
                    <w:rPr>
                      <w:rFonts w:hint="eastAsia"/>
                      <w:kern w:val="0"/>
                      <w:szCs w:val="21"/>
                    </w:rPr>
                    <w:t>一般管控单元</w:t>
                  </w:r>
                </w:p>
              </w:tc>
            </w:tr>
          </w:tbl>
          <w:p w14:paraId="004EC76D">
            <w:pPr>
              <w:pStyle w:val="15"/>
              <w:spacing w:line="480" w:lineRule="exact"/>
              <w:rPr>
                <w:rFonts w:eastAsia="宋体"/>
                <w:sz w:val="21"/>
                <w:szCs w:val="21"/>
              </w:rPr>
            </w:pPr>
            <w:r>
              <w:rPr>
                <w:rFonts w:hint="eastAsia" w:eastAsia="宋体"/>
                <w:sz w:val="21"/>
                <w:szCs w:val="21"/>
              </w:rPr>
              <w:t>表1-4   本项目与环境管控单元要求符合性分析</w:t>
            </w:r>
          </w:p>
          <w:tbl>
            <w:tblPr>
              <w:tblStyle w:val="30"/>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5"/>
              <w:gridCol w:w="3155"/>
              <w:gridCol w:w="3562"/>
              <w:gridCol w:w="557"/>
            </w:tblGrid>
            <w:tr w14:paraId="065E5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78" w:type="pct"/>
                  <w:vAlign w:val="center"/>
                </w:tcPr>
                <w:p w14:paraId="6720DCE2">
                  <w:pPr>
                    <w:ind w:left="-105" w:leftChars="-50" w:right="-105" w:rightChars="-50"/>
                    <w:jc w:val="center"/>
                    <w:rPr>
                      <w:kern w:val="0"/>
                      <w:szCs w:val="21"/>
                    </w:rPr>
                  </w:pPr>
                  <w:r>
                    <w:rPr>
                      <w:kern w:val="0"/>
                      <w:szCs w:val="21"/>
                    </w:rPr>
                    <w:t>管控</w:t>
                  </w:r>
                </w:p>
                <w:p w14:paraId="1E9C88B5">
                  <w:pPr>
                    <w:ind w:left="-105" w:leftChars="-50" w:right="-105" w:rightChars="-50"/>
                    <w:jc w:val="center"/>
                    <w:rPr>
                      <w:kern w:val="0"/>
                      <w:szCs w:val="21"/>
                    </w:rPr>
                  </w:pPr>
                  <w:r>
                    <w:rPr>
                      <w:kern w:val="0"/>
                      <w:szCs w:val="21"/>
                    </w:rPr>
                    <w:t>类别</w:t>
                  </w:r>
                </w:p>
              </w:tc>
              <w:tc>
                <w:tcPr>
                  <w:tcW w:w="2004" w:type="pct"/>
                  <w:vAlign w:val="center"/>
                </w:tcPr>
                <w:p w14:paraId="2F8A6FC9">
                  <w:pPr>
                    <w:ind w:left="-105" w:leftChars="-50" w:right="-105" w:rightChars="-50"/>
                    <w:jc w:val="center"/>
                    <w:rPr>
                      <w:kern w:val="0"/>
                      <w:szCs w:val="21"/>
                    </w:rPr>
                  </w:pPr>
                  <w:r>
                    <w:rPr>
                      <w:rFonts w:hint="eastAsia"/>
                      <w:kern w:val="0"/>
                      <w:szCs w:val="21"/>
                    </w:rPr>
                    <w:t>管控单元</w:t>
                  </w:r>
                  <w:r>
                    <w:rPr>
                      <w:kern w:val="0"/>
                      <w:szCs w:val="21"/>
                    </w:rPr>
                    <w:t>要求</w:t>
                  </w:r>
                </w:p>
              </w:tc>
              <w:tc>
                <w:tcPr>
                  <w:tcW w:w="2263" w:type="pct"/>
                  <w:vAlign w:val="center"/>
                </w:tcPr>
                <w:p w14:paraId="5D6F65C7">
                  <w:pPr>
                    <w:ind w:left="-105" w:leftChars="-50" w:right="-105" w:rightChars="-50"/>
                    <w:jc w:val="center"/>
                    <w:rPr>
                      <w:kern w:val="0"/>
                      <w:szCs w:val="21"/>
                    </w:rPr>
                  </w:pPr>
                  <w:r>
                    <w:rPr>
                      <w:kern w:val="0"/>
                      <w:szCs w:val="21"/>
                    </w:rPr>
                    <w:t>本项目</w:t>
                  </w:r>
                  <w:r>
                    <w:rPr>
                      <w:rFonts w:hint="eastAsia"/>
                      <w:kern w:val="0"/>
                      <w:szCs w:val="21"/>
                    </w:rPr>
                    <w:t>情况</w:t>
                  </w:r>
                </w:p>
              </w:tc>
              <w:tc>
                <w:tcPr>
                  <w:tcW w:w="354" w:type="pct"/>
                  <w:vAlign w:val="center"/>
                </w:tcPr>
                <w:p w14:paraId="3241289B">
                  <w:pPr>
                    <w:ind w:left="-105" w:leftChars="-50" w:right="-105" w:rightChars="-50"/>
                    <w:jc w:val="center"/>
                    <w:rPr>
                      <w:kern w:val="0"/>
                      <w:szCs w:val="21"/>
                    </w:rPr>
                  </w:pPr>
                  <w:r>
                    <w:rPr>
                      <w:kern w:val="0"/>
                      <w:szCs w:val="21"/>
                    </w:rPr>
                    <w:t>符合性</w:t>
                  </w:r>
                </w:p>
              </w:tc>
            </w:tr>
            <w:tr w14:paraId="02B1D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78" w:type="pct"/>
                  <w:vAlign w:val="center"/>
                </w:tcPr>
                <w:p w14:paraId="57221C48">
                  <w:pPr>
                    <w:ind w:left="-105" w:leftChars="-50" w:right="-105" w:rightChars="-50"/>
                    <w:jc w:val="center"/>
                    <w:rPr>
                      <w:kern w:val="0"/>
                      <w:szCs w:val="21"/>
                    </w:rPr>
                  </w:pPr>
                  <w:r>
                    <w:rPr>
                      <w:rFonts w:hint="eastAsia"/>
                      <w:kern w:val="0"/>
                      <w:szCs w:val="21"/>
                    </w:rPr>
                    <w:t>空间</w:t>
                  </w:r>
                </w:p>
                <w:p w14:paraId="4F6DD5A9">
                  <w:pPr>
                    <w:ind w:left="-105" w:leftChars="-50" w:right="-105" w:rightChars="-50"/>
                    <w:jc w:val="center"/>
                    <w:rPr>
                      <w:kern w:val="0"/>
                      <w:szCs w:val="21"/>
                    </w:rPr>
                  </w:pPr>
                  <w:r>
                    <w:rPr>
                      <w:rFonts w:hint="eastAsia"/>
                      <w:kern w:val="0"/>
                      <w:szCs w:val="21"/>
                    </w:rPr>
                    <w:t>布局</w:t>
                  </w:r>
                </w:p>
                <w:p w14:paraId="01BAC8FD">
                  <w:pPr>
                    <w:ind w:left="-105" w:leftChars="-50" w:right="-105" w:rightChars="-50"/>
                    <w:jc w:val="center"/>
                    <w:rPr>
                      <w:kern w:val="0"/>
                      <w:szCs w:val="21"/>
                    </w:rPr>
                  </w:pPr>
                  <w:r>
                    <w:rPr>
                      <w:rFonts w:hint="eastAsia"/>
                      <w:kern w:val="0"/>
                      <w:szCs w:val="21"/>
                    </w:rPr>
                    <w:t>约束</w:t>
                  </w:r>
                </w:p>
              </w:tc>
              <w:tc>
                <w:tcPr>
                  <w:tcW w:w="2004" w:type="pct"/>
                  <w:vAlign w:val="center"/>
                </w:tcPr>
                <w:p w14:paraId="0F3FBF19">
                  <w:pPr>
                    <w:rPr>
                      <w:kern w:val="0"/>
                      <w:szCs w:val="21"/>
                    </w:rPr>
                  </w:pPr>
                  <w:r>
                    <w:rPr>
                      <w:rFonts w:hint="eastAsia"/>
                      <w:kern w:val="0"/>
                      <w:szCs w:val="21"/>
                    </w:rPr>
                    <w:t>1.执行山西省、重点区域（汾渭平原）、阳泉市空间布局准入的要求。</w:t>
                  </w:r>
                </w:p>
                <w:p w14:paraId="31B7F6B0">
                  <w:pPr>
                    <w:rPr>
                      <w:kern w:val="0"/>
                      <w:szCs w:val="21"/>
                    </w:rPr>
                  </w:pPr>
                  <w:r>
                    <w:rPr>
                      <w:rFonts w:hint="eastAsia"/>
                      <w:kern w:val="0"/>
                      <w:szCs w:val="21"/>
                    </w:rPr>
                    <w:t>2.排放大气污染物的工业项目应当按照规划和环境保护规定进入工业园区。</w:t>
                  </w:r>
                </w:p>
                <w:p w14:paraId="03C5E014">
                  <w:pPr>
                    <w:rPr>
                      <w:kern w:val="0"/>
                      <w:szCs w:val="21"/>
                    </w:rPr>
                  </w:pPr>
                  <w:r>
                    <w:rPr>
                      <w:rFonts w:hint="eastAsia"/>
                      <w:kern w:val="0"/>
                      <w:szCs w:val="21"/>
                    </w:rPr>
                    <w:t>3.禁止在邻近基本农田区域排放重金属和多环芳烃、石油烃等有机污染物的开发建设活动。</w:t>
                  </w:r>
                </w:p>
              </w:tc>
              <w:tc>
                <w:tcPr>
                  <w:tcW w:w="2263" w:type="pct"/>
                  <w:vAlign w:val="center"/>
                </w:tcPr>
                <w:p w14:paraId="5CB91B09">
                  <w:pPr>
                    <w:rPr>
                      <w:bCs/>
                      <w:szCs w:val="21"/>
                    </w:rPr>
                  </w:pPr>
                  <w:r>
                    <w:rPr>
                      <w:rFonts w:hint="eastAsia"/>
                      <w:bCs/>
                      <w:szCs w:val="21"/>
                    </w:rPr>
                    <w:t>1.本项目不在生态保护红线范围内，本项目不占用基本农田，本项目不属于国家限制、淘汰类行业，本项目不属于钢铁、焦化、铸造、水泥、平板玻璃等重污染企业，本项目不占用河道、自然湿地空间。</w:t>
                  </w:r>
                </w:p>
                <w:p w14:paraId="13A87ECB">
                  <w:pPr>
                    <w:rPr>
                      <w:bCs/>
                      <w:szCs w:val="21"/>
                    </w:rPr>
                  </w:pPr>
                  <w:r>
                    <w:rPr>
                      <w:rFonts w:hint="eastAsia"/>
                      <w:bCs/>
                      <w:szCs w:val="21"/>
                    </w:rPr>
                    <w:t>2.本项目不属于钢铁、焦化、铸造、水泥、平板玻璃等重污染企业。</w:t>
                  </w:r>
                </w:p>
                <w:p w14:paraId="140D9F96">
                  <w:pPr>
                    <w:rPr>
                      <w:bCs/>
                      <w:szCs w:val="21"/>
                    </w:rPr>
                  </w:pPr>
                  <w:r>
                    <w:rPr>
                      <w:rFonts w:hint="eastAsia"/>
                      <w:bCs/>
                      <w:szCs w:val="21"/>
                    </w:rPr>
                    <w:t>3.本项目不排放</w:t>
                  </w:r>
                  <w:r>
                    <w:rPr>
                      <w:rFonts w:hint="eastAsia"/>
                      <w:kern w:val="0"/>
                      <w:szCs w:val="21"/>
                    </w:rPr>
                    <w:t>重金属和多环芳烃、石油烃等有机污染物。</w:t>
                  </w:r>
                </w:p>
              </w:tc>
              <w:tc>
                <w:tcPr>
                  <w:tcW w:w="354" w:type="pct"/>
                  <w:vAlign w:val="center"/>
                </w:tcPr>
                <w:p w14:paraId="1B986471">
                  <w:pPr>
                    <w:ind w:left="-105" w:leftChars="-50" w:right="-105" w:rightChars="-50"/>
                    <w:jc w:val="center"/>
                    <w:rPr>
                      <w:kern w:val="0"/>
                      <w:szCs w:val="21"/>
                    </w:rPr>
                  </w:pPr>
                  <w:r>
                    <w:rPr>
                      <w:rFonts w:hint="eastAsia"/>
                      <w:kern w:val="0"/>
                      <w:szCs w:val="21"/>
                    </w:rPr>
                    <w:t>符合</w:t>
                  </w:r>
                </w:p>
              </w:tc>
            </w:tr>
            <w:tr w14:paraId="0E027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0" w:hRule="atLeast"/>
              </w:trPr>
              <w:tc>
                <w:tcPr>
                  <w:tcW w:w="378" w:type="pct"/>
                  <w:vAlign w:val="center"/>
                </w:tcPr>
                <w:p w14:paraId="6CA39FAF">
                  <w:pPr>
                    <w:ind w:left="-105" w:leftChars="-50" w:right="-105" w:rightChars="-50"/>
                    <w:jc w:val="center"/>
                    <w:rPr>
                      <w:kern w:val="0"/>
                      <w:szCs w:val="21"/>
                    </w:rPr>
                  </w:pPr>
                  <w:r>
                    <w:rPr>
                      <w:rFonts w:hint="eastAsia"/>
                      <w:kern w:val="0"/>
                      <w:szCs w:val="21"/>
                    </w:rPr>
                    <w:t>污染物排放管控</w:t>
                  </w:r>
                </w:p>
              </w:tc>
              <w:tc>
                <w:tcPr>
                  <w:tcW w:w="2004" w:type="pct"/>
                  <w:vAlign w:val="center"/>
                </w:tcPr>
                <w:p w14:paraId="6FC277FB">
                  <w:pPr>
                    <w:rPr>
                      <w:kern w:val="0"/>
                      <w:szCs w:val="21"/>
                    </w:rPr>
                  </w:pPr>
                  <w:r>
                    <w:rPr>
                      <w:rFonts w:hint="eastAsia"/>
                      <w:kern w:val="0"/>
                      <w:szCs w:val="21"/>
                    </w:rPr>
                    <w:t>1.执行山西省、重点区域（汾渭平原）、阳泉市的污染物排放控制要求。</w:t>
                  </w:r>
                </w:p>
              </w:tc>
              <w:tc>
                <w:tcPr>
                  <w:tcW w:w="2263" w:type="pct"/>
                  <w:vAlign w:val="center"/>
                </w:tcPr>
                <w:p w14:paraId="43E25248">
                  <w:pPr>
                    <w:rPr>
                      <w:kern w:val="0"/>
                      <w:szCs w:val="21"/>
                    </w:rPr>
                  </w:pPr>
                  <w:r>
                    <w:rPr>
                      <w:rFonts w:hint="eastAsia"/>
                      <w:kern w:val="0"/>
                      <w:szCs w:val="21"/>
                    </w:rPr>
                    <w:t>1.采取本次环评要求的措施后污染物排放满足阳泉市地方标准 《关于在全市工业企业开展大气污染防治千企千策服务企业“春风”行动的通知》（阳大气办〔2019〕16号）限制要求。</w:t>
                  </w:r>
                </w:p>
              </w:tc>
              <w:tc>
                <w:tcPr>
                  <w:tcW w:w="354" w:type="pct"/>
                  <w:vAlign w:val="center"/>
                </w:tcPr>
                <w:p w14:paraId="4E25DA96">
                  <w:pPr>
                    <w:ind w:left="-105" w:leftChars="-50" w:right="-105" w:rightChars="-50"/>
                    <w:jc w:val="center"/>
                    <w:rPr>
                      <w:kern w:val="0"/>
                      <w:szCs w:val="21"/>
                    </w:rPr>
                  </w:pPr>
                  <w:r>
                    <w:rPr>
                      <w:rFonts w:hint="eastAsia"/>
                      <w:kern w:val="0"/>
                      <w:szCs w:val="21"/>
                    </w:rPr>
                    <w:t>符合</w:t>
                  </w:r>
                </w:p>
              </w:tc>
            </w:tr>
          </w:tbl>
          <w:p w14:paraId="2BE9A56F">
            <w:pPr>
              <w:autoSpaceDE w:val="0"/>
              <w:autoSpaceDN w:val="0"/>
              <w:adjustRightInd w:val="0"/>
              <w:snapToGrid w:val="0"/>
              <w:spacing w:line="480" w:lineRule="exact"/>
              <w:ind w:firstLine="482" w:firstLineChars="200"/>
              <w:jc w:val="left"/>
              <w:rPr>
                <w:b/>
                <w:bCs/>
                <w:color w:val="000000" w:themeColor="text1"/>
                <w:kern w:val="0"/>
                <w:sz w:val="24"/>
                <w14:textFill>
                  <w14:solidFill>
                    <w14:schemeClr w14:val="tx1"/>
                  </w14:solidFill>
                </w14:textFill>
              </w:rPr>
            </w:pPr>
            <w:r>
              <w:rPr>
                <w:rFonts w:hint="eastAsia"/>
                <w:b/>
                <w:bCs/>
                <w:color w:val="000000" w:themeColor="text1"/>
                <w:kern w:val="0"/>
                <w:sz w:val="24"/>
                <w14:textFill>
                  <w14:solidFill>
                    <w14:schemeClr w14:val="tx1"/>
                  </w14:solidFill>
                </w14:textFill>
              </w:rPr>
              <w:t>3.建设项目各部门征询意见的符合性分析</w:t>
            </w:r>
          </w:p>
          <w:p w14:paraId="6F1EB6EF">
            <w:pPr>
              <w:pStyle w:val="15"/>
              <w:spacing w:line="480" w:lineRule="exact"/>
              <w:rPr>
                <w:rFonts w:eastAsia="宋体"/>
                <w:sz w:val="21"/>
                <w:szCs w:val="21"/>
              </w:rPr>
            </w:pPr>
            <w:r>
              <w:rPr>
                <w:rFonts w:hint="eastAsia" w:eastAsia="宋体"/>
                <w:sz w:val="21"/>
                <w:szCs w:val="21"/>
              </w:rPr>
              <w:t>表1-5  项目选址、选线相关部门复函意见表</w:t>
            </w:r>
          </w:p>
          <w:tbl>
            <w:tblPr>
              <w:tblStyle w:val="3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5"/>
              <w:gridCol w:w="1028"/>
              <w:gridCol w:w="4555"/>
              <w:gridCol w:w="1694"/>
            </w:tblGrid>
            <w:tr w14:paraId="75826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 w:type="pct"/>
                  <w:tcBorders>
                    <w:tl2br w:val="nil"/>
                    <w:tr2bl w:val="nil"/>
                  </w:tcBorders>
                  <w:vAlign w:val="center"/>
                </w:tcPr>
                <w:p w14:paraId="24EDB8DB">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序号</w:t>
                  </w:r>
                </w:p>
              </w:tc>
              <w:tc>
                <w:tcPr>
                  <w:tcW w:w="653" w:type="pct"/>
                  <w:tcBorders>
                    <w:tl2br w:val="nil"/>
                    <w:tr2bl w:val="nil"/>
                  </w:tcBorders>
                  <w:vAlign w:val="center"/>
                </w:tcPr>
                <w:p w14:paraId="189BA730">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征询</w:t>
                  </w:r>
                </w:p>
                <w:p w14:paraId="6DB7586E">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部门</w:t>
                  </w:r>
                </w:p>
              </w:tc>
              <w:tc>
                <w:tcPr>
                  <w:tcW w:w="2892" w:type="pct"/>
                  <w:tcBorders>
                    <w:tl2br w:val="nil"/>
                    <w:tr2bl w:val="nil"/>
                  </w:tcBorders>
                  <w:vAlign w:val="center"/>
                </w:tcPr>
                <w:p w14:paraId="55E37FEC">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征询意见和要求</w:t>
                  </w:r>
                </w:p>
              </w:tc>
              <w:tc>
                <w:tcPr>
                  <w:tcW w:w="1075" w:type="pct"/>
                  <w:tcBorders>
                    <w:tl2br w:val="nil"/>
                    <w:tr2bl w:val="nil"/>
                  </w:tcBorders>
                  <w:vAlign w:val="center"/>
                </w:tcPr>
                <w:p w14:paraId="1A886CBF">
                  <w:pPr>
                    <w:ind w:left="-105" w:leftChars="-50" w:right="-105" w:rightChars="-50"/>
                    <w:jc w:val="center"/>
                    <w:rPr>
                      <w:color w:val="FF0000"/>
                    </w:rPr>
                  </w:pPr>
                  <w:r>
                    <w:rPr>
                      <w:rFonts w:hint="eastAsia"/>
                      <w:color w:val="000000" w:themeColor="text1"/>
                      <w14:textFill>
                        <w14:solidFill>
                          <w14:schemeClr w14:val="tx1"/>
                        </w14:solidFill>
                      </w14:textFill>
                    </w:rPr>
                    <w:t>对意见的落实情况</w:t>
                  </w:r>
                </w:p>
              </w:tc>
            </w:tr>
            <w:tr w14:paraId="1EC3E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 w:type="pct"/>
                  <w:tcBorders>
                    <w:tl2br w:val="nil"/>
                    <w:tr2bl w:val="nil"/>
                  </w:tcBorders>
                  <w:vAlign w:val="center"/>
                </w:tcPr>
                <w:p w14:paraId="115D3935">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653" w:type="pct"/>
                  <w:tcBorders>
                    <w:tl2br w:val="nil"/>
                    <w:tr2bl w:val="nil"/>
                  </w:tcBorders>
                  <w:vAlign w:val="center"/>
                </w:tcPr>
                <w:p w14:paraId="4272CA85">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盂县</w:t>
                  </w:r>
                </w:p>
                <w:p w14:paraId="50EFD292">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林业局</w:t>
                  </w:r>
                </w:p>
              </w:tc>
              <w:tc>
                <w:tcPr>
                  <w:tcW w:w="2892" w:type="pct"/>
                  <w:tcBorders>
                    <w:tl2br w:val="nil"/>
                    <w:tr2bl w:val="nil"/>
                  </w:tcBorders>
                  <w:vAlign w:val="center"/>
                </w:tcPr>
                <w:p w14:paraId="19F39014">
                  <w:pPr>
                    <w:rPr>
                      <w:color w:val="000000" w:themeColor="text1"/>
                      <w14:textFill>
                        <w14:solidFill>
                          <w14:schemeClr w14:val="tx1"/>
                        </w14:solidFill>
                      </w14:textFill>
                    </w:rPr>
                  </w:pPr>
                  <w:r>
                    <w:rPr>
                      <w:rFonts w:hint="eastAsia"/>
                      <w:color w:val="000000" w:themeColor="text1"/>
                      <w14:textFill>
                        <w14:solidFill>
                          <w14:schemeClr w14:val="tx1"/>
                        </w14:solidFill>
                      </w14:textFill>
                    </w:rPr>
                    <w:t>一、盂县宋庄村一带整合开采区整合矿区范围坐标区域不涉及自然保护区、森林公园、湿地公园、国家一级公益林地、国家二级公益林地、</w:t>
                  </w:r>
                  <w:r>
                    <w:rPr>
                      <w:color w:val="000000" w:themeColor="text1"/>
                      <w14:textFill>
                        <w14:solidFill>
                          <w14:schemeClr w14:val="tx1"/>
                        </w14:solidFill>
                      </w14:textFill>
                    </w:rPr>
                    <w:t>I级保护林地、Ⅱ级保护林地、山西永</w:t>
                  </w:r>
                  <w:r>
                    <w:rPr>
                      <w:rFonts w:hint="eastAsia"/>
                      <w:color w:val="000000" w:themeColor="text1"/>
                      <w14:textFill>
                        <w14:solidFill>
                          <w14:schemeClr w14:val="tx1"/>
                        </w14:solidFill>
                      </w14:textFill>
                    </w:rPr>
                    <w:t>久性生态公益林地。</w:t>
                  </w:r>
                </w:p>
                <w:p w14:paraId="15B270E1">
                  <w:pPr>
                    <w:rPr>
                      <w:color w:val="000000" w:themeColor="text1"/>
                      <w14:textFill>
                        <w14:solidFill>
                          <w14:schemeClr w14:val="tx1"/>
                        </w14:solidFill>
                      </w14:textFill>
                    </w:rPr>
                  </w:pPr>
                  <w:r>
                    <w:rPr>
                      <w:rFonts w:hint="eastAsia"/>
                      <w:color w:val="000000" w:themeColor="text1"/>
                      <w14:textFill>
                        <w14:solidFill>
                          <w14:schemeClr w14:val="tx1"/>
                        </w14:solidFill>
                      </w14:textFill>
                    </w:rPr>
                    <w:t>二、盂县宋庄村一带整合开采区（一），在生产过程中，如涉及使用林（草）地必须先行办理林（草）地（林木采伐）使用审核（批）手续，方可施工。未办理使用林（草）地审核（批）手续使用林（草）地的，依据《</w:t>
                  </w:r>
                  <w:r>
                    <w:rPr>
                      <w:rFonts w:hint="eastAsia"/>
                      <w:color w:val="000000" w:themeColor="text1"/>
                      <w:lang w:eastAsia="zh-CN"/>
                      <w14:textFill>
                        <w14:solidFill>
                          <w14:schemeClr w14:val="tx1"/>
                        </w14:solidFill>
                      </w14:textFill>
                    </w:rPr>
                    <w:t>中华人民共和国森林法</w:t>
                  </w:r>
                  <w:r>
                    <w:rPr>
                      <w:rFonts w:hint="eastAsia"/>
                      <w:color w:val="000000" w:themeColor="text1"/>
                      <w14:textFill>
                        <w14:solidFill>
                          <w14:schemeClr w14:val="tx1"/>
                        </w14:solidFill>
                      </w14:textFill>
                    </w:rPr>
                    <w:t>》《中华人民共和国草原法》等相关规定，严肃查处。</w:t>
                  </w:r>
                </w:p>
              </w:tc>
              <w:tc>
                <w:tcPr>
                  <w:tcW w:w="1075" w:type="pct"/>
                  <w:tcBorders>
                    <w:tl2br w:val="nil"/>
                    <w:tr2bl w:val="nil"/>
                  </w:tcBorders>
                  <w:vAlign w:val="center"/>
                </w:tcPr>
                <w:p w14:paraId="534FE508">
                  <w:pPr>
                    <w:ind w:left="-105" w:leftChars="-50" w:right="-105" w:rightChars="-50"/>
                    <w:jc w:val="center"/>
                    <w:rPr>
                      <w:color w:val="FF0000"/>
                    </w:rPr>
                  </w:pPr>
                  <w:r>
                    <w:rPr>
                      <w:rFonts w:hint="eastAsia"/>
                      <w:color w:val="000000" w:themeColor="text1"/>
                      <w14:textFill>
                        <w14:solidFill>
                          <w14:schemeClr w14:val="tx1"/>
                        </w14:solidFill>
                      </w14:textFill>
                    </w:rPr>
                    <w:t>林地、草地的相关手续正在办理中</w:t>
                  </w:r>
                </w:p>
              </w:tc>
            </w:tr>
            <w:tr w14:paraId="0C072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 w:type="pct"/>
                  <w:tcBorders>
                    <w:tl2br w:val="nil"/>
                    <w:tr2bl w:val="nil"/>
                  </w:tcBorders>
                  <w:vAlign w:val="center"/>
                </w:tcPr>
                <w:p w14:paraId="274E73A4">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2</w:t>
                  </w:r>
                </w:p>
              </w:tc>
              <w:tc>
                <w:tcPr>
                  <w:tcW w:w="653" w:type="pct"/>
                  <w:tcBorders>
                    <w:tl2br w:val="nil"/>
                    <w:tr2bl w:val="nil"/>
                  </w:tcBorders>
                  <w:vAlign w:val="center"/>
                </w:tcPr>
                <w:p w14:paraId="1A12EFEF">
                  <w:pPr>
                    <w:jc w:val="center"/>
                    <w:rPr>
                      <w:color w:val="000000" w:themeColor="text1"/>
                      <w14:textFill>
                        <w14:solidFill>
                          <w14:schemeClr w14:val="tx1"/>
                        </w14:solidFill>
                      </w14:textFill>
                    </w:rPr>
                  </w:pPr>
                  <w:r>
                    <w:rPr>
                      <w:rFonts w:hint="eastAsia"/>
                    </w:rPr>
                    <w:t>阳泉市生态环境局盂县分局</w:t>
                  </w:r>
                </w:p>
              </w:tc>
              <w:tc>
                <w:tcPr>
                  <w:tcW w:w="2892" w:type="pct"/>
                  <w:tcBorders>
                    <w:tl2br w:val="nil"/>
                    <w:tr2bl w:val="nil"/>
                  </w:tcBorders>
                  <w:vAlign w:val="center"/>
                </w:tcPr>
                <w:p w14:paraId="36F33815">
                  <w:pPr>
                    <w:rPr>
                      <w:color w:val="FF0000"/>
                    </w:rPr>
                  </w:pPr>
                  <w:r>
                    <w:rPr>
                      <w:rFonts w:hint="eastAsia"/>
                    </w:rPr>
                    <w:t>你单位报送的《关于核查盂县宋庄村一带整合开采区（一）征求意见的函》（盂自然资函</w:t>
                  </w:r>
                  <w:r>
                    <w:rPr>
                      <w:rFonts w:hint="eastAsia"/>
                      <w:lang w:eastAsia="zh-CN"/>
                    </w:rPr>
                    <w:t>〔2023〕</w:t>
                  </w:r>
                  <w:r>
                    <w:rPr>
                      <w:rFonts w:hint="eastAsia"/>
                    </w:rPr>
                    <w:t>28号）收悉，经我局核查并经坐标比对，盂县宋庄村一带整合开采区范围与我县已划定的集中饮用水源地范围互不重叠。</w:t>
                  </w:r>
                </w:p>
              </w:tc>
              <w:tc>
                <w:tcPr>
                  <w:tcW w:w="1075" w:type="pct"/>
                  <w:tcBorders>
                    <w:tl2br w:val="nil"/>
                    <w:tr2bl w:val="nil"/>
                  </w:tcBorders>
                  <w:vAlign w:val="center"/>
                </w:tcPr>
                <w:p w14:paraId="13A99E6C">
                  <w:pPr>
                    <w:jc w:val="center"/>
                    <w:rPr>
                      <w:color w:val="FF0000"/>
                    </w:rPr>
                  </w:pPr>
                  <w:r>
                    <w:rPr>
                      <w:rFonts w:hint="eastAsia"/>
                      <w:color w:val="000000" w:themeColor="text1"/>
                      <w14:textFill>
                        <w14:solidFill>
                          <w14:schemeClr w14:val="tx1"/>
                        </w14:solidFill>
                      </w14:textFill>
                    </w:rPr>
                    <w:t>/</w:t>
                  </w:r>
                </w:p>
              </w:tc>
            </w:tr>
            <w:tr w14:paraId="0F01A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 w:type="pct"/>
                  <w:tcBorders>
                    <w:tl2br w:val="nil"/>
                    <w:tr2bl w:val="nil"/>
                  </w:tcBorders>
                  <w:vAlign w:val="center"/>
                </w:tcPr>
                <w:p w14:paraId="4A5068AC">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3</w:t>
                  </w:r>
                </w:p>
              </w:tc>
              <w:tc>
                <w:tcPr>
                  <w:tcW w:w="653" w:type="pct"/>
                  <w:tcBorders>
                    <w:tl2br w:val="nil"/>
                    <w:tr2bl w:val="nil"/>
                  </w:tcBorders>
                  <w:vAlign w:val="center"/>
                </w:tcPr>
                <w:p w14:paraId="5949162B">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盂县</w:t>
                  </w:r>
                </w:p>
                <w:p w14:paraId="4F759F60">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水利局</w:t>
                  </w:r>
                </w:p>
              </w:tc>
              <w:tc>
                <w:tcPr>
                  <w:tcW w:w="2892" w:type="pct"/>
                  <w:tcBorders>
                    <w:tl2br w:val="nil"/>
                    <w:tr2bl w:val="nil"/>
                  </w:tcBorders>
                  <w:vAlign w:val="center"/>
                </w:tcPr>
                <w:p w14:paraId="7FF6D707">
                  <w:pPr>
                    <w:rPr>
                      <w:color w:val="000000" w:themeColor="text1"/>
                      <w14:textFill>
                        <w14:solidFill>
                          <w14:schemeClr w14:val="tx1"/>
                        </w14:solidFill>
                      </w14:textFill>
                    </w:rPr>
                  </w:pPr>
                  <w:r>
                    <w:rPr>
                      <w:rFonts w:hint="eastAsia"/>
                      <w:color w:val="000000" w:themeColor="text1"/>
                      <w14:textFill>
                        <w14:solidFill>
                          <w14:schemeClr w14:val="tx1"/>
                        </w14:solidFill>
                      </w14:textFill>
                    </w:rPr>
                    <w:t>贵单位《关于盂县宋庄村一带整合开采区（一）征求意见的函》（盂自然资函</w:t>
                  </w:r>
                  <w:r>
                    <w:rPr>
                      <w:rFonts w:hint="eastAsia"/>
                      <w:color w:val="000000" w:themeColor="text1"/>
                      <w:lang w:eastAsia="zh-CN"/>
                      <w14:textFill>
                        <w14:solidFill>
                          <w14:schemeClr w14:val="tx1"/>
                        </w14:solidFill>
                      </w14:textFill>
                    </w:rPr>
                    <w:t>〔2023〕28号</w:t>
                  </w:r>
                  <w:r>
                    <w:rPr>
                      <w:rFonts w:hint="eastAsia"/>
                      <w:color w:val="000000" w:themeColor="text1"/>
                      <w14:textFill>
                        <w14:solidFill>
                          <w14:schemeClr w14:val="tx1"/>
                        </w14:solidFill>
                      </w14:textFill>
                    </w:rPr>
                    <w:t>）已收悉。经调查该项目不在娘子关泉域范围内。</w:t>
                  </w:r>
                </w:p>
                <w:p w14:paraId="70984571">
                  <w:pPr>
                    <w:rPr>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所在区域</w:t>
                  </w:r>
                  <w:r>
                    <w:rPr>
                      <w:rFonts w:hint="eastAsia"/>
                      <w:color w:val="000000" w:themeColor="text1"/>
                      <w14:textFill>
                        <w14:solidFill>
                          <w14:schemeClr w14:val="tx1"/>
                        </w14:solidFill>
                      </w14:textFill>
                    </w:rPr>
                    <w:t>属太行山水土保持重点防治区域，根据《中华人民共和国水土保持法》第二十五条</w:t>
                  </w:r>
                  <w:r>
                    <w:rPr>
                      <w:rFonts w:hint="eastAsia"/>
                      <w:color w:val="000000" w:themeColor="text1"/>
                      <w:lang w:eastAsia="zh-CN"/>
                      <w14:textFill>
                        <w14:solidFill>
                          <w14:schemeClr w14:val="tx1"/>
                        </w14:solidFill>
                      </w14:textFill>
                    </w:rPr>
                    <w:t>、第</w:t>
                  </w:r>
                  <w:r>
                    <w:rPr>
                      <w:rFonts w:hint="eastAsia"/>
                      <w:color w:val="000000" w:themeColor="text1"/>
                      <w14:textFill>
                        <w14:solidFill>
                          <w14:schemeClr w14:val="tx1"/>
                        </w14:solidFill>
                      </w14:textFill>
                    </w:rPr>
                    <w:t>二十六条规定，工程开工建设前需编制水土保持方案，并办理相关手续。项目实施中要认真落实各项水保措施，并主动接受水利部门监管。</w:t>
                  </w:r>
                </w:p>
                <w:p w14:paraId="7BC32E17">
                  <w:pPr>
                    <w:rPr>
                      <w:color w:val="FF0000"/>
                    </w:rPr>
                  </w:pPr>
                  <w:r>
                    <w:rPr>
                      <w:rFonts w:hint="eastAsia"/>
                      <w:color w:val="000000" w:themeColor="text1"/>
                      <w14:textFill>
                        <w14:solidFill>
                          <w14:schemeClr w14:val="tx1"/>
                        </w14:solidFill>
                      </w14:textFill>
                    </w:rPr>
                    <w:t>该开采区距村庄和乌河河道较近，生产过程要采取保护措施，不能影响河道水质和农村饮水安全。</w:t>
                  </w:r>
                </w:p>
              </w:tc>
              <w:tc>
                <w:tcPr>
                  <w:tcW w:w="1075" w:type="pct"/>
                  <w:tcBorders>
                    <w:tl2br w:val="nil"/>
                    <w:tr2bl w:val="nil"/>
                  </w:tcBorders>
                  <w:vAlign w:val="center"/>
                </w:tcPr>
                <w:p w14:paraId="3B80C9B5">
                  <w:pPr>
                    <w:jc w:val="center"/>
                    <w:rPr>
                      <w:color w:val="FF0000"/>
                    </w:rPr>
                  </w:pPr>
                  <w:r>
                    <w:rPr>
                      <w:rFonts w:hint="eastAsia"/>
                      <w:color w:val="000000" w:themeColor="text1"/>
                      <w14:textFill>
                        <w14:solidFill>
                          <w14:schemeClr w14:val="tx1"/>
                        </w14:solidFill>
                      </w14:textFill>
                    </w:rPr>
                    <w:t>本项目《水土保持方案》正在编制过程中，本项目运营期无废水外排，不影响河道水质和农村饮水安全。</w:t>
                  </w:r>
                </w:p>
              </w:tc>
            </w:tr>
            <w:tr w14:paraId="40937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 w:type="pct"/>
                  <w:tcBorders>
                    <w:tl2br w:val="nil"/>
                    <w:tr2bl w:val="nil"/>
                  </w:tcBorders>
                  <w:vAlign w:val="center"/>
                </w:tcPr>
                <w:p w14:paraId="1384BE16">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4</w:t>
                  </w:r>
                </w:p>
              </w:tc>
              <w:tc>
                <w:tcPr>
                  <w:tcW w:w="653" w:type="pct"/>
                  <w:tcBorders>
                    <w:tl2br w:val="nil"/>
                    <w:tr2bl w:val="nil"/>
                  </w:tcBorders>
                  <w:vAlign w:val="center"/>
                </w:tcPr>
                <w:p w14:paraId="3D5A9A41">
                  <w:pPr>
                    <w:jc w:val="center"/>
                  </w:pPr>
                  <w:r>
                    <w:rPr>
                      <w:rFonts w:hint="eastAsia"/>
                    </w:rPr>
                    <w:t>盂县</w:t>
                  </w:r>
                </w:p>
                <w:p w14:paraId="1BD5D385">
                  <w:pPr>
                    <w:jc w:val="center"/>
                    <w:rPr>
                      <w:color w:val="FF0000"/>
                    </w:rPr>
                  </w:pPr>
                  <w:r>
                    <w:rPr>
                      <w:rFonts w:hint="eastAsia"/>
                    </w:rPr>
                    <w:t>文物局</w:t>
                  </w:r>
                </w:p>
              </w:tc>
              <w:tc>
                <w:tcPr>
                  <w:tcW w:w="2892" w:type="pct"/>
                  <w:tcBorders>
                    <w:tl2br w:val="nil"/>
                    <w:tr2bl w:val="nil"/>
                  </w:tcBorders>
                  <w:vAlign w:val="center"/>
                </w:tcPr>
                <w:p w14:paraId="111F7426">
                  <w:pPr>
                    <w:rPr>
                      <w:color w:val="000000" w:themeColor="text1"/>
                      <w14:textFill>
                        <w14:solidFill>
                          <w14:schemeClr w14:val="tx1"/>
                        </w14:solidFill>
                      </w14:textFill>
                    </w:rPr>
                  </w:pPr>
                  <w:r>
                    <w:rPr>
                      <w:rFonts w:hint="eastAsia"/>
                      <w:color w:val="000000" w:themeColor="text1"/>
                      <w14:textFill>
                        <w14:solidFill>
                          <w14:schemeClr w14:val="tx1"/>
                        </w14:solidFill>
                      </w14:textFill>
                    </w:rPr>
                    <w:t>贵单位《关于盂县宋庄村一带整合开采区(一)征求意见的函》(盂自然资源函</w:t>
                  </w:r>
                  <w:r>
                    <w:rPr>
                      <w:rFonts w:hint="eastAsia"/>
                      <w:color w:val="000000" w:themeColor="text1"/>
                      <w:lang w:eastAsia="zh-CN"/>
                      <w14:textFill>
                        <w14:solidFill>
                          <w14:schemeClr w14:val="tx1"/>
                        </w14:solidFill>
                      </w14:textFill>
                    </w:rPr>
                    <w:t>〔2023〕28号</w:t>
                  </w:r>
                  <w:r>
                    <w:rPr>
                      <w:rFonts w:hint="eastAsia"/>
                      <w:color w:val="000000" w:themeColor="text1"/>
                      <w14:textFill>
                        <w14:solidFill>
                          <w14:schemeClr w14:val="tx1"/>
                        </w14:solidFill>
                      </w14:textFill>
                    </w:rPr>
                    <w:t>)及附件(盂县宋庄村一带整合开采区需核实的范围拐点坐标)收悉，根据工作流程，我局组织专业人员对该整合开采区涉及文物情况进行了核查，核查情况如下：</w:t>
                  </w:r>
                </w:p>
                <w:p w14:paraId="6DCF81DF">
                  <w:pPr>
                    <w:rPr>
                      <w:color w:val="FF0000"/>
                    </w:rPr>
                  </w:pPr>
                  <w:r>
                    <w:rPr>
                      <w:rFonts w:hint="eastAsia"/>
                      <w:color w:val="000000" w:themeColor="text1"/>
                      <w14:textFill>
                        <w14:solidFill>
                          <w14:schemeClr w14:val="tx1"/>
                        </w14:solidFill>
                      </w14:textFill>
                    </w:rPr>
                    <w:t>该整合开采区位于西潘乡宋庄村东南一带石灰岩山地。开采区域内不涉及第三次全国不可移动文物普查登记文物，不存在文物保护范围及建设控制地带重叠情况；未新发现新文物点。请你局督促采矿单位，严格履行文物审批手续，报山西省文物局履行文物考古调查工作，切实做好文物保护工作。</w:t>
                  </w:r>
                </w:p>
              </w:tc>
              <w:tc>
                <w:tcPr>
                  <w:tcW w:w="1075" w:type="pct"/>
                  <w:tcBorders>
                    <w:tl2br w:val="nil"/>
                    <w:tr2bl w:val="nil"/>
                  </w:tcBorders>
                  <w:vAlign w:val="center"/>
                </w:tcPr>
                <w:p w14:paraId="57DCB36B">
                  <w:pPr>
                    <w:jc w:val="center"/>
                    <w:rPr>
                      <w:color w:val="FF0000"/>
                    </w:rPr>
                  </w:pPr>
                  <w:r>
                    <w:rPr>
                      <w:rFonts w:hint="eastAsia"/>
                      <w:color w:val="000000" w:themeColor="text1"/>
                      <w14:textFill>
                        <w14:solidFill>
                          <w14:schemeClr w14:val="tx1"/>
                        </w14:solidFill>
                      </w14:textFill>
                    </w:rPr>
                    <w:t>/</w:t>
                  </w:r>
                </w:p>
              </w:tc>
            </w:tr>
            <w:tr w14:paraId="4D06F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 w:type="pct"/>
                  <w:tcBorders>
                    <w:tl2br w:val="nil"/>
                    <w:tr2bl w:val="nil"/>
                  </w:tcBorders>
                  <w:vAlign w:val="center"/>
                </w:tcPr>
                <w:p w14:paraId="3371E729">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5</w:t>
                  </w:r>
                </w:p>
              </w:tc>
              <w:tc>
                <w:tcPr>
                  <w:tcW w:w="653" w:type="pct"/>
                  <w:tcBorders>
                    <w:tl2br w:val="nil"/>
                    <w:tr2bl w:val="nil"/>
                  </w:tcBorders>
                  <w:vAlign w:val="center"/>
                </w:tcPr>
                <w:p w14:paraId="2C709843">
                  <w:pPr>
                    <w:jc w:val="center"/>
                  </w:pPr>
                  <w:r>
                    <w:rPr>
                      <w:rFonts w:hint="eastAsia"/>
                    </w:rPr>
                    <w:t>盂县</w:t>
                  </w:r>
                </w:p>
                <w:p w14:paraId="2C3AC45D">
                  <w:pPr>
                    <w:jc w:val="center"/>
                    <w:rPr>
                      <w:color w:val="FF0000"/>
                    </w:rPr>
                  </w:pPr>
                  <w:r>
                    <w:rPr>
                      <w:rFonts w:hint="eastAsia"/>
                    </w:rPr>
                    <w:t>自然资源局</w:t>
                  </w:r>
                </w:p>
              </w:tc>
              <w:tc>
                <w:tcPr>
                  <w:tcW w:w="2892" w:type="pct"/>
                  <w:tcBorders>
                    <w:tl2br w:val="nil"/>
                    <w:tr2bl w:val="nil"/>
                  </w:tcBorders>
                  <w:vAlign w:val="center"/>
                </w:tcPr>
                <w:p w14:paraId="2DFFC559">
                  <w:pPr>
                    <w:rPr>
                      <w:color w:val="000000" w:themeColor="text1"/>
                      <w14:textFill>
                        <w14:solidFill>
                          <w14:schemeClr w14:val="tx1"/>
                        </w14:solidFill>
                      </w14:textFill>
                    </w:rPr>
                  </w:pPr>
                  <w:r>
                    <w:rPr>
                      <w:rFonts w:hint="eastAsia"/>
                      <w:color w:val="000000" w:themeColor="text1"/>
                      <w14:textFill>
                        <w14:solidFill>
                          <w14:schemeClr w14:val="tx1"/>
                        </w14:solidFill>
                      </w14:textFill>
                    </w:rPr>
                    <w:t>我局对已编入《盂县非煤矿山(市级发证)整合实施方案》的盂县宋庄村村一带1号整合开采区的矿区范围，对照山西省重要地质遗迹资源保护名录范围、山西省自然资源厅门户网站“一张图”平台(2022年1028版)，核实情况如下：</w:t>
                  </w:r>
                </w:p>
                <w:p w14:paraId="11347489">
                  <w:pPr>
                    <w:rPr>
                      <w:color w:val="FF0000"/>
                    </w:rPr>
                  </w:pPr>
                  <w:r>
                    <w:rPr>
                      <w:rFonts w:hint="eastAsia"/>
                      <w:color w:val="000000" w:themeColor="text1"/>
                      <w14:textFill>
                        <w14:solidFill>
                          <w14:schemeClr w14:val="tx1"/>
                        </w14:solidFill>
                      </w14:textFill>
                    </w:rPr>
                    <w:t>经核查，该范围与现已批准建设的古生物化石集中产地不重叠，与已调查发现的重要地质遗迹不重叠；该范围不涉及占用耕地、与我县已划定的永久基本农田保护区不重叠；与已划定的生态保护红线范围不重叠；与已划定的城镇开发边界线不重叠。</w:t>
                  </w:r>
                </w:p>
              </w:tc>
              <w:tc>
                <w:tcPr>
                  <w:tcW w:w="1075" w:type="pct"/>
                  <w:tcBorders>
                    <w:tl2br w:val="nil"/>
                    <w:tr2bl w:val="nil"/>
                  </w:tcBorders>
                  <w:vAlign w:val="center"/>
                </w:tcPr>
                <w:p w14:paraId="6994C551">
                  <w:pPr>
                    <w:jc w:val="center"/>
                    <w:rPr>
                      <w:color w:val="FF0000"/>
                    </w:rPr>
                  </w:pPr>
                  <w:r>
                    <w:rPr>
                      <w:rFonts w:hint="eastAsia"/>
                      <w:color w:val="000000" w:themeColor="text1"/>
                      <w14:textFill>
                        <w14:solidFill>
                          <w14:schemeClr w14:val="tx1"/>
                        </w14:solidFill>
                      </w14:textFill>
                    </w:rPr>
                    <w:t>/</w:t>
                  </w:r>
                </w:p>
              </w:tc>
            </w:tr>
          </w:tbl>
          <w:p w14:paraId="1370EC08">
            <w:pPr>
              <w:autoSpaceDE w:val="0"/>
              <w:autoSpaceDN w:val="0"/>
              <w:adjustRightInd w:val="0"/>
              <w:snapToGrid w:val="0"/>
              <w:spacing w:line="480" w:lineRule="exact"/>
              <w:ind w:firstLine="482" w:firstLineChars="200"/>
              <w:jc w:val="left"/>
              <w:rPr>
                <w:b/>
                <w:bCs/>
                <w:kern w:val="0"/>
                <w:sz w:val="24"/>
              </w:rPr>
            </w:pPr>
            <w:r>
              <w:rPr>
                <w:rFonts w:hint="eastAsia"/>
                <w:b/>
                <w:bCs/>
                <w:kern w:val="0"/>
                <w:sz w:val="24"/>
              </w:rPr>
              <w:t>4.与《盂县国土空间总体规划（2021—2035年）》符合性分析</w:t>
            </w:r>
          </w:p>
          <w:p w14:paraId="438B7D20">
            <w:pPr>
              <w:spacing w:line="480" w:lineRule="exact"/>
              <w:ind w:firstLine="480" w:firstLineChars="200"/>
              <w:rPr>
                <w:kern w:val="10"/>
                <w:sz w:val="24"/>
              </w:rPr>
            </w:pPr>
            <w:r>
              <w:rPr>
                <w:kern w:val="10"/>
                <w:sz w:val="24"/>
              </w:rPr>
              <w:t>（1）规划期限</w:t>
            </w:r>
          </w:p>
          <w:p w14:paraId="68C22D0D">
            <w:pPr>
              <w:spacing w:line="480" w:lineRule="exact"/>
              <w:ind w:firstLine="480" w:firstLineChars="200"/>
              <w:rPr>
                <w:kern w:val="10"/>
                <w:sz w:val="24"/>
              </w:rPr>
            </w:pPr>
            <w:r>
              <w:rPr>
                <w:kern w:val="10"/>
                <w:sz w:val="24"/>
              </w:rPr>
              <w:t>本规划期限为202</w:t>
            </w:r>
            <w:r>
              <w:rPr>
                <w:rFonts w:hint="eastAsia"/>
                <w:kern w:val="10"/>
                <w:sz w:val="24"/>
              </w:rPr>
              <w:t>1</w:t>
            </w:r>
            <w:r>
              <w:rPr>
                <w:kern w:val="10"/>
                <w:sz w:val="24"/>
              </w:rPr>
              <w:t>至2035年，近期至2025年，</w:t>
            </w:r>
            <w:r>
              <w:rPr>
                <w:rFonts w:hint="eastAsia"/>
                <w:kern w:val="10"/>
                <w:sz w:val="24"/>
              </w:rPr>
              <w:t>远期至2035年，远景</w:t>
            </w:r>
            <w:r>
              <w:rPr>
                <w:kern w:val="10"/>
                <w:sz w:val="24"/>
              </w:rPr>
              <w:t>展望至2050年。</w:t>
            </w:r>
          </w:p>
          <w:p w14:paraId="7933BD40">
            <w:pPr>
              <w:spacing w:line="480" w:lineRule="exact"/>
              <w:ind w:firstLine="480" w:firstLineChars="200"/>
              <w:rPr>
                <w:kern w:val="10"/>
                <w:sz w:val="24"/>
              </w:rPr>
            </w:pPr>
            <w:r>
              <w:rPr>
                <w:kern w:val="10"/>
                <w:sz w:val="24"/>
              </w:rPr>
              <w:t>（2）规划范围</w:t>
            </w:r>
          </w:p>
          <w:p w14:paraId="6223C5AF">
            <w:pPr>
              <w:spacing w:line="480" w:lineRule="exact"/>
              <w:ind w:firstLine="480" w:firstLineChars="200"/>
              <w:rPr>
                <w:kern w:val="10"/>
                <w:sz w:val="24"/>
              </w:rPr>
            </w:pPr>
            <w:r>
              <w:rPr>
                <w:kern w:val="10"/>
                <w:sz w:val="24"/>
              </w:rPr>
              <w:t>本规划范围为盂县行政辖区内全部国土空间，包括县域和中心城区两个层次。县域要统筹全域全要素规划管理，侧重国土空间开发保护的战略部署和总体格局；中心城区要细化土地使用和空间布局，侧重功能完善和结构优化；县域与中心城区要落实重要管控要素的系统传导和衔接。</w:t>
            </w:r>
          </w:p>
          <w:p w14:paraId="73D9E9BE">
            <w:pPr>
              <w:spacing w:line="480" w:lineRule="exact"/>
              <w:ind w:firstLine="480" w:firstLineChars="200"/>
              <w:rPr>
                <w:kern w:val="10"/>
                <w:sz w:val="24"/>
              </w:rPr>
            </w:pPr>
            <w:r>
              <w:rPr>
                <w:kern w:val="10"/>
                <w:sz w:val="24"/>
              </w:rPr>
              <w:t>（3）发展目标与战略</w:t>
            </w:r>
          </w:p>
          <w:p w14:paraId="002F8896">
            <w:pPr>
              <w:spacing w:line="480" w:lineRule="exact"/>
              <w:ind w:firstLine="480" w:firstLineChars="200"/>
              <w:rPr>
                <w:kern w:val="10"/>
                <w:sz w:val="24"/>
              </w:rPr>
            </w:pPr>
            <w:r>
              <w:rPr>
                <w:kern w:val="10"/>
                <w:sz w:val="24"/>
              </w:rPr>
              <w:t>战略定位：山西融入京津冀协同发展战略节点、晋东区域生态修复治理样板区、阳泉市副中心城市。</w:t>
            </w:r>
          </w:p>
          <w:p w14:paraId="477BADFE">
            <w:pPr>
              <w:spacing w:line="480" w:lineRule="exact"/>
              <w:ind w:firstLine="480" w:firstLineChars="200"/>
              <w:rPr>
                <w:kern w:val="10"/>
                <w:sz w:val="24"/>
              </w:rPr>
            </w:pPr>
            <w:r>
              <w:rPr>
                <w:kern w:val="10"/>
                <w:sz w:val="24"/>
              </w:rPr>
              <w:t>国土空间开发保护目标：落实生态文明建设和高质量发展的要求，</w:t>
            </w:r>
            <w:r>
              <w:rPr>
                <w:rFonts w:hint="eastAsia"/>
                <w:kern w:val="10"/>
                <w:sz w:val="24"/>
              </w:rPr>
              <w:t>统筹</w:t>
            </w:r>
            <w:r>
              <w:rPr>
                <w:kern w:val="10"/>
                <w:sz w:val="24"/>
              </w:rPr>
              <w:t>县域</w:t>
            </w:r>
            <w:r>
              <w:rPr>
                <w:rFonts w:hint="eastAsia"/>
                <w:kern w:val="10"/>
                <w:sz w:val="24"/>
                <w:lang w:eastAsia="zh-CN"/>
              </w:rPr>
              <w:t>国土空间开发保护</w:t>
            </w:r>
            <w:r>
              <w:rPr>
                <w:kern w:val="10"/>
                <w:sz w:val="24"/>
              </w:rPr>
              <w:t>，实现发展和管控的统一。科学配置国土空间资源，强化国土空间底线管控，提升资源利用效率，加强全域全要素用途管制与自然资源统一管理，提升空间品质，推进国土空间治理现代化，构建安全、和谐、开放、协调、富有竞争力和可持续发展的美丽盂县国土空间。</w:t>
            </w:r>
          </w:p>
          <w:p w14:paraId="158B2E31">
            <w:pPr>
              <w:spacing w:line="480" w:lineRule="exact"/>
              <w:ind w:firstLine="480" w:firstLineChars="200"/>
              <w:rPr>
                <w:kern w:val="10"/>
                <w:sz w:val="24"/>
              </w:rPr>
            </w:pPr>
            <w:r>
              <w:rPr>
                <w:kern w:val="10"/>
                <w:sz w:val="24"/>
              </w:rPr>
              <w:t>国土空间开发保护战略：①锚固格局、严守底线、修复重点的筑生态战略。②开放致远、协同融合、全域统筹</w:t>
            </w:r>
            <w:r>
              <w:rPr>
                <w:rFonts w:hint="eastAsia"/>
                <w:kern w:val="10"/>
                <w:sz w:val="24"/>
                <w:lang w:eastAsia="zh-CN"/>
              </w:rPr>
              <w:t>的</w:t>
            </w:r>
            <w:r>
              <w:rPr>
                <w:kern w:val="10"/>
                <w:sz w:val="24"/>
              </w:rPr>
              <w:t>协调战略。③创新引领、园区支撑、多元拓展的促转型战略。④以人为本，补齐短板、内涵更新的提品质战略。</w:t>
            </w:r>
          </w:p>
          <w:p w14:paraId="0E75676C">
            <w:pPr>
              <w:autoSpaceDE w:val="0"/>
              <w:autoSpaceDN w:val="0"/>
              <w:adjustRightInd w:val="0"/>
              <w:snapToGrid w:val="0"/>
              <w:spacing w:line="480" w:lineRule="exact"/>
              <w:ind w:firstLine="480" w:firstLineChars="200"/>
              <w:jc w:val="left"/>
              <w:rPr>
                <w:kern w:val="0"/>
                <w:sz w:val="24"/>
              </w:rPr>
            </w:pPr>
            <w:r>
              <w:rPr>
                <w:rFonts w:hint="eastAsia"/>
                <w:kern w:val="0"/>
                <w:sz w:val="24"/>
              </w:rPr>
              <w:t>本项目位于阳泉市盂县西潘乡宋庄村东侧约530m处，根据盂县自然资源局《关于盂县宋庄村一带1号整合开采区与地质遗迹保护区、</w:t>
            </w:r>
            <w:r>
              <w:rPr>
                <w:rFonts w:hint="eastAsia"/>
                <w:kern w:val="0"/>
                <w:sz w:val="24"/>
                <w:lang w:eastAsia="zh-CN"/>
              </w:rPr>
              <w:t>“三区三线”</w:t>
            </w:r>
            <w:r>
              <w:rPr>
                <w:rFonts w:hint="eastAsia"/>
                <w:kern w:val="0"/>
                <w:sz w:val="24"/>
              </w:rPr>
              <w:t>重叠情况的函》，项目选址不占用基本农田，不在生态保护红线范围内，不处于城镇开发边界范围内。</w:t>
            </w:r>
          </w:p>
          <w:p w14:paraId="1A89990C">
            <w:pPr>
              <w:autoSpaceDE w:val="0"/>
              <w:autoSpaceDN w:val="0"/>
              <w:adjustRightInd w:val="0"/>
              <w:snapToGrid w:val="0"/>
              <w:spacing w:line="480" w:lineRule="exact"/>
              <w:ind w:firstLine="480" w:firstLineChars="200"/>
              <w:jc w:val="left"/>
              <w:rPr>
                <w:kern w:val="0"/>
                <w:sz w:val="24"/>
              </w:rPr>
            </w:pPr>
            <w:r>
              <w:rPr>
                <w:rFonts w:hint="eastAsia"/>
                <w:kern w:val="0"/>
                <w:sz w:val="24"/>
              </w:rPr>
              <w:t>根据山西省自然资源厅《关于加强城镇开发边界管理工作的通知（试行）》（晋自然资发</w:t>
            </w:r>
            <w:r>
              <w:rPr>
                <w:kern w:val="0"/>
                <w:sz w:val="24"/>
              </w:rPr>
              <w:t>〔2024〕22号</w:t>
            </w:r>
            <w:r>
              <w:rPr>
                <w:rFonts w:hint="eastAsia"/>
                <w:kern w:val="0"/>
                <w:sz w:val="24"/>
              </w:rPr>
              <w:t>）第四条，各地要充分引导城镇建设用地向城镇开发边界内集中布局，促进城镇集约集聚建设，提高土地节约集约利用水平。不得在城镇开发边界外进行城镇集中建设，不得规划建设各类开发区和产业园区，不得规划城镇居住用地或兼容城镇居住功能的用地。确需在城镇开发边界外布局的规划建设用地，应落实最严格的耕地保护、节约用地、生态环境保护制度，结合城乡融合、乡村振兴、区域一体化发展、旅游开发和“平急两用”公共基础设施建设等合理需要，允许并规范下列建设用地在城镇开发边界外布局：</w:t>
            </w:r>
          </w:p>
          <w:p w14:paraId="3A44884E">
            <w:pPr>
              <w:autoSpaceDE w:val="0"/>
              <w:autoSpaceDN w:val="0"/>
              <w:adjustRightInd w:val="0"/>
              <w:snapToGrid w:val="0"/>
              <w:spacing w:line="480" w:lineRule="exact"/>
              <w:ind w:firstLine="480" w:firstLineChars="200"/>
              <w:jc w:val="left"/>
              <w:rPr>
                <w:kern w:val="0"/>
                <w:sz w:val="24"/>
              </w:rPr>
            </w:pPr>
            <w:r>
              <w:rPr>
                <w:rFonts w:hint="eastAsia"/>
                <w:kern w:val="0"/>
                <w:sz w:val="24"/>
              </w:rPr>
              <w:t>（一）乡村建设用地以及一二三产业融合用地；</w:t>
            </w:r>
          </w:p>
          <w:p w14:paraId="7C138989">
            <w:pPr>
              <w:autoSpaceDE w:val="0"/>
              <w:autoSpaceDN w:val="0"/>
              <w:adjustRightInd w:val="0"/>
              <w:snapToGrid w:val="0"/>
              <w:spacing w:line="480" w:lineRule="exact"/>
              <w:ind w:firstLine="480" w:firstLineChars="200"/>
              <w:jc w:val="left"/>
              <w:rPr>
                <w:kern w:val="0"/>
                <w:sz w:val="24"/>
              </w:rPr>
            </w:pPr>
            <w:r>
              <w:rPr>
                <w:rFonts w:hint="eastAsia"/>
                <w:kern w:val="0"/>
                <w:sz w:val="24"/>
              </w:rPr>
              <w:t>（二）交通、能源、水利、矿山、军事等单独选址项目用地；</w:t>
            </w:r>
          </w:p>
          <w:p w14:paraId="3D8062A2">
            <w:pPr>
              <w:autoSpaceDE w:val="0"/>
              <w:autoSpaceDN w:val="0"/>
              <w:adjustRightInd w:val="0"/>
              <w:snapToGrid w:val="0"/>
              <w:spacing w:line="480" w:lineRule="exact"/>
              <w:ind w:firstLine="480" w:firstLineChars="200"/>
              <w:jc w:val="left"/>
              <w:rPr>
                <w:kern w:val="0"/>
                <w:sz w:val="24"/>
              </w:rPr>
            </w:pPr>
            <w:r>
              <w:rPr>
                <w:rFonts w:hint="eastAsia"/>
                <w:kern w:val="0"/>
                <w:sz w:val="24"/>
              </w:rPr>
              <w:t>（三）有特定选址要求、确需布局在城镇开发边界外的少量建设用地。</w:t>
            </w:r>
          </w:p>
          <w:p w14:paraId="2708E393">
            <w:pPr>
              <w:autoSpaceDE w:val="0"/>
              <w:autoSpaceDN w:val="0"/>
              <w:adjustRightInd w:val="0"/>
              <w:snapToGrid w:val="0"/>
              <w:spacing w:line="480" w:lineRule="exact"/>
              <w:ind w:firstLine="480" w:firstLineChars="200"/>
              <w:jc w:val="left"/>
              <w:rPr>
                <w:kern w:val="0"/>
                <w:sz w:val="24"/>
              </w:rPr>
            </w:pPr>
            <w:r>
              <w:rPr>
                <w:rFonts w:hint="eastAsia"/>
                <w:kern w:val="0"/>
                <w:sz w:val="24"/>
              </w:rPr>
              <w:t>本项目选址不涉及自然保护地、生态保护红线及永久基本农田，同时要求在矿产资源开发过程中严禁破坏周边永久基本农田，因此，本项目的建设不违背《盂县国土空间总体规划》的相关要求。</w:t>
            </w:r>
          </w:p>
          <w:p w14:paraId="776B3EAF">
            <w:pPr>
              <w:autoSpaceDE w:val="0"/>
              <w:autoSpaceDN w:val="0"/>
              <w:adjustRightInd w:val="0"/>
              <w:snapToGrid w:val="0"/>
              <w:spacing w:line="480" w:lineRule="exact"/>
              <w:ind w:firstLine="482" w:firstLineChars="200"/>
              <w:jc w:val="left"/>
              <w:rPr>
                <w:b/>
                <w:bCs/>
                <w:kern w:val="0"/>
                <w:sz w:val="24"/>
              </w:rPr>
            </w:pPr>
            <w:r>
              <w:rPr>
                <w:rFonts w:hint="eastAsia"/>
                <w:b/>
                <w:bCs/>
                <w:kern w:val="0"/>
                <w:sz w:val="24"/>
              </w:rPr>
              <w:t>5.与《山西省“十四五”“两山七河一流域”生态保护和生态文明建设、生态经济发展规划》符合性分析</w:t>
            </w:r>
          </w:p>
          <w:p w14:paraId="55DA7F50">
            <w:pPr>
              <w:autoSpaceDE w:val="0"/>
              <w:autoSpaceDN w:val="0"/>
              <w:adjustRightInd w:val="0"/>
              <w:snapToGrid w:val="0"/>
              <w:spacing w:line="480" w:lineRule="exact"/>
              <w:ind w:firstLine="480" w:firstLineChars="200"/>
              <w:jc w:val="left"/>
              <w:rPr>
                <w:kern w:val="0"/>
                <w:sz w:val="24"/>
              </w:rPr>
            </w:pPr>
            <w:r>
              <w:rPr>
                <w:rFonts w:hint="eastAsia"/>
                <w:kern w:val="0"/>
                <w:sz w:val="24"/>
              </w:rPr>
              <w:t>2021年9月28日，山西省人民政府以“晋政发〔2021〕34号”下发了关于印发《山西省“十四五”“两山七河一流域”生态保护和生态文明建设、生态经济发展规划》的通知，《发展规划》中提出，深化矿山生态修复。建立矿山地质动态监管平台，到2025年，实现全省矿山地质环境动态监测全覆盖。强化生产矿山边开采、边治理举措，及时修复生态和治理污染，停止对生态环境造成重大影响的矿产资源开发。按照“谁开采、谁治理、边开采、边治理”原则，全面加强矿山生态修复治理。</w:t>
            </w:r>
          </w:p>
          <w:p w14:paraId="2318B5E5">
            <w:pPr>
              <w:autoSpaceDE w:val="0"/>
              <w:autoSpaceDN w:val="0"/>
              <w:adjustRightInd w:val="0"/>
              <w:snapToGrid w:val="0"/>
              <w:spacing w:line="480" w:lineRule="exact"/>
              <w:ind w:firstLine="480" w:firstLineChars="200"/>
              <w:jc w:val="left"/>
              <w:rPr>
                <w:b/>
                <w:bCs/>
                <w:kern w:val="0"/>
                <w:sz w:val="24"/>
              </w:rPr>
            </w:pPr>
            <w:r>
              <w:rPr>
                <w:rFonts w:hint="eastAsia"/>
                <w:kern w:val="0"/>
                <w:sz w:val="24"/>
              </w:rPr>
              <w:t>本项目编制完成了《</w:t>
            </w:r>
            <w:r>
              <w:rPr>
                <w:rFonts w:hint="eastAsia"/>
                <w:sz w:val="24"/>
              </w:rPr>
              <w:t>山西省盂县石鑫矿业有限公司饰面用花岗岩矿资源开发利用和矿山环境保护与土地复垦方案</w:t>
            </w:r>
            <w:r>
              <w:rPr>
                <w:rFonts w:hint="eastAsia"/>
                <w:kern w:val="0"/>
                <w:sz w:val="24"/>
              </w:rPr>
              <w:t>》，并取得了山西省矿业联合会下发的评审意见书（晋矿联技审字〔2025〕163号），生产期间边开采边治理，项目的建设符合《山西省“十四五”“两山七河一流域”生态保护和生态文明建设、生态经济发展规划》要求。</w:t>
            </w:r>
          </w:p>
          <w:p w14:paraId="1CA0A5FC">
            <w:pPr>
              <w:autoSpaceDE w:val="0"/>
              <w:autoSpaceDN w:val="0"/>
              <w:adjustRightInd w:val="0"/>
              <w:snapToGrid w:val="0"/>
              <w:spacing w:line="480" w:lineRule="exact"/>
              <w:ind w:firstLine="482" w:firstLineChars="200"/>
              <w:jc w:val="left"/>
              <w:rPr>
                <w:kern w:val="0"/>
                <w:sz w:val="24"/>
              </w:rPr>
            </w:pPr>
            <w:r>
              <w:rPr>
                <w:rFonts w:hint="eastAsia"/>
                <w:b/>
                <w:bCs/>
                <w:kern w:val="0"/>
                <w:sz w:val="24"/>
                <w:lang w:val="en-US" w:eastAsia="zh-CN"/>
              </w:rPr>
              <w:t>6</w:t>
            </w:r>
            <w:r>
              <w:rPr>
                <w:rFonts w:hint="eastAsia"/>
                <w:b/>
                <w:bCs/>
                <w:kern w:val="0"/>
                <w:sz w:val="24"/>
              </w:rPr>
              <w:t>.与《关于进一步加强绿色矿山建设的通知》（自然资规〔2024〕1号）的符合性分析</w:t>
            </w:r>
          </w:p>
          <w:p w14:paraId="5D0E976B">
            <w:pPr>
              <w:autoSpaceDE w:val="0"/>
              <w:autoSpaceDN w:val="0"/>
              <w:adjustRightInd w:val="0"/>
              <w:snapToGrid w:val="0"/>
              <w:spacing w:line="480" w:lineRule="exact"/>
              <w:ind w:firstLine="480" w:firstLineChars="200"/>
              <w:jc w:val="left"/>
              <w:rPr>
                <w:kern w:val="0"/>
                <w:sz w:val="24"/>
              </w:rPr>
            </w:pPr>
            <w:r>
              <w:rPr>
                <w:rFonts w:hint="eastAsia"/>
                <w:kern w:val="0"/>
                <w:sz w:val="24"/>
              </w:rPr>
              <w:t>2024年4月15日，自然资源部、生态环境部、财政部、国家市场监督管理总局、国家金融监督管理总局、中国证券监督管理委员会、国家林业和草原局以“自然资规〔2024〕1号”联合下发了《关于进一步加强绿色矿山建设的通知》，通知中具体要求如下：</w:t>
            </w:r>
          </w:p>
          <w:p w14:paraId="75BC9E5E">
            <w:pPr>
              <w:autoSpaceDE w:val="0"/>
              <w:autoSpaceDN w:val="0"/>
              <w:adjustRightInd w:val="0"/>
              <w:snapToGrid w:val="0"/>
              <w:spacing w:line="480" w:lineRule="exact"/>
              <w:ind w:firstLine="480" w:firstLineChars="200"/>
              <w:jc w:val="left"/>
              <w:rPr>
                <w:kern w:val="0"/>
                <w:sz w:val="24"/>
              </w:rPr>
            </w:pPr>
            <w:r>
              <w:rPr>
                <w:rFonts w:hint="eastAsia"/>
                <w:kern w:val="0"/>
                <w:sz w:val="24"/>
              </w:rPr>
              <w:t>二、全面推进绿色矿山建设</w:t>
            </w:r>
          </w:p>
          <w:p w14:paraId="599F9C00">
            <w:pPr>
              <w:autoSpaceDE w:val="0"/>
              <w:autoSpaceDN w:val="0"/>
              <w:adjustRightInd w:val="0"/>
              <w:snapToGrid w:val="0"/>
              <w:spacing w:line="480" w:lineRule="exact"/>
              <w:ind w:firstLine="480" w:firstLineChars="200"/>
              <w:jc w:val="left"/>
              <w:rPr>
                <w:kern w:val="0"/>
                <w:sz w:val="24"/>
              </w:rPr>
            </w:pPr>
            <w:r>
              <w:rPr>
                <w:rFonts w:hint="eastAsia"/>
                <w:kern w:val="0"/>
                <w:sz w:val="24"/>
              </w:rPr>
              <w:t>（四）压实矿山企业的主体责任。依法从事矿产资源开发的矿山企业，是绿色矿山创建的责任主体，应当牢固树立和践行绿水青山就是金山银山理念，严格按照标准规范，在矿产资源开发全过程中，对矿区及周边生态环境扰动控制在可控范围内，建设矿区环境生态化、开采方式科学化、资源利用高效化、企业管理规范化、矿区社区和谐化的绿色矿山。矿山企业要落实矿山开发利用、生态修复、环境保护等方案，明确绿色矿山建设任务和进度，落实“边开采、边修复”等要求，及时向社会公开。生态保护红线内、自然保护地核心保护区外依法开采的矿山，要执行最严格标准规范，严格落实绿色开采及矿山环境生态修复相关要求，全面做好减缓生态环境和自然保护地影响的措施。建立申诉回应机制，畅通与受矿山影响的社区等利益相关者的交流互动，主动接受社会监督，树立良好企业形象。</w:t>
            </w:r>
          </w:p>
          <w:p w14:paraId="5A23CB28">
            <w:pPr>
              <w:autoSpaceDE w:val="0"/>
              <w:autoSpaceDN w:val="0"/>
              <w:adjustRightInd w:val="0"/>
              <w:snapToGrid w:val="0"/>
              <w:spacing w:line="480" w:lineRule="exact"/>
              <w:ind w:firstLine="480" w:firstLineChars="200"/>
              <w:jc w:val="left"/>
              <w:rPr>
                <w:kern w:val="0"/>
                <w:sz w:val="24"/>
              </w:rPr>
            </w:pPr>
            <w:r>
              <w:rPr>
                <w:rFonts w:hint="eastAsia"/>
                <w:kern w:val="0"/>
                <w:sz w:val="24"/>
              </w:rPr>
              <w:t>（五）分类有序推进绿色矿山建设。自然资源主管部门会同相关部门应当依据</w:t>
            </w:r>
            <w:r>
              <w:rPr>
                <w:rFonts w:hint="eastAsia"/>
                <w:kern w:val="0"/>
                <w:sz w:val="24"/>
                <w:lang w:eastAsia="zh-CN"/>
              </w:rPr>
              <w:t>法律法规</w:t>
            </w:r>
            <w:r>
              <w:rPr>
                <w:rFonts w:hint="eastAsia"/>
                <w:kern w:val="0"/>
                <w:sz w:val="24"/>
              </w:rPr>
              <w:t>或党中央、国务院政策文件中关于绿色矿山建设的规定明确要求，对新建矿山，要严格按照绿色矿山标准建设运行，正式投产后1～2年内应通过绿色矿山评估核查，并在采矿权出让时将相关要求和违约责任纳入出让合同。对生产矿山，要加快绿色化升级改造，在办理延续、变更手续时，应明确绿色矿山建设时限和要求。鼓励地方自然资源主管部门与矿山企业签订绿色矿山建设合同。对剩余储量可采年限不足3年的生产矿山，要求按照绿色矿山建设标准加强管理，着重做好闭坑前的污染防治，以及矿山地质环境恢复治理、土地复垦、恢复植被等生态修复工作。</w:t>
            </w:r>
          </w:p>
          <w:p w14:paraId="4D049465">
            <w:pPr>
              <w:autoSpaceDE w:val="0"/>
              <w:autoSpaceDN w:val="0"/>
              <w:adjustRightInd w:val="0"/>
              <w:snapToGrid w:val="0"/>
              <w:spacing w:line="480" w:lineRule="exact"/>
              <w:ind w:firstLine="480" w:firstLineChars="200"/>
              <w:jc w:val="left"/>
              <w:rPr>
                <w:kern w:val="0"/>
                <w:sz w:val="24"/>
              </w:rPr>
            </w:pPr>
            <w:r>
              <w:rPr>
                <w:rFonts w:hint="eastAsia"/>
                <w:kern w:val="0"/>
                <w:sz w:val="24"/>
              </w:rPr>
              <w:t>（六）加快推动绿色低碳先进适用技术应用。矿山企业要加强绿色低碳技术工艺装备升级改造，在资源开发、综合利用、节能减排、生态修复等环节，鼓励采用《国家重点推广的低碳技术目录》《矿产资源节约和综合利用先进适用技术目录》中的技术，推动矿山绿色低碳转型。加快融合5G、大数据、互联网、人工智能等信息化技术，推动矿山企业数字化、智能化、绿色化发展，提升资源开发利用与生产管理效率。</w:t>
            </w:r>
          </w:p>
          <w:p w14:paraId="005FCE52">
            <w:pPr>
              <w:autoSpaceDE w:val="0"/>
              <w:autoSpaceDN w:val="0"/>
              <w:adjustRightInd w:val="0"/>
              <w:snapToGrid w:val="0"/>
              <w:spacing w:line="480" w:lineRule="exact"/>
              <w:ind w:firstLine="480" w:firstLineChars="200"/>
              <w:jc w:val="left"/>
              <w:rPr>
                <w:kern w:val="0"/>
                <w:sz w:val="24"/>
              </w:rPr>
            </w:pPr>
            <w:r>
              <w:rPr>
                <w:rFonts w:hint="eastAsia"/>
                <w:kern w:val="0"/>
                <w:sz w:val="24"/>
              </w:rPr>
              <w:t>（七）持续提升矿山企业创建水平。矿山企业应主动对照相应行业标准和评价指标定期自评，按计划开展绿色矿山创建工作，及时发现问题短板，积极推动整改。完成绿色矿山建设任务且自评达到标准要求的，可向自然资源主管部门提交自评估报告，申报省级绿色矿山。矿山企业对自评估报告的真实性负责。</w:t>
            </w:r>
          </w:p>
          <w:p w14:paraId="582D7278">
            <w:pPr>
              <w:autoSpaceDE w:val="0"/>
              <w:autoSpaceDN w:val="0"/>
              <w:adjustRightInd w:val="0"/>
              <w:snapToGrid w:val="0"/>
              <w:spacing w:line="480" w:lineRule="exact"/>
              <w:ind w:firstLine="480" w:firstLineChars="200"/>
              <w:jc w:val="left"/>
              <w:rPr>
                <w:kern w:val="0"/>
                <w:sz w:val="24"/>
              </w:rPr>
            </w:pPr>
            <w:r>
              <w:rPr>
                <w:rFonts w:hint="eastAsia"/>
                <w:kern w:val="0"/>
                <w:sz w:val="24"/>
              </w:rPr>
              <w:t>本项目依法取得了阳泉市规划和自然资源局下发的采矿许可证，许可证编号：XC1403002010047120060252。矿区位于阳泉市盂县西潘乡宋庄村东侧约530m处，矿区不占用基本农田、不在城镇开发边界范围内、不涉及生态保护红线。</w:t>
            </w:r>
          </w:p>
          <w:p w14:paraId="30DF470F">
            <w:pPr>
              <w:autoSpaceDE w:val="0"/>
              <w:autoSpaceDN w:val="0"/>
              <w:adjustRightInd w:val="0"/>
              <w:snapToGrid w:val="0"/>
              <w:spacing w:line="480" w:lineRule="exact"/>
              <w:ind w:firstLine="480" w:firstLineChars="200"/>
              <w:rPr>
                <w:color w:val="FF0000"/>
                <w:kern w:val="0"/>
                <w:sz w:val="24"/>
              </w:rPr>
            </w:pPr>
            <w:r>
              <w:rPr>
                <w:rFonts w:hint="eastAsia"/>
                <w:kern w:val="0"/>
                <w:sz w:val="24"/>
              </w:rPr>
              <w:t>本项目严格落实生态环境保护、矿产资源规划和绿色矿山建设行业标准等要求进行建设，采用绿色低碳新技术、新工艺、新装备，按照“谁开采、谁治理，边开采、边治理”原则，开展生态修复工作，本项目编制完成了《山西省盂县石鑫矿业有限公司饰面用花岗岩矿资源开发利用和矿山环境保护与土地复垦方案》，并取得了山西省矿业联合会下发的评审意见书（</w:t>
            </w:r>
            <w:r>
              <w:rPr>
                <w:rFonts w:hint="eastAsia"/>
                <w:sz w:val="24"/>
              </w:rPr>
              <w:t>晋矿联技审字〔2025〕163号</w:t>
            </w:r>
            <w:r>
              <w:rPr>
                <w:rFonts w:hint="eastAsia"/>
                <w:kern w:val="0"/>
                <w:sz w:val="24"/>
              </w:rPr>
              <w:t>），严格按照绿色矿山建设标准加强管理。</w:t>
            </w:r>
          </w:p>
          <w:p w14:paraId="0C276327">
            <w:pPr>
              <w:autoSpaceDE w:val="0"/>
              <w:autoSpaceDN w:val="0"/>
              <w:adjustRightInd w:val="0"/>
              <w:snapToGrid w:val="0"/>
              <w:spacing w:line="480" w:lineRule="exact"/>
              <w:ind w:firstLine="482" w:firstLineChars="200"/>
              <w:jc w:val="left"/>
              <w:rPr>
                <w:b/>
                <w:bCs/>
                <w:kern w:val="0"/>
                <w:sz w:val="24"/>
              </w:rPr>
            </w:pPr>
            <w:r>
              <w:rPr>
                <w:rFonts w:hint="eastAsia"/>
                <w:b/>
                <w:bCs/>
                <w:kern w:val="0"/>
                <w:sz w:val="24"/>
                <w:lang w:val="en-US" w:eastAsia="zh-CN"/>
              </w:rPr>
              <w:t>7</w:t>
            </w:r>
            <w:r>
              <w:rPr>
                <w:rFonts w:hint="eastAsia"/>
                <w:b/>
                <w:bCs/>
                <w:kern w:val="0"/>
                <w:sz w:val="24"/>
              </w:rPr>
              <w:t>.与《关于加快推进露天矿山综合整治工作实施意见的函》的符合性分析</w:t>
            </w:r>
          </w:p>
          <w:p w14:paraId="27B0F6B1">
            <w:pPr>
              <w:autoSpaceDE w:val="0"/>
              <w:autoSpaceDN w:val="0"/>
              <w:adjustRightInd w:val="0"/>
              <w:snapToGrid w:val="0"/>
              <w:spacing w:line="480" w:lineRule="exact"/>
              <w:ind w:firstLine="480" w:firstLineChars="200"/>
              <w:jc w:val="left"/>
              <w:rPr>
                <w:kern w:val="0"/>
                <w:sz w:val="24"/>
              </w:rPr>
            </w:pPr>
            <w:r>
              <w:rPr>
                <w:rFonts w:hint="eastAsia"/>
                <w:kern w:val="0"/>
                <w:sz w:val="24"/>
              </w:rPr>
              <w:t>2019年5月19日，自然资源部办公厅、生态环境部办公厅以“自然资办函〔2019〕819号”联合下发了《关于加快推进露天矿山综合整治工作实施意见的函》，《实施意见》中提出的具体要求如下：</w:t>
            </w:r>
          </w:p>
          <w:p w14:paraId="2E6E1889">
            <w:pPr>
              <w:autoSpaceDE w:val="0"/>
              <w:autoSpaceDN w:val="0"/>
              <w:adjustRightInd w:val="0"/>
              <w:snapToGrid w:val="0"/>
              <w:spacing w:line="480" w:lineRule="exact"/>
              <w:ind w:firstLine="480" w:firstLineChars="200"/>
              <w:jc w:val="left"/>
              <w:rPr>
                <w:kern w:val="0"/>
                <w:sz w:val="24"/>
              </w:rPr>
            </w:pPr>
            <w:r>
              <w:rPr>
                <w:rFonts w:hint="eastAsia"/>
                <w:kern w:val="0"/>
                <w:sz w:val="24"/>
              </w:rPr>
              <w:t>（三）加强露天矿山生态修复。按照“谁开采、谁治理，边开采、边治理”原则，引导矿山按照绿色矿山建设行业标准，以环境影响报告书及批复、矿山地质环境保护与土地复垦方案等要求，开展生态修复。</w:t>
            </w:r>
          </w:p>
          <w:p w14:paraId="2146A22D">
            <w:pPr>
              <w:autoSpaceDE w:val="0"/>
              <w:autoSpaceDN w:val="0"/>
              <w:adjustRightInd w:val="0"/>
              <w:snapToGrid w:val="0"/>
              <w:spacing w:line="480" w:lineRule="exact"/>
              <w:ind w:firstLine="480" w:firstLineChars="200"/>
              <w:jc w:val="left"/>
              <w:rPr>
                <w:kern w:val="0"/>
                <w:sz w:val="24"/>
              </w:rPr>
            </w:pPr>
            <w:r>
              <w:rPr>
                <w:rFonts w:hint="eastAsia"/>
                <w:kern w:val="0"/>
                <w:sz w:val="24"/>
              </w:rPr>
              <w:t>（四）严格控制新建露天矿山建设项目。严格贯彻国发〔2018〕22号文件有关要求，重点区域原则上禁止新建露天矿山建设项目，国发〔2018〕22号文件下发前环境影响评价文件已经批复的重点区域露天矿山，确需建设的，在严格落实生态环境保护、矿产资源规划和绿色矿山建设行业标准等要求前提下可继续批准建设。其他区域新建露天矿山建设项目，也应严格执行生态环境保护、矿产资源规划和绿色矿山建设行业标准等要求。</w:t>
            </w:r>
          </w:p>
          <w:p w14:paraId="1472E629">
            <w:pPr>
              <w:autoSpaceDE w:val="0"/>
              <w:autoSpaceDN w:val="0"/>
              <w:adjustRightInd w:val="0"/>
              <w:snapToGrid w:val="0"/>
              <w:spacing w:line="480" w:lineRule="exact"/>
              <w:ind w:firstLine="480" w:firstLineChars="200"/>
              <w:rPr>
                <w:kern w:val="0"/>
                <w:sz w:val="24"/>
              </w:rPr>
            </w:pPr>
            <w:r>
              <w:rPr>
                <w:rFonts w:hint="eastAsia"/>
                <w:kern w:val="0"/>
                <w:sz w:val="24"/>
              </w:rPr>
              <w:t>根据“阳政办函〔2022〕188号”，本项目为资源整合矿山，由</w:t>
            </w:r>
            <w:r>
              <w:rPr>
                <w:rFonts w:hint="eastAsia"/>
                <w:sz w:val="24"/>
              </w:rPr>
              <w:t>盂县石鑫矿业有限公司与盂县西潘乡鑫盛石矿</w:t>
            </w:r>
            <w:r>
              <w:rPr>
                <w:rFonts w:hint="eastAsia"/>
                <w:kern w:val="0"/>
                <w:sz w:val="24"/>
              </w:rPr>
              <w:t>整合而成，整合区名称为</w:t>
            </w:r>
            <w:r>
              <w:rPr>
                <w:rFonts w:hint="eastAsia"/>
                <w:sz w:val="24"/>
              </w:rPr>
              <w:t>盂县宋庄村一带整合开采区（一），2023年7月，盂县石鑫矿业有限公司竞得该采矿权</w:t>
            </w:r>
            <w:r>
              <w:rPr>
                <w:rFonts w:hint="eastAsia"/>
                <w:kern w:val="0"/>
                <w:sz w:val="24"/>
              </w:rPr>
              <w:t>。阳泉市规划和自然资源局已对</w:t>
            </w:r>
            <w:r>
              <w:rPr>
                <w:rFonts w:hint="eastAsia"/>
                <w:sz w:val="24"/>
              </w:rPr>
              <w:t>盂县石鑫矿业有限公司</w:t>
            </w:r>
            <w:r>
              <w:rPr>
                <w:rFonts w:hint="eastAsia"/>
                <w:kern w:val="0"/>
                <w:sz w:val="24"/>
              </w:rPr>
              <w:t>出具了采矿许可证，证号为：XC1403002010047120060252，有效期为2024年3月4日至2027年9月25日。根据阳泉市人民政府办公室文件《阳泉市人民政府办公室关于印发阳泉市非煤矿山整合实施意见的通知》阳政办发〔2022〕35号</w:t>
            </w:r>
            <w:r>
              <w:rPr>
                <w:rFonts w:hint="eastAsia"/>
                <w:kern w:val="0"/>
                <w:sz w:val="24"/>
                <w:lang w:eastAsia="zh-CN"/>
              </w:rPr>
              <w:t>文件</w:t>
            </w:r>
            <w:r>
              <w:rPr>
                <w:rFonts w:hint="eastAsia"/>
                <w:kern w:val="0"/>
                <w:sz w:val="24"/>
              </w:rPr>
              <w:t>，本项目属于整合范围内持有效《采矿许可证》的对象，不属于新建矿山，同时本项目严格落实生态环境保护、矿产资源规划和绿色矿山建设行业标准等要求进行建设。按照“谁开采、谁治理，边开采、边治理”原则，开展生态修复工作。因此本项目建设不违背《关于加快推进露天矿山综合整治工作实施意见的函》文件要求。</w:t>
            </w:r>
          </w:p>
          <w:p w14:paraId="7DBCF8F3">
            <w:pPr>
              <w:autoSpaceDE w:val="0"/>
              <w:autoSpaceDN w:val="0"/>
              <w:adjustRightInd w:val="0"/>
              <w:snapToGrid w:val="0"/>
              <w:spacing w:line="480" w:lineRule="exact"/>
              <w:ind w:firstLine="482" w:firstLineChars="200"/>
              <w:jc w:val="left"/>
              <w:rPr>
                <w:rFonts w:hint="default"/>
                <w:b/>
                <w:bCs/>
                <w:color w:val="auto"/>
                <w:kern w:val="0"/>
                <w:sz w:val="24"/>
                <w:lang w:val="en-US" w:eastAsia="zh-CN"/>
              </w:rPr>
            </w:pPr>
            <w:r>
              <w:rPr>
                <w:rFonts w:hint="eastAsia"/>
                <w:b/>
                <w:bCs/>
                <w:color w:val="auto"/>
                <w:kern w:val="0"/>
                <w:sz w:val="24"/>
                <w:lang w:val="en-US" w:eastAsia="zh-CN"/>
              </w:rPr>
              <w:t>8.与《绿色矿山评价通则》（GB/T 44823-2024）</w:t>
            </w:r>
            <w:r>
              <w:rPr>
                <w:rFonts w:hint="eastAsia"/>
                <w:b/>
                <w:bCs/>
                <w:color w:val="auto"/>
                <w:kern w:val="0"/>
                <w:sz w:val="24"/>
              </w:rPr>
              <w:t>的符合性分析</w:t>
            </w:r>
          </w:p>
          <w:p w14:paraId="3765B502">
            <w:pPr>
              <w:autoSpaceDE w:val="0"/>
              <w:autoSpaceDN w:val="0"/>
              <w:adjustRightInd w:val="0"/>
              <w:snapToGrid w:val="0"/>
              <w:spacing w:line="480" w:lineRule="exact"/>
              <w:ind w:firstLine="480" w:firstLineChars="200"/>
              <w:jc w:val="left"/>
              <w:rPr>
                <w:color w:val="auto"/>
                <w:kern w:val="0"/>
                <w:sz w:val="24"/>
              </w:rPr>
            </w:pPr>
            <w:r>
              <w:rPr>
                <w:rFonts w:hint="eastAsia"/>
                <w:color w:val="auto"/>
                <w:kern w:val="0"/>
                <w:sz w:val="24"/>
              </w:rPr>
              <w:t>本项目与《绿色矿山评价通则》（GB/T 44823-2024）的符合性分析详见下表。</w:t>
            </w:r>
          </w:p>
          <w:p w14:paraId="0B8C502C">
            <w:pPr>
              <w:autoSpaceDE w:val="0"/>
              <w:autoSpaceDN w:val="0"/>
              <w:adjustRightInd w:val="0"/>
              <w:snapToGrid w:val="0"/>
              <w:spacing w:line="480" w:lineRule="exact"/>
              <w:ind w:firstLine="420" w:firstLineChars="200"/>
              <w:jc w:val="left"/>
              <w:rPr>
                <w:rFonts w:hint="eastAsia"/>
                <w:b/>
                <w:bCs/>
                <w:color w:val="auto"/>
                <w:kern w:val="0"/>
                <w:sz w:val="24"/>
                <w:lang w:val="en-US" w:eastAsia="zh-CN"/>
              </w:rPr>
            </w:pPr>
            <w:r>
              <w:rPr>
                <w:rFonts w:hint="eastAsia" w:eastAsia="宋体"/>
                <w:color w:val="auto"/>
                <w:sz w:val="21"/>
                <w:szCs w:val="21"/>
              </w:rPr>
              <w:t>表1-6 与《绿色矿山评价通则》（GB/T 44823-2024）符合性分析一览表</w:t>
            </w:r>
          </w:p>
          <w:tbl>
            <w:tblPr>
              <w:tblStyle w:val="3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
              <w:gridCol w:w="11"/>
              <w:gridCol w:w="437"/>
              <w:gridCol w:w="3427"/>
              <w:gridCol w:w="2979"/>
              <w:gridCol w:w="594"/>
            </w:tblGrid>
            <w:tr w14:paraId="590B2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730" w:type="pct"/>
                  <w:gridSpan w:val="4"/>
                  <w:tcBorders>
                    <w:tl2br w:val="nil"/>
                    <w:tr2bl w:val="nil"/>
                  </w:tcBorders>
                  <w:vAlign w:val="center"/>
                </w:tcPr>
                <w:p w14:paraId="07C27C18">
                  <w:pPr>
                    <w:autoSpaceDE w:val="0"/>
                    <w:autoSpaceDN w:val="0"/>
                    <w:adjustRightInd w:val="0"/>
                    <w:snapToGrid w:val="0"/>
                    <w:jc w:val="center"/>
                    <w:rPr>
                      <w:color w:val="auto"/>
                      <w:kern w:val="0"/>
                      <w:szCs w:val="21"/>
                    </w:rPr>
                  </w:pPr>
                  <w:r>
                    <w:rPr>
                      <w:rFonts w:hint="eastAsia"/>
                      <w:color w:val="auto"/>
                      <w:kern w:val="0"/>
                      <w:szCs w:val="21"/>
                    </w:rPr>
                    <w:t>规范要求</w:t>
                  </w:r>
                </w:p>
              </w:tc>
              <w:tc>
                <w:tcPr>
                  <w:tcW w:w="1891" w:type="pct"/>
                  <w:tcBorders>
                    <w:tl2br w:val="nil"/>
                    <w:tr2bl w:val="nil"/>
                  </w:tcBorders>
                  <w:vAlign w:val="center"/>
                </w:tcPr>
                <w:p w14:paraId="0CA24791">
                  <w:pPr>
                    <w:autoSpaceDE w:val="0"/>
                    <w:autoSpaceDN w:val="0"/>
                    <w:adjustRightInd w:val="0"/>
                    <w:snapToGrid w:val="0"/>
                    <w:jc w:val="center"/>
                    <w:rPr>
                      <w:color w:val="auto"/>
                      <w:kern w:val="0"/>
                      <w:szCs w:val="21"/>
                    </w:rPr>
                  </w:pPr>
                  <w:r>
                    <w:rPr>
                      <w:rFonts w:hint="eastAsia"/>
                      <w:color w:val="auto"/>
                      <w:kern w:val="0"/>
                      <w:szCs w:val="21"/>
                    </w:rPr>
                    <w:t>本项目实际情况</w:t>
                  </w:r>
                </w:p>
              </w:tc>
              <w:tc>
                <w:tcPr>
                  <w:tcW w:w="377" w:type="pct"/>
                  <w:tcBorders>
                    <w:tl2br w:val="nil"/>
                    <w:tr2bl w:val="nil"/>
                  </w:tcBorders>
                  <w:vAlign w:val="center"/>
                </w:tcPr>
                <w:p w14:paraId="05C09C53">
                  <w:pPr>
                    <w:autoSpaceDE w:val="0"/>
                    <w:autoSpaceDN w:val="0"/>
                    <w:adjustRightInd w:val="0"/>
                    <w:snapToGrid w:val="0"/>
                    <w:ind w:left="-105" w:leftChars="-50" w:right="-105" w:rightChars="-50"/>
                    <w:jc w:val="center"/>
                    <w:rPr>
                      <w:color w:val="auto"/>
                      <w:kern w:val="0"/>
                      <w:szCs w:val="21"/>
                    </w:rPr>
                  </w:pPr>
                  <w:r>
                    <w:rPr>
                      <w:rFonts w:hint="eastAsia"/>
                      <w:color w:val="auto"/>
                      <w:kern w:val="0"/>
                      <w:szCs w:val="21"/>
                    </w:rPr>
                    <w:t>是否符合</w:t>
                  </w:r>
                </w:p>
              </w:tc>
            </w:tr>
            <w:tr w14:paraId="53FC6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4" w:type="pct"/>
                  <w:gridSpan w:val="3"/>
                  <w:vMerge w:val="restart"/>
                  <w:tcBorders>
                    <w:tl2br w:val="nil"/>
                    <w:tr2bl w:val="nil"/>
                  </w:tcBorders>
                  <w:vAlign w:val="center"/>
                </w:tcPr>
                <w:p w14:paraId="48D024F4">
                  <w:pPr>
                    <w:autoSpaceDE w:val="0"/>
                    <w:autoSpaceDN w:val="0"/>
                    <w:adjustRightInd w:val="0"/>
                    <w:snapToGrid w:val="0"/>
                    <w:ind w:left="-105" w:leftChars="-50" w:right="-105" w:rightChars="-50"/>
                    <w:jc w:val="center"/>
                    <w:rPr>
                      <w:rFonts w:hint="eastAsia"/>
                      <w:color w:val="auto"/>
                      <w:kern w:val="0"/>
                      <w:szCs w:val="21"/>
                      <w:lang w:val="en-US" w:eastAsia="zh-CN"/>
                    </w:rPr>
                  </w:pPr>
                  <w:r>
                    <w:rPr>
                      <w:rFonts w:hint="eastAsia"/>
                      <w:color w:val="auto"/>
                      <w:kern w:val="0"/>
                      <w:szCs w:val="21"/>
                      <w:lang w:val="en-US" w:eastAsia="zh-CN"/>
                    </w:rPr>
                    <w:t>矿山</w:t>
                  </w:r>
                </w:p>
                <w:p w14:paraId="4C29996F">
                  <w:pPr>
                    <w:autoSpaceDE w:val="0"/>
                    <w:autoSpaceDN w:val="0"/>
                    <w:adjustRightInd w:val="0"/>
                    <w:snapToGrid w:val="0"/>
                    <w:ind w:left="-105" w:leftChars="-50" w:right="-105" w:rightChars="-50"/>
                    <w:jc w:val="center"/>
                    <w:rPr>
                      <w:rFonts w:hint="eastAsia" w:eastAsia="宋体"/>
                      <w:color w:val="auto"/>
                      <w:kern w:val="0"/>
                      <w:szCs w:val="21"/>
                      <w:lang w:eastAsia="zh-CN"/>
                    </w:rPr>
                  </w:pPr>
                  <w:r>
                    <w:rPr>
                      <w:rFonts w:hint="eastAsia"/>
                      <w:color w:val="auto"/>
                      <w:kern w:val="0"/>
                      <w:szCs w:val="21"/>
                      <w:lang w:val="en-US" w:eastAsia="zh-CN"/>
                    </w:rPr>
                    <w:t>开采</w:t>
                  </w:r>
                </w:p>
              </w:tc>
              <w:tc>
                <w:tcPr>
                  <w:tcW w:w="2176" w:type="pct"/>
                  <w:tcBorders>
                    <w:tl2br w:val="nil"/>
                    <w:tr2bl w:val="nil"/>
                  </w:tcBorders>
                  <w:vAlign w:val="center"/>
                </w:tcPr>
                <w:p w14:paraId="20A0E0E7">
                  <w:pPr>
                    <w:autoSpaceDE w:val="0"/>
                    <w:autoSpaceDN w:val="0"/>
                    <w:adjustRightInd w:val="0"/>
                    <w:snapToGrid w:val="0"/>
                    <w:jc w:val="center"/>
                    <w:rPr>
                      <w:rFonts w:hint="eastAsia" w:eastAsia="宋体"/>
                      <w:color w:val="auto"/>
                      <w:kern w:val="0"/>
                      <w:szCs w:val="21"/>
                      <w:lang w:eastAsia="zh-CN"/>
                    </w:rPr>
                  </w:pPr>
                  <w:r>
                    <w:rPr>
                      <w:rFonts w:hint="eastAsia"/>
                      <w:color w:val="auto"/>
                      <w:kern w:val="0"/>
                      <w:szCs w:val="21"/>
                    </w:rPr>
                    <w:t>根据矿体的开采技术条件，应采取合理的开采顺序、开采方法，做到贫富兼采，未采厚弃薄、采富弃贫</w:t>
                  </w:r>
                  <w:r>
                    <w:rPr>
                      <w:rFonts w:hint="eastAsia"/>
                      <w:color w:val="auto"/>
                      <w:kern w:val="0"/>
                      <w:szCs w:val="21"/>
                      <w:lang w:eastAsia="zh-CN"/>
                    </w:rPr>
                    <w:t>。</w:t>
                  </w:r>
                </w:p>
              </w:tc>
              <w:tc>
                <w:tcPr>
                  <w:tcW w:w="1891" w:type="pct"/>
                  <w:tcBorders>
                    <w:tl2br w:val="nil"/>
                    <w:tr2bl w:val="nil"/>
                  </w:tcBorders>
                  <w:vAlign w:val="center"/>
                </w:tcPr>
                <w:p w14:paraId="399EE447">
                  <w:pPr>
                    <w:autoSpaceDE w:val="0"/>
                    <w:autoSpaceDN w:val="0"/>
                    <w:adjustRightInd w:val="0"/>
                    <w:snapToGrid w:val="0"/>
                    <w:jc w:val="center"/>
                    <w:rPr>
                      <w:color w:val="auto"/>
                      <w:kern w:val="0"/>
                      <w:szCs w:val="21"/>
                    </w:rPr>
                  </w:pPr>
                  <w:r>
                    <w:rPr>
                      <w:rFonts w:hint="eastAsia"/>
                      <w:color w:val="auto"/>
                      <w:kern w:val="0"/>
                      <w:szCs w:val="21"/>
                      <w:lang w:val="en-US" w:eastAsia="zh-CN"/>
                    </w:rPr>
                    <w:t>本项目首采区选在矿区东南部依次向西北方向推进</w:t>
                  </w:r>
                  <w:r>
                    <w:rPr>
                      <w:rFonts w:hint="eastAsia"/>
                      <w:color w:val="auto"/>
                      <w:kern w:val="0"/>
                      <w:szCs w:val="21"/>
                    </w:rPr>
                    <w:t>，</w:t>
                  </w:r>
                  <w:r>
                    <w:rPr>
                      <w:rFonts w:hint="eastAsia"/>
                      <w:color w:val="auto"/>
                      <w:kern w:val="0"/>
                      <w:szCs w:val="21"/>
                      <w:lang w:val="en-US" w:eastAsia="zh-CN"/>
                    </w:rPr>
                    <w:t>选用采用挖掘机装凿岩锤破碎方式开采，</w:t>
                  </w:r>
                  <w:r>
                    <w:rPr>
                      <w:rFonts w:hint="eastAsia"/>
                      <w:color w:val="auto"/>
                      <w:kern w:val="0"/>
                      <w:szCs w:val="21"/>
                    </w:rPr>
                    <w:t>做到</w:t>
                  </w:r>
                  <w:r>
                    <w:rPr>
                      <w:rFonts w:hint="eastAsia"/>
                      <w:color w:val="auto"/>
                      <w:kern w:val="0"/>
                      <w:szCs w:val="21"/>
                      <w:lang w:val="en-US" w:eastAsia="zh-CN"/>
                    </w:rPr>
                    <w:t>了</w:t>
                  </w:r>
                  <w:r>
                    <w:rPr>
                      <w:rFonts w:hint="eastAsia"/>
                      <w:color w:val="auto"/>
                      <w:kern w:val="0"/>
                      <w:szCs w:val="21"/>
                    </w:rPr>
                    <w:t>贫富兼采，未采厚弃薄、采富弃贫</w:t>
                  </w:r>
                </w:p>
              </w:tc>
              <w:tc>
                <w:tcPr>
                  <w:tcW w:w="377" w:type="pct"/>
                  <w:tcBorders>
                    <w:tl2br w:val="nil"/>
                    <w:tr2bl w:val="nil"/>
                  </w:tcBorders>
                  <w:vAlign w:val="center"/>
                </w:tcPr>
                <w:p w14:paraId="6D71D497">
                  <w:pPr>
                    <w:autoSpaceDE w:val="0"/>
                    <w:autoSpaceDN w:val="0"/>
                    <w:adjustRightInd w:val="0"/>
                    <w:snapToGrid w:val="0"/>
                    <w:ind w:left="-105" w:leftChars="-50" w:right="-105" w:rightChars="-50"/>
                    <w:jc w:val="center"/>
                    <w:rPr>
                      <w:color w:val="auto"/>
                      <w:kern w:val="0"/>
                      <w:szCs w:val="21"/>
                    </w:rPr>
                  </w:pPr>
                  <w:r>
                    <w:rPr>
                      <w:rFonts w:hint="eastAsia"/>
                      <w:color w:val="auto"/>
                      <w:kern w:val="0"/>
                      <w:szCs w:val="21"/>
                    </w:rPr>
                    <w:t>符合</w:t>
                  </w:r>
                </w:p>
              </w:tc>
            </w:tr>
            <w:tr w14:paraId="1EF96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4" w:type="pct"/>
                  <w:gridSpan w:val="3"/>
                  <w:vMerge w:val="continue"/>
                  <w:tcBorders>
                    <w:tl2br w:val="nil"/>
                    <w:tr2bl w:val="nil"/>
                  </w:tcBorders>
                  <w:vAlign w:val="center"/>
                </w:tcPr>
                <w:p w14:paraId="550EF53A">
                  <w:pPr>
                    <w:autoSpaceDE w:val="0"/>
                    <w:autoSpaceDN w:val="0"/>
                    <w:adjustRightInd w:val="0"/>
                    <w:snapToGrid w:val="0"/>
                    <w:jc w:val="center"/>
                    <w:rPr>
                      <w:color w:val="auto"/>
                      <w:kern w:val="0"/>
                      <w:szCs w:val="21"/>
                    </w:rPr>
                  </w:pPr>
                </w:p>
              </w:tc>
              <w:tc>
                <w:tcPr>
                  <w:tcW w:w="2176" w:type="pct"/>
                  <w:tcBorders>
                    <w:tl2br w:val="nil"/>
                    <w:tr2bl w:val="nil"/>
                  </w:tcBorders>
                  <w:vAlign w:val="center"/>
                </w:tcPr>
                <w:p w14:paraId="24034805">
                  <w:pPr>
                    <w:autoSpaceDE w:val="0"/>
                    <w:autoSpaceDN w:val="0"/>
                    <w:adjustRightInd w:val="0"/>
                    <w:snapToGrid w:val="0"/>
                    <w:ind w:left="-105" w:leftChars="-50" w:right="-105" w:rightChars="-50"/>
                    <w:jc w:val="center"/>
                    <w:rPr>
                      <w:color w:val="auto"/>
                      <w:kern w:val="0"/>
                      <w:szCs w:val="21"/>
                    </w:rPr>
                  </w:pPr>
                  <w:r>
                    <w:rPr>
                      <w:rFonts w:hint="eastAsia"/>
                      <w:color w:val="auto"/>
                      <w:kern w:val="0"/>
                      <w:szCs w:val="21"/>
                    </w:rPr>
                    <w:t>开采回采率(采收率、流体回灌率、瓶装水利用率、桶装水利用率)指标符合矿产资源合理开发利用“三率”指标要求。</w:t>
                  </w:r>
                </w:p>
              </w:tc>
              <w:tc>
                <w:tcPr>
                  <w:tcW w:w="1891" w:type="pct"/>
                  <w:tcBorders>
                    <w:tl2br w:val="nil"/>
                    <w:tr2bl w:val="nil"/>
                  </w:tcBorders>
                  <w:vAlign w:val="center"/>
                </w:tcPr>
                <w:p w14:paraId="36D8E5A0">
                  <w:pPr>
                    <w:keepNext w:val="0"/>
                    <w:keepLines w:val="0"/>
                    <w:pageBreakBefore w:val="0"/>
                    <w:widowControl w:val="0"/>
                    <w:kinsoku/>
                    <w:wordWrap/>
                    <w:overflowPunct/>
                    <w:topLinePunct w:val="0"/>
                    <w:autoSpaceDE w:val="0"/>
                    <w:autoSpaceDN w:val="0"/>
                    <w:bidi w:val="0"/>
                    <w:adjustRightInd w:val="0"/>
                    <w:snapToGrid w:val="0"/>
                    <w:ind w:left="-105" w:leftChars="-50" w:right="-105" w:rightChars="-50"/>
                    <w:jc w:val="center"/>
                    <w:textAlignment w:val="auto"/>
                    <w:rPr>
                      <w:rFonts w:hint="default" w:eastAsia="宋体"/>
                      <w:color w:val="auto"/>
                      <w:kern w:val="0"/>
                      <w:szCs w:val="21"/>
                      <w:lang w:val="en-US" w:eastAsia="zh-CN"/>
                    </w:rPr>
                  </w:pPr>
                  <w:r>
                    <w:rPr>
                      <w:rFonts w:hint="eastAsia"/>
                      <w:color w:val="auto"/>
                      <w:kern w:val="0"/>
                      <w:szCs w:val="21"/>
                      <w:lang w:val="en-US" w:eastAsia="zh-CN"/>
                    </w:rPr>
                    <w:t>本项目回采率95%，</w:t>
                  </w:r>
                  <w:r>
                    <w:rPr>
                      <w:rFonts w:hint="eastAsia"/>
                      <w:color w:val="auto"/>
                      <w:kern w:val="0"/>
                      <w:szCs w:val="21"/>
                    </w:rPr>
                    <w:t>符合矿产资源合理开发利用“三率”指标要求。</w:t>
                  </w:r>
                </w:p>
              </w:tc>
              <w:tc>
                <w:tcPr>
                  <w:tcW w:w="377" w:type="pct"/>
                  <w:tcBorders>
                    <w:tl2br w:val="nil"/>
                    <w:tr2bl w:val="nil"/>
                  </w:tcBorders>
                  <w:vAlign w:val="center"/>
                </w:tcPr>
                <w:p w14:paraId="77304957">
                  <w:pPr>
                    <w:autoSpaceDE w:val="0"/>
                    <w:autoSpaceDN w:val="0"/>
                    <w:adjustRightInd w:val="0"/>
                    <w:snapToGrid w:val="0"/>
                    <w:ind w:left="-105" w:leftChars="-50" w:right="-105" w:rightChars="-50"/>
                    <w:jc w:val="center"/>
                    <w:rPr>
                      <w:color w:val="auto"/>
                      <w:kern w:val="0"/>
                      <w:szCs w:val="21"/>
                    </w:rPr>
                  </w:pPr>
                  <w:r>
                    <w:rPr>
                      <w:rFonts w:hint="eastAsia"/>
                      <w:color w:val="auto"/>
                      <w:kern w:val="0"/>
                      <w:szCs w:val="21"/>
                    </w:rPr>
                    <w:t>符合</w:t>
                  </w:r>
                </w:p>
              </w:tc>
            </w:tr>
            <w:tr w14:paraId="4D3DD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4" w:type="pct"/>
                  <w:gridSpan w:val="3"/>
                  <w:vMerge w:val="continue"/>
                  <w:tcBorders>
                    <w:tl2br w:val="nil"/>
                    <w:tr2bl w:val="nil"/>
                  </w:tcBorders>
                  <w:vAlign w:val="center"/>
                </w:tcPr>
                <w:p w14:paraId="5A5B63CB">
                  <w:pPr>
                    <w:autoSpaceDE w:val="0"/>
                    <w:autoSpaceDN w:val="0"/>
                    <w:adjustRightInd w:val="0"/>
                    <w:snapToGrid w:val="0"/>
                    <w:jc w:val="center"/>
                    <w:rPr>
                      <w:color w:val="auto"/>
                      <w:kern w:val="0"/>
                      <w:szCs w:val="21"/>
                    </w:rPr>
                  </w:pPr>
                </w:p>
              </w:tc>
              <w:tc>
                <w:tcPr>
                  <w:tcW w:w="2176" w:type="pct"/>
                  <w:tcBorders>
                    <w:tl2br w:val="nil"/>
                    <w:tr2bl w:val="nil"/>
                  </w:tcBorders>
                  <w:vAlign w:val="center"/>
                </w:tcPr>
                <w:p w14:paraId="31873DED">
                  <w:pPr>
                    <w:autoSpaceDE w:val="0"/>
                    <w:autoSpaceDN w:val="0"/>
                    <w:adjustRightInd w:val="0"/>
                    <w:snapToGrid w:val="0"/>
                    <w:jc w:val="center"/>
                    <w:rPr>
                      <w:color w:val="auto"/>
                      <w:kern w:val="0"/>
                      <w:szCs w:val="21"/>
                    </w:rPr>
                  </w:pPr>
                  <w:r>
                    <w:rPr>
                      <w:rFonts w:hint="eastAsia"/>
                      <w:color w:val="auto"/>
                      <w:kern w:val="0"/>
                      <w:szCs w:val="21"/>
                    </w:rPr>
                    <w:t>矿山开采活动按矿产资源开发利用方案和设计实施，提高矿产资源开采效率。排土场下部地质条件稳定且避免占压可采矿产资源，并便于矿区进行环境治理和土地复垦时取用排土。</w:t>
                  </w:r>
                </w:p>
              </w:tc>
              <w:tc>
                <w:tcPr>
                  <w:tcW w:w="1891" w:type="pct"/>
                  <w:tcBorders>
                    <w:tl2br w:val="nil"/>
                    <w:tr2bl w:val="nil"/>
                  </w:tcBorders>
                  <w:vAlign w:val="center"/>
                </w:tcPr>
                <w:p w14:paraId="4E019074">
                  <w:pPr>
                    <w:autoSpaceDE w:val="0"/>
                    <w:autoSpaceDN w:val="0"/>
                    <w:adjustRightInd w:val="0"/>
                    <w:snapToGrid w:val="0"/>
                    <w:jc w:val="center"/>
                    <w:rPr>
                      <w:color w:val="auto"/>
                      <w:kern w:val="0"/>
                      <w:szCs w:val="21"/>
                    </w:rPr>
                  </w:pPr>
                  <w:r>
                    <w:rPr>
                      <w:rFonts w:hint="eastAsia"/>
                      <w:color w:val="auto"/>
                      <w:kern w:val="0"/>
                      <w:szCs w:val="21"/>
                      <w:lang w:val="en-US" w:eastAsia="zh-CN"/>
                    </w:rPr>
                    <w:t>本项目</w:t>
                  </w:r>
                  <w:r>
                    <w:rPr>
                      <w:rFonts w:hint="eastAsia"/>
                      <w:color w:val="auto"/>
                      <w:kern w:val="0"/>
                      <w:szCs w:val="21"/>
                    </w:rPr>
                    <w:t>开采活动</w:t>
                  </w:r>
                  <w:r>
                    <w:rPr>
                      <w:rFonts w:hint="eastAsia"/>
                      <w:color w:val="auto"/>
                      <w:kern w:val="0"/>
                      <w:szCs w:val="21"/>
                      <w:lang w:val="en-US" w:eastAsia="zh-CN"/>
                    </w:rPr>
                    <w:t>严格</w:t>
                  </w:r>
                  <w:r>
                    <w:rPr>
                      <w:rFonts w:hint="eastAsia"/>
                      <w:color w:val="auto"/>
                      <w:kern w:val="0"/>
                      <w:szCs w:val="21"/>
                    </w:rPr>
                    <w:t>按矿产资源开发利用方案和设计实施，排土场下部地质条件稳定且</w:t>
                  </w:r>
                  <w:r>
                    <w:rPr>
                      <w:rFonts w:hint="eastAsia"/>
                      <w:color w:val="auto"/>
                      <w:kern w:val="0"/>
                      <w:szCs w:val="21"/>
                      <w:lang w:val="en-US" w:eastAsia="zh-CN"/>
                    </w:rPr>
                    <w:t>未</w:t>
                  </w:r>
                  <w:r>
                    <w:rPr>
                      <w:rFonts w:hint="eastAsia"/>
                      <w:color w:val="auto"/>
                      <w:kern w:val="0"/>
                      <w:szCs w:val="21"/>
                    </w:rPr>
                    <w:t>占压可采矿产资源，便于矿区进行环境治理和土地复垦时取用排土。</w:t>
                  </w:r>
                </w:p>
              </w:tc>
              <w:tc>
                <w:tcPr>
                  <w:tcW w:w="377" w:type="pct"/>
                  <w:tcBorders>
                    <w:tl2br w:val="nil"/>
                    <w:tr2bl w:val="nil"/>
                  </w:tcBorders>
                  <w:vAlign w:val="center"/>
                </w:tcPr>
                <w:p w14:paraId="1759EA57">
                  <w:pPr>
                    <w:autoSpaceDE w:val="0"/>
                    <w:autoSpaceDN w:val="0"/>
                    <w:adjustRightInd w:val="0"/>
                    <w:snapToGrid w:val="0"/>
                    <w:ind w:left="-105" w:leftChars="-50" w:right="-105" w:rightChars="-50"/>
                    <w:jc w:val="center"/>
                    <w:rPr>
                      <w:color w:val="auto"/>
                      <w:kern w:val="0"/>
                      <w:szCs w:val="21"/>
                    </w:rPr>
                  </w:pPr>
                  <w:r>
                    <w:rPr>
                      <w:rFonts w:hint="eastAsia"/>
                      <w:color w:val="auto"/>
                      <w:kern w:val="0"/>
                      <w:szCs w:val="21"/>
                    </w:rPr>
                    <w:t>符合</w:t>
                  </w:r>
                </w:p>
              </w:tc>
            </w:tr>
            <w:tr w14:paraId="4F13D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4" w:type="pct"/>
                  <w:gridSpan w:val="3"/>
                  <w:vMerge w:val="continue"/>
                  <w:tcBorders>
                    <w:tl2br w:val="nil"/>
                    <w:tr2bl w:val="nil"/>
                  </w:tcBorders>
                  <w:vAlign w:val="center"/>
                </w:tcPr>
                <w:p w14:paraId="76DFD96F">
                  <w:pPr>
                    <w:autoSpaceDE w:val="0"/>
                    <w:autoSpaceDN w:val="0"/>
                    <w:adjustRightInd w:val="0"/>
                    <w:snapToGrid w:val="0"/>
                    <w:jc w:val="center"/>
                    <w:rPr>
                      <w:color w:val="auto"/>
                      <w:kern w:val="0"/>
                      <w:szCs w:val="21"/>
                    </w:rPr>
                  </w:pPr>
                </w:p>
              </w:tc>
              <w:tc>
                <w:tcPr>
                  <w:tcW w:w="2176" w:type="pct"/>
                  <w:tcBorders>
                    <w:tl2br w:val="nil"/>
                    <w:tr2bl w:val="nil"/>
                  </w:tcBorders>
                  <w:vAlign w:val="center"/>
                </w:tcPr>
                <w:p w14:paraId="43B924EA">
                  <w:pPr>
                    <w:autoSpaceDE w:val="0"/>
                    <w:autoSpaceDN w:val="0"/>
                    <w:adjustRightInd w:val="0"/>
                    <w:snapToGrid w:val="0"/>
                    <w:jc w:val="center"/>
                    <w:rPr>
                      <w:color w:val="auto"/>
                      <w:kern w:val="0"/>
                      <w:szCs w:val="21"/>
                    </w:rPr>
                  </w:pPr>
                  <w:r>
                    <w:rPr>
                      <w:rFonts w:hint="eastAsia"/>
                      <w:color w:val="auto"/>
                      <w:kern w:val="0"/>
                      <w:szCs w:val="21"/>
                    </w:rPr>
                    <w:t>露天开采坚持采剥并举、剥离先行的原则，宜采用剥离一排土一</w:t>
                  </w:r>
                  <w:r>
                    <w:rPr>
                      <w:rFonts w:hint="eastAsia"/>
                      <w:color w:val="auto"/>
                      <w:kern w:val="0"/>
                      <w:szCs w:val="21"/>
                      <w:lang w:val="en-US" w:eastAsia="zh-CN"/>
                    </w:rPr>
                    <w:t>开采</w:t>
                  </w:r>
                  <w:r>
                    <w:rPr>
                      <w:rFonts w:hint="eastAsia"/>
                      <w:color w:val="auto"/>
                      <w:kern w:val="0"/>
                      <w:szCs w:val="21"/>
                    </w:rPr>
                    <w:t>一生态修复一体化技术。合理制定采排计划，剥离物宜尽早实现内排。</w:t>
                  </w:r>
                </w:p>
              </w:tc>
              <w:tc>
                <w:tcPr>
                  <w:tcW w:w="1891" w:type="pct"/>
                  <w:tcBorders>
                    <w:tl2br w:val="nil"/>
                    <w:tr2bl w:val="nil"/>
                  </w:tcBorders>
                  <w:vAlign w:val="center"/>
                </w:tcPr>
                <w:p w14:paraId="1A4AD05B">
                  <w:pPr>
                    <w:autoSpaceDE w:val="0"/>
                    <w:autoSpaceDN w:val="0"/>
                    <w:adjustRightInd w:val="0"/>
                    <w:snapToGrid w:val="0"/>
                    <w:jc w:val="center"/>
                    <w:rPr>
                      <w:rFonts w:hint="default" w:eastAsia="宋体"/>
                      <w:color w:val="auto"/>
                      <w:kern w:val="0"/>
                      <w:szCs w:val="21"/>
                      <w:lang w:val="en-US" w:eastAsia="zh-CN"/>
                    </w:rPr>
                  </w:pPr>
                  <w:r>
                    <w:rPr>
                      <w:rFonts w:hint="eastAsia"/>
                      <w:color w:val="auto"/>
                      <w:kern w:val="0"/>
                      <w:szCs w:val="21"/>
                      <w:lang w:val="en-US" w:eastAsia="zh-CN"/>
                    </w:rPr>
                    <w:t>本项目</w:t>
                  </w:r>
                  <w:r>
                    <w:rPr>
                      <w:rFonts w:hint="eastAsia"/>
                      <w:color w:val="auto"/>
                      <w:kern w:val="0"/>
                      <w:szCs w:val="21"/>
                    </w:rPr>
                    <w:t>开采坚持采剥并举、剥离先行的原则，外剥离产生的废土废石运至排土场堆排；内剥离产生的</w:t>
                  </w:r>
                  <w:r>
                    <w:rPr>
                      <w:rFonts w:hint="eastAsia"/>
                      <w:color w:val="auto"/>
                      <w:kern w:val="0"/>
                      <w:szCs w:val="21"/>
                      <w:lang w:val="en-US" w:eastAsia="zh-CN"/>
                    </w:rPr>
                    <w:t>大块</w:t>
                  </w:r>
                  <w:r>
                    <w:rPr>
                      <w:rFonts w:hint="eastAsia"/>
                      <w:color w:val="auto"/>
                      <w:kern w:val="0"/>
                      <w:szCs w:val="21"/>
                    </w:rPr>
                    <w:t>碎矿石运送至本项目配套工业场地中石料加工生产线破碎成不同粒径的碎石进行销售</w:t>
                  </w:r>
                  <w:r>
                    <w:rPr>
                      <w:rFonts w:hint="eastAsia"/>
                      <w:color w:val="auto"/>
                      <w:kern w:val="0"/>
                      <w:szCs w:val="21"/>
                      <w:lang w:eastAsia="zh-CN"/>
                    </w:rPr>
                    <w:t>，</w:t>
                  </w:r>
                  <w:r>
                    <w:rPr>
                      <w:rFonts w:hint="eastAsia"/>
                      <w:color w:val="auto"/>
                      <w:kern w:val="0"/>
                      <w:szCs w:val="21"/>
                      <w:lang w:val="en-US" w:eastAsia="zh-CN"/>
                    </w:rPr>
                    <w:t>小块碎石直接销售</w:t>
                  </w:r>
                  <w:r>
                    <w:rPr>
                      <w:rFonts w:hint="eastAsia"/>
                      <w:color w:val="auto"/>
                      <w:kern w:val="0"/>
                      <w:szCs w:val="21"/>
                    </w:rPr>
                    <w:t>。</w:t>
                  </w:r>
                  <w:r>
                    <w:rPr>
                      <w:rFonts w:hint="eastAsia"/>
                      <w:color w:val="auto"/>
                      <w:kern w:val="0"/>
                      <w:szCs w:val="21"/>
                      <w:lang w:val="en-US" w:eastAsia="zh-CN"/>
                    </w:rPr>
                    <w:t>按照“边开采、边治理”的要求进行生态修复。</w:t>
                  </w:r>
                </w:p>
              </w:tc>
              <w:tc>
                <w:tcPr>
                  <w:tcW w:w="377" w:type="pct"/>
                  <w:tcBorders>
                    <w:tl2br w:val="nil"/>
                    <w:tr2bl w:val="nil"/>
                  </w:tcBorders>
                  <w:vAlign w:val="center"/>
                </w:tcPr>
                <w:p w14:paraId="39257AF4">
                  <w:pPr>
                    <w:autoSpaceDE w:val="0"/>
                    <w:autoSpaceDN w:val="0"/>
                    <w:adjustRightInd w:val="0"/>
                    <w:snapToGrid w:val="0"/>
                    <w:ind w:left="-105" w:leftChars="-50" w:right="-105" w:rightChars="-50"/>
                    <w:jc w:val="center"/>
                    <w:rPr>
                      <w:color w:val="auto"/>
                      <w:kern w:val="0"/>
                      <w:szCs w:val="21"/>
                    </w:rPr>
                  </w:pPr>
                  <w:r>
                    <w:rPr>
                      <w:rFonts w:hint="eastAsia"/>
                      <w:color w:val="auto"/>
                      <w:kern w:val="0"/>
                      <w:szCs w:val="21"/>
                    </w:rPr>
                    <w:t>符合</w:t>
                  </w:r>
                </w:p>
              </w:tc>
            </w:tr>
            <w:tr w14:paraId="4352B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4" w:type="pct"/>
                  <w:gridSpan w:val="3"/>
                  <w:vMerge w:val="continue"/>
                  <w:tcBorders>
                    <w:tl2br w:val="nil"/>
                    <w:tr2bl w:val="nil"/>
                  </w:tcBorders>
                  <w:vAlign w:val="center"/>
                </w:tcPr>
                <w:p w14:paraId="7028D2C6">
                  <w:pPr>
                    <w:autoSpaceDE w:val="0"/>
                    <w:autoSpaceDN w:val="0"/>
                    <w:adjustRightInd w:val="0"/>
                    <w:snapToGrid w:val="0"/>
                    <w:ind w:left="-105" w:leftChars="-50" w:right="-105" w:rightChars="-50"/>
                    <w:jc w:val="center"/>
                    <w:rPr>
                      <w:color w:val="auto"/>
                      <w:kern w:val="0"/>
                      <w:szCs w:val="21"/>
                    </w:rPr>
                  </w:pPr>
                </w:p>
              </w:tc>
              <w:tc>
                <w:tcPr>
                  <w:tcW w:w="2176" w:type="pct"/>
                  <w:tcBorders>
                    <w:tl2br w:val="nil"/>
                    <w:tr2bl w:val="nil"/>
                  </w:tcBorders>
                  <w:vAlign w:val="center"/>
                </w:tcPr>
                <w:p w14:paraId="6BECDE18">
                  <w:pPr>
                    <w:autoSpaceDE w:val="0"/>
                    <w:autoSpaceDN w:val="0"/>
                    <w:adjustRightInd w:val="0"/>
                    <w:snapToGrid w:val="0"/>
                    <w:ind w:left="-105" w:leftChars="-50" w:right="-105" w:rightChars="-50"/>
                    <w:jc w:val="center"/>
                    <w:rPr>
                      <w:color w:val="auto"/>
                      <w:kern w:val="0"/>
                      <w:szCs w:val="21"/>
                    </w:rPr>
                  </w:pPr>
                  <w:r>
                    <w:rPr>
                      <w:rFonts w:hint="eastAsia"/>
                      <w:color w:val="auto"/>
                      <w:kern w:val="0"/>
                      <w:szCs w:val="21"/>
                    </w:rPr>
                    <w:t>露天开采遵循自上而下的开采顺序，分台阶开采。台阶高度、台阶坡面角、最终边坡角和工作平台宽度符合设计要求。</w:t>
                  </w:r>
                </w:p>
              </w:tc>
              <w:tc>
                <w:tcPr>
                  <w:tcW w:w="1891" w:type="pct"/>
                  <w:tcBorders>
                    <w:tl2br w:val="nil"/>
                    <w:tr2bl w:val="nil"/>
                  </w:tcBorders>
                  <w:vAlign w:val="center"/>
                </w:tcPr>
                <w:p w14:paraId="6123DE18">
                  <w:pPr>
                    <w:autoSpaceDE w:val="0"/>
                    <w:autoSpaceDN w:val="0"/>
                    <w:adjustRightInd w:val="0"/>
                    <w:snapToGrid w:val="0"/>
                    <w:jc w:val="center"/>
                    <w:rPr>
                      <w:color w:val="auto"/>
                      <w:kern w:val="0"/>
                      <w:szCs w:val="21"/>
                    </w:rPr>
                  </w:pPr>
                  <w:r>
                    <w:rPr>
                      <w:rFonts w:hint="eastAsia"/>
                      <w:color w:val="auto"/>
                      <w:kern w:val="0"/>
                      <w:szCs w:val="21"/>
                      <w:lang w:val="en-US" w:eastAsia="zh-CN"/>
                    </w:rPr>
                    <w:t>本项目</w:t>
                  </w:r>
                  <w:r>
                    <w:rPr>
                      <w:rFonts w:hint="eastAsia"/>
                      <w:color w:val="auto"/>
                      <w:kern w:val="0"/>
                      <w:szCs w:val="21"/>
                    </w:rPr>
                    <w:t>开采遵循自上而下的开采顺序，分台阶开采。台阶高度、台阶坡面角、最终边坡角和工作平台宽度</w:t>
                  </w:r>
                  <w:r>
                    <w:rPr>
                      <w:rFonts w:hint="eastAsia"/>
                      <w:color w:val="auto"/>
                      <w:kern w:val="0"/>
                      <w:szCs w:val="21"/>
                      <w:lang w:val="en-US" w:eastAsia="zh-CN"/>
                    </w:rPr>
                    <w:t>按</w:t>
                  </w:r>
                  <w:r>
                    <w:rPr>
                      <w:rFonts w:hint="eastAsia"/>
                      <w:color w:val="auto"/>
                      <w:kern w:val="0"/>
                      <w:szCs w:val="21"/>
                    </w:rPr>
                    <w:t>设计</w:t>
                  </w:r>
                  <w:r>
                    <w:rPr>
                      <w:rFonts w:hint="eastAsia"/>
                      <w:color w:val="auto"/>
                      <w:kern w:val="0"/>
                      <w:szCs w:val="21"/>
                      <w:lang w:val="en-US" w:eastAsia="zh-CN"/>
                    </w:rPr>
                    <w:t>进行</w:t>
                  </w:r>
                  <w:r>
                    <w:rPr>
                      <w:rFonts w:hint="eastAsia"/>
                      <w:color w:val="auto"/>
                      <w:kern w:val="0"/>
                      <w:szCs w:val="21"/>
                    </w:rPr>
                    <w:t>。</w:t>
                  </w:r>
                </w:p>
              </w:tc>
              <w:tc>
                <w:tcPr>
                  <w:tcW w:w="377" w:type="pct"/>
                  <w:tcBorders>
                    <w:tl2br w:val="nil"/>
                    <w:tr2bl w:val="nil"/>
                  </w:tcBorders>
                  <w:vAlign w:val="center"/>
                </w:tcPr>
                <w:p w14:paraId="4B5668A0">
                  <w:pPr>
                    <w:autoSpaceDE w:val="0"/>
                    <w:autoSpaceDN w:val="0"/>
                    <w:adjustRightInd w:val="0"/>
                    <w:snapToGrid w:val="0"/>
                    <w:ind w:left="-105" w:leftChars="-50" w:right="-105" w:rightChars="-50"/>
                    <w:jc w:val="center"/>
                    <w:rPr>
                      <w:color w:val="auto"/>
                      <w:kern w:val="0"/>
                      <w:szCs w:val="21"/>
                    </w:rPr>
                  </w:pPr>
                  <w:r>
                    <w:rPr>
                      <w:rFonts w:hint="eastAsia"/>
                      <w:color w:val="auto"/>
                      <w:kern w:val="0"/>
                      <w:szCs w:val="21"/>
                    </w:rPr>
                    <w:t>符合</w:t>
                  </w:r>
                </w:p>
              </w:tc>
            </w:tr>
            <w:tr w14:paraId="66E7A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4" w:type="pct"/>
                  <w:gridSpan w:val="3"/>
                  <w:vMerge w:val="restart"/>
                  <w:tcBorders>
                    <w:tl2br w:val="nil"/>
                    <w:tr2bl w:val="nil"/>
                  </w:tcBorders>
                  <w:vAlign w:val="center"/>
                </w:tcPr>
                <w:p w14:paraId="370B4472">
                  <w:pPr>
                    <w:autoSpaceDE w:val="0"/>
                    <w:autoSpaceDN w:val="0"/>
                    <w:adjustRightInd w:val="0"/>
                    <w:snapToGrid w:val="0"/>
                    <w:ind w:left="-105" w:leftChars="-50" w:right="-105" w:rightChars="-50"/>
                    <w:jc w:val="center"/>
                    <w:rPr>
                      <w:rFonts w:hint="eastAsia"/>
                      <w:color w:val="auto"/>
                      <w:kern w:val="0"/>
                      <w:szCs w:val="21"/>
                    </w:rPr>
                  </w:pPr>
                  <w:r>
                    <w:rPr>
                      <w:rFonts w:hint="eastAsia"/>
                      <w:color w:val="auto"/>
                      <w:kern w:val="0"/>
                      <w:szCs w:val="21"/>
                    </w:rPr>
                    <w:t>资源</w:t>
                  </w:r>
                </w:p>
                <w:p w14:paraId="15A15A4F">
                  <w:pPr>
                    <w:autoSpaceDE w:val="0"/>
                    <w:autoSpaceDN w:val="0"/>
                    <w:adjustRightInd w:val="0"/>
                    <w:snapToGrid w:val="0"/>
                    <w:ind w:left="-105" w:leftChars="-50" w:right="-105" w:rightChars="-50"/>
                    <w:jc w:val="center"/>
                    <w:rPr>
                      <w:color w:val="auto"/>
                      <w:kern w:val="0"/>
                      <w:szCs w:val="21"/>
                    </w:rPr>
                  </w:pPr>
                  <w:r>
                    <w:rPr>
                      <w:rFonts w:hint="eastAsia"/>
                      <w:color w:val="auto"/>
                      <w:kern w:val="0"/>
                      <w:szCs w:val="21"/>
                      <w:lang w:val="en-US" w:eastAsia="zh-CN"/>
                    </w:rPr>
                    <w:t>利用</w:t>
                  </w:r>
                </w:p>
              </w:tc>
              <w:tc>
                <w:tcPr>
                  <w:tcW w:w="2176" w:type="pct"/>
                  <w:tcBorders>
                    <w:tl2br w:val="nil"/>
                    <w:tr2bl w:val="nil"/>
                  </w:tcBorders>
                  <w:vAlign w:val="center"/>
                </w:tcPr>
                <w:p w14:paraId="122848DF">
                  <w:pPr>
                    <w:autoSpaceDE w:val="0"/>
                    <w:autoSpaceDN w:val="0"/>
                    <w:adjustRightInd w:val="0"/>
                    <w:snapToGrid w:val="0"/>
                    <w:jc w:val="center"/>
                    <w:rPr>
                      <w:color w:val="auto"/>
                      <w:kern w:val="0"/>
                      <w:szCs w:val="21"/>
                    </w:rPr>
                  </w:pPr>
                  <w:r>
                    <w:rPr>
                      <w:rFonts w:hint="eastAsia"/>
                      <w:color w:val="auto"/>
                      <w:kern w:val="0"/>
                      <w:szCs w:val="21"/>
                    </w:rPr>
                    <w:t>在经济合理的情况下，主要矿产及共伴生矿产得到充分利用。主要矿产分质加工、优质优用，共伴生矿产综合利用率指标符合矿产资源合理开发利用“三率”指标要求，计算方法应符合附录A的相关规定。</w:t>
                  </w:r>
                </w:p>
              </w:tc>
              <w:tc>
                <w:tcPr>
                  <w:tcW w:w="1891" w:type="pct"/>
                  <w:tcBorders>
                    <w:tl2br w:val="nil"/>
                    <w:tr2bl w:val="nil"/>
                  </w:tcBorders>
                  <w:vAlign w:val="center"/>
                </w:tcPr>
                <w:p w14:paraId="7C1D8B5B">
                  <w:pPr>
                    <w:autoSpaceDE w:val="0"/>
                    <w:autoSpaceDN w:val="0"/>
                    <w:adjustRightInd w:val="0"/>
                    <w:snapToGrid w:val="0"/>
                    <w:jc w:val="center"/>
                    <w:rPr>
                      <w:rFonts w:hint="eastAsia" w:eastAsia="宋体"/>
                      <w:color w:val="auto"/>
                      <w:kern w:val="0"/>
                      <w:szCs w:val="21"/>
                      <w:lang w:val="en-US" w:eastAsia="zh-CN"/>
                    </w:rPr>
                  </w:pPr>
                  <w:r>
                    <w:rPr>
                      <w:rFonts w:hint="eastAsia"/>
                      <w:color w:val="auto"/>
                      <w:kern w:val="0"/>
                      <w:szCs w:val="21"/>
                      <w:lang w:val="en-US" w:eastAsia="zh-CN"/>
                    </w:rPr>
                    <w:t>不涉及。</w:t>
                  </w:r>
                </w:p>
              </w:tc>
              <w:tc>
                <w:tcPr>
                  <w:tcW w:w="377" w:type="pct"/>
                  <w:tcBorders>
                    <w:tl2br w:val="nil"/>
                    <w:tr2bl w:val="nil"/>
                  </w:tcBorders>
                  <w:vAlign w:val="center"/>
                </w:tcPr>
                <w:p w14:paraId="092BB704">
                  <w:pPr>
                    <w:autoSpaceDE w:val="0"/>
                    <w:autoSpaceDN w:val="0"/>
                    <w:adjustRightInd w:val="0"/>
                    <w:snapToGrid w:val="0"/>
                    <w:ind w:left="-105" w:leftChars="-50" w:right="-105" w:rightChars="-50"/>
                    <w:jc w:val="center"/>
                    <w:rPr>
                      <w:color w:val="auto"/>
                      <w:kern w:val="0"/>
                      <w:szCs w:val="21"/>
                    </w:rPr>
                  </w:pPr>
                  <w:r>
                    <w:rPr>
                      <w:rFonts w:hint="eastAsia"/>
                      <w:color w:val="auto"/>
                      <w:kern w:val="0"/>
                      <w:szCs w:val="21"/>
                    </w:rPr>
                    <w:t>符合</w:t>
                  </w:r>
                </w:p>
              </w:tc>
            </w:tr>
            <w:tr w14:paraId="05FB6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4" w:type="pct"/>
                  <w:gridSpan w:val="3"/>
                  <w:vMerge w:val="continue"/>
                  <w:tcBorders>
                    <w:tl2br w:val="nil"/>
                    <w:tr2bl w:val="nil"/>
                  </w:tcBorders>
                  <w:vAlign w:val="center"/>
                </w:tcPr>
                <w:p w14:paraId="56D38526">
                  <w:pPr>
                    <w:autoSpaceDE w:val="0"/>
                    <w:autoSpaceDN w:val="0"/>
                    <w:adjustRightInd w:val="0"/>
                    <w:snapToGrid w:val="0"/>
                    <w:jc w:val="center"/>
                    <w:rPr>
                      <w:color w:val="auto"/>
                      <w:kern w:val="0"/>
                      <w:szCs w:val="21"/>
                    </w:rPr>
                  </w:pPr>
                </w:p>
              </w:tc>
              <w:tc>
                <w:tcPr>
                  <w:tcW w:w="2176" w:type="pct"/>
                  <w:tcBorders>
                    <w:tl2br w:val="nil"/>
                    <w:tr2bl w:val="nil"/>
                  </w:tcBorders>
                  <w:vAlign w:val="center"/>
                </w:tcPr>
                <w:p w14:paraId="37832F8E">
                  <w:pPr>
                    <w:autoSpaceDE w:val="0"/>
                    <w:autoSpaceDN w:val="0"/>
                    <w:adjustRightInd w:val="0"/>
                    <w:snapToGrid w:val="0"/>
                    <w:ind w:left="-105" w:leftChars="-50" w:right="-105" w:rightChars="-50"/>
                    <w:jc w:val="center"/>
                    <w:rPr>
                      <w:color w:val="auto"/>
                      <w:kern w:val="0"/>
                      <w:szCs w:val="21"/>
                    </w:rPr>
                  </w:pPr>
                  <w:r>
                    <w:rPr>
                      <w:rFonts w:hint="eastAsia"/>
                      <w:color w:val="auto"/>
                      <w:kern w:val="0"/>
                      <w:szCs w:val="21"/>
                    </w:rPr>
                    <w:t>固体废弃物通过提取有用组分、回填、铺路、生产建材等方式进行合理处置与利用。</w:t>
                  </w:r>
                </w:p>
              </w:tc>
              <w:tc>
                <w:tcPr>
                  <w:tcW w:w="1891" w:type="pct"/>
                  <w:tcBorders>
                    <w:tl2br w:val="nil"/>
                    <w:tr2bl w:val="nil"/>
                  </w:tcBorders>
                  <w:vAlign w:val="center"/>
                </w:tcPr>
                <w:p w14:paraId="7D0B35BE">
                  <w:pPr>
                    <w:autoSpaceDE w:val="0"/>
                    <w:autoSpaceDN w:val="0"/>
                    <w:adjustRightInd w:val="0"/>
                    <w:snapToGrid w:val="0"/>
                    <w:ind w:left="-105" w:leftChars="-50" w:right="-105" w:rightChars="-50"/>
                    <w:jc w:val="center"/>
                    <w:rPr>
                      <w:color w:val="auto"/>
                      <w:kern w:val="0"/>
                      <w:szCs w:val="21"/>
                    </w:rPr>
                  </w:pPr>
                  <w:r>
                    <w:rPr>
                      <w:rFonts w:hint="eastAsia"/>
                      <w:color w:val="auto"/>
                      <w:kern w:val="0"/>
                      <w:szCs w:val="21"/>
                      <w:lang w:val="en-US" w:eastAsia="zh-CN"/>
                    </w:rPr>
                    <w:t>本项目</w:t>
                  </w:r>
                  <w:r>
                    <w:rPr>
                      <w:rFonts w:hint="eastAsia"/>
                      <w:color w:val="auto"/>
                      <w:kern w:val="0"/>
                      <w:szCs w:val="21"/>
                    </w:rPr>
                    <w:t>外剥离产生的废土废石运至排土场堆排；内剥离产生的碎矿石运送至本项目配套工业场地中石料加工生产线破碎成不同粒径的碎石进行销售。</w:t>
                  </w:r>
                </w:p>
              </w:tc>
              <w:tc>
                <w:tcPr>
                  <w:tcW w:w="377" w:type="pct"/>
                  <w:tcBorders>
                    <w:tl2br w:val="nil"/>
                    <w:tr2bl w:val="nil"/>
                  </w:tcBorders>
                  <w:vAlign w:val="center"/>
                </w:tcPr>
                <w:p w14:paraId="61479395">
                  <w:pPr>
                    <w:autoSpaceDE w:val="0"/>
                    <w:autoSpaceDN w:val="0"/>
                    <w:adjustRightInd w:val="0"/>
                    <w:snapToGrid w:val="0"/>
                    <w:ind w:left="-105" w:leftChars="-50" w:right="-105" w:rightChars="-50"/>
                    <w:jc w:val="center"/>
                    <w:rPr>
                      <w:color w:val="auto"/>
                      <w:kern w:val="0"/>
                      <w:szCs w:val="21"/>
                    </w:rPr>
                  </w:pPr>
                  <w:r>
                    <w:rPr>
                      <w:rFonts w:hint="eastAsia"/>
                      <w:color w:val="auto"/>
                      <w:kern w:val="0"/>
                      <w:szCs w:val="21"/>
                    </w:rPr>
                    <w:t>符合</w:t>
                  </w:r>
                </w:p>
              </w:tc>
            </w:tr>
            <w:tr w14:paraId="75C95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4" w:type="pct"/>
                  <w:gridSpan w:val="3"/>
                  <w:vMerge w:val="continue"/>
                  <w:tcBorders>
                    <w:tl2br w:val="nil"/>
                    <w:tr2bl w:val="nil"/>
                  </w:tcBorders>
                  <w:vAlign w:val="center"/>
                </w:tcPr>
                <w:p w14:paraId="03909769">
                  <w:pPr>
                    <w:autoSpaceDE w:val="0"/>
                    <w:autoSpaceDN w:val="0"/>
                    <w:adjustRightInd w:val="0"/>
                    <w:snapToGrid w:val="0"/>
                    <w:jc w:val="center"/>
                    <w:rPr>
                      <w:color w:val="auto"/>
                      <w:kern w:val="0"/>
                      <w:szCs w:val="21"/>
                    </w:rPr>
                  </w:pPr>
                </w:p>
              </w:tc>
              <w:tc>
                <w:tcPr>
                  <w:tcW w:w="2176" w:type="pct"/>
                  <w:tcBorders>
                    <w:tl2br w:val="nil"/>
                    <w:tr2bl w:val="nil"/>
                  </w:tcBorders>
                  <w:vAlign w:val="center"/>
                </w:tcPr>
                <w:p w14:paraId="3DAF830C">
                  <w:pPr>
                    <w:autoSpaceDE w:val="0"/>
                    <w:autoSpaceDN w:val="0"/>
                    <w:adjustRightInd w:val="0"/>
                    <w:snapToGrid w:val="0"/>
                    <w:ind w:left="-105" w:leftChars="-50" w:right="-105" w:rightChars="-50"/>
                    <w:jc w:val="center"/>
                    <w:rPr>
                      <w:color w:val="auto"/>
                      <w:kern w:val="0"/>
                      <w:szCs w:val="21"/>
                    </w:rPr>
                  </w:pPr>
                  <w:r>
                    <w:rPr>
                      <w:rFonts w:hint="eastAsia"/>
                      <w:color w:val="auto"/>
                      <w:kern w:val="0"/>
                      <w:szCs w:val="21"/>
                    </w:rPr>
                    <w:t>应制定矿井水综合利用方案，对矿井水和矿山废水进行有效处置与利用。</w:t>
                  </w:r>
                </w:p>
              </w:tc>
              <w:tc>
                <w:tcPr>
                  <w:tcW w:w="1891" w:type="pct"/>
                  <w:tcBorders>
                    <w:tl2br w:val="nil"/>
                    <w:tr2bl w:val="nil"/>
                  </w:tcBorders>
                  <w:vAlign w:val="center"/>
                </w:tcPr>
                <w:p w14:paraId="3C90B3AC">
                  <w:pPr>
                    <w:autoSpaceDE w:val="0"/>
                    <w:autoSpaceDN w:val="0"/>
                    <w:adjustRightInd w:val="0"/>
                    <w:snapToGrid w:val="0"/>
                    <w:jc w:val="center"/>
                    <w:rPr>
                      <w:rFonts w:hint="eastAsia" w:eastAsia="宋体"/>
                      <w:color w:val="auto"/>
                      <w:kern w:val="0"/>
                      <w:szCs w:val="21"/>
                      <w:lang w:val="en-US" w:eastAsia="zh-CN"/>
                    </w:rPr>
                  </w:pPr>
                  <w:r>
                    <w:rPr>
                      <w:rFonts w:hint="eastAsia"/>
                      <w:color w:val="auto"/>
                      <w:kern w:val="0"/>
                      <w:szCs w:val="21"/>
                      <w:lang w:val="en-US" w:eastAsia="zh-CN"/>
                    </w:rPr>
                    <w:t>不涉及。</w:t>
                  </w:r>
                </w:p>
              </w:tc>
              <w:tc>
                <w:tcPr>
                  <w:tcW w:w="377" w:type="pct"/>
                  <w:tcBorders>
                    <w:tl2br w:val="nil"/>
                    <w:tr2bl w:val="nil"/>
                  </w:tcBorders>
                  <w:vAlign w:val="center"/>
                </w:tcPr>
                <w:p w14:paraId="0BC6B727">
                  <w:pPr>
                    <w:autoSpaceDE w:val="0"/>
                    <w:autoSpaceDN w:val="0"/>
                    <w:adjustRightInd w:val="0"/>
                    <w:snapToGrid w:val="0"/>
                    <w:ind w:left="-105" w:leftChars="-50" w:right="-105" w:rightChars="-50"/>
                    <w:jc w:val="center"/>
                    <w:rPr>
                      <w:color w:val="auto"/>
                      <w:kern w:val="0"/>
                      <w:szCs w:val="21"/>
                    </w:rPr>
                  </w:pPr>
                  <w:r>
                    <w:rPr>
                      <w:rFonts w:hint="eastAsia"/>
                      <w:color w:val="auto"/>
                      <w:kern w:val="0"/>
                      <w:szCs w:val="21"/>
                    </w:rPr>
                    <w:t>符合</w:t>
                  </w:r>
                </w:p>
              </w:tc>
            </w:tr>
            <w:tr w14:paraId="601D0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9" w:type="pct"/>
                  <w:vMerge w:val="restart"/>
                  <w:tcBorders>
                    <w:tl2br w:val="nil"/>
                    <w:tr2bl w:val="nil"/>
                  </w:tcBorders>
                  <w:vAlign w:val="center"/>
                </w:tcPr>
                <w:p w14:paraId="1C4FADE2">
                  <w:pPr>
                    <w:autoSpaceDE w:val="0"/>
                    <w:autoSpaceDN w:val="0"/>
                    <w:adjustRightInd w:val="0"/>
                    <w:snapToGrid w:val="0"/>
                    <w:jc w:val="center"/>
                    <w:rPr>
                      <w:color w:val="auto"/>
                      <w:kern w:val="0"/>
                      <w:szCs w:val="21"/>
                    </w:rPr>
                  </w:pPr>
                  <w:r>
                    <w:rPr>
                      <w:rFonts w:hint="eastAsia"/>
                      <w:color w:val="auto"/>
                      <w:kern w:val="0"/>
                      <w:szCs w:val="21"/>
                    </w:rPr>
                    <w:t>绿色低碳</w:t>
                  </w:r>
                </w:p>
              </w:tc>
              <w:tc>
                <w:tcPr>
                  <w:tcW w:w="284" w:type="pct"/>
                  <w:gridSpan w:val="2"/>
                  <w:tcBorders>
                    <w:tl2br w:val="nil"/>
                    <w:tr2bl w:val="nil"/>
                  </w:tcBorders>
                  <w:vAlign w:val="center"/>
                </w:tcPr>
                <w:p w14:paraId="0E9CD009">
                  <w:pPr>
                    <w:autoSpaceDE w:val="0"/>
                    <w:autoSpaceDN w:val="0"/>
                    <w:adjustRightInd w:val="0"/>
                    <w:snapToGrid w:val="0"/>
                    <w:ind w:left="-105" w:leftChars="-50" w:right="-105" w:rightChars="-50"/>
                    <w:jc w:val="center"/>
                    <w:rPr>
                      <w:color w:val="auto"/>
                      <w:kern w:val="0"/>
                      <w:szCs w:val="21"/>
                    </w:rPr>
                  </w:pPr>
                  <w:r>
                    <w:rPr>
                      <w:rFonts w:hint="eastAsia"/>
                      <w:color w:val="auto"/>
                      <w:kern w:val="0"/>
                      <w:szCs w:val="21"/>
                    </w:rPr>
                    <w:t>节约集约用地</w:t>
                  </w:r>
                </w:p>
              </w:tc>
              <w:tc>
                <w:tcPr>
                  <w:tcW w:w="2176" w:type="pct"/>
                  <w:tcBorders>
                    <w:tl2br w:val="nil"/>
                    <w:tr2bl w:val="nil"/>
                  </w:tcBorders>
                  <w:vAlign w:val="center"/>
                </w:tcPr>
                <w:p w14:paraId="0FD5C670">
                  <w:pPr>
                    <w:autoSpaceDE w:val="0"/>
                    <w:autoSpaceDN w:val="0"/>
                    <w:adjustRightInd w:val="0"/>
                    <w:snapToGrid w:val="0"/>
                    <w:jc w:val="center"/>
                    <w:rPr>
                      <w:rFonts w:hint="eastAsia"/>
                      <w:color w:val="auto"/>
                      <w:kern w:val="0"/>
                      <w:szCs w:val="21"/>
                    </w:rPr>
                  </w:pPr>
                  <w:r>
                    <w:rPr>
                      <w:rFonts w:hint="eastAsia"/>
                      <w:color w:val="auto"/>
                      <w:kern w:val="0"/>
                      <w:szCs w:val="21"/>
                    </w:rPr>
                    <w:t>矿山用地按照节约集约用地</w:t>
                  </w:r>
                  <w:r>
                    <w:rPr>
                      <w:rFonts w:hint="eastAsia"/>
                      <w:color w:val="auto"/>
                      <w:kern w:val="0"/>
                      <w:szCs w:val="21"/>
                      <w:lang w:eastAsia="zh-CN"/>
                    </w:rPr>
                    <w:t>原则</w:t>
                  </w:r>
                  <w:r>
                    <w:rPr>
                      <w:rFonts w:hint="eastAsia"/>
                      <w:color w:val="auto"/>
                      <w:kern w:val="0"/>
                      <w:szCs w:val="21"/>
                    </w:rPr>
                    <w:t>进行优化配置和科学利用，充分利用荒地、劣地，少占耕地，满足</w:t>
                  </w:r>
                </w:p>
                <w:p w14:paraId="2D441122">
                  <w:pPr>
                    <w:autoSpaceDE w:val="0"/>
                    <w:autoSpaceDN w:val="0"/>
                    <w:adjustRightInd w:val="0"/>
                    <w:snapToGrid w:val="0"/>
                    <w:jc w:val="center"/>
                    <w:rPr>
                      <w:color w:val="auto"/>
                      <w:kern w:val="0"/>
                      <w:szCs w:val="21"/>
                    </w:rPr>
                  </w:pPr>
                  <w:r>
                    <w:rPr>
                      <w:rFonts w:hint="eastAsia"/>
                      <w:color w:val="auto"/>
                      <w:kern w:val="0"/>
                      <w:szCs w:val="21"/>
                    </w:rPr>
                    <w:t>工业用地控制指标及节地评价的要求。</w:t>
                  </w:r>
                </w:p>
              </w:tc>
              <w:tc>
                <w:tcPr>
                  <w:tcW w:w="1891" w:type="pct"/>
                  <w:tcBorders>
                    <w:tl2br w:val="nil"/>
                    <w:tr2bl w:val="nil"/>
                  </w:tcBorders>
                  <w:vAlign w:val="center"/>
                </w:tcPr>
                <w:p w14:paraId="70CE0A52">
                  <w:pPr>
                    <w:autoSpaceDE w:val="0"/>
                    <w:autoSpaceDN w:val="0"/>
                    <w:adjustRightInd w:val="0"/>
                    <w:snapToGrid w:val="0"/>
                    <w:ind w:left="-105" w:leftChars="-50" w:right="-105" w:rightChars="-50"/>
                    <w:jc w:val="center"/>
                    <w:rPr>
                      <w:rFonts w:hint="eastAsia" w:eastAsia="宋体"/>
                      <w:color w:val="auto"/>
                      <w:kern w:val="0"/>
                      <w:szCs w:val="21"/>
                      <w:lang w:val="en-US" w:eastAsia="zh-CN"/>
                    </w:rPr>
                  </w:pPr>
                  <w:r>
                    <w:rPr>
                      <w:rFonts w:hint="eastAsia"/>
                      <w:color w:val="auto"/>
                      <w:kern w:val="0"/>
                      <w:szCs w:val="21"/>
                      <w:lang w:val="en-US" w:eastAsia="zh-CN"/>
                    </w:rPr>
                    <w:t>本项目不占用耕地。</w:t>
                  </w:r>
                </w:p>
              </w:tc>
              <w:tc>
                <w:tcPr>
                  <w:tcW w:w="377" w:type="pct"/>
                  <w:tcBorders>
                    <w:tl2br w:val="nil"/>
                    <w:tr2bl w:val="nil"/>
                  </w:tcBorders>
                  <w:vAlign w:val="center"/>
                </w:tcPr>
                <w:p w14:paraId="3CFB41C5">
                  <w:pPr>
                    <w:autoSpaceDE w:val="0"/>
                    <w:autoSpaceDN w:val="0"/>
                    <w:adjustRightInd w:val="0"/>
                    <w:snapToGrid w:val="0"/>
                    <w:ind w:left="-105" w:leftChars="-50" w:right="-105" w:rightChars="-50"/>
                    <w:jc w:val="center"/>
                    <w:rPr>
                      <w:color w:val="auto"/>
                      <w:kern w:val="0"/>
                      <w:szCs w:val="21"/>
                    </w:rPr>
                  </w:pPr>
                  <w:r>
                    <w:rPr>
                      <w:rFonts w:hint="eastAsia"/>
                      <w:color w:val="auto"/>
                      <w:kern w:val="0"/>
                      <w:szCs w:val="21"/>
                    </w:rPr>
                    <w:t>符合</w:t>
                  </w:r>
                </w:p>
              </w:tc>
            </w:tr>
            <w:tr w14:paraId="1D806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9" w:type="pct"/>
                  <w:vMerge w:val="continue"/>
                  <w:tcBorders>
                    <w:tl2br w:val="nil"/>
                    <w:tr2bl w:val="nil"/>
                  </w:tcBorders>
                  <w:vAlign w:val="center"/>
                </w:tcPr>
                <w:p w14:paraId="7BF88FA5">
                  <w:pPr>
                    <w:autoSpaceDE w:val="0"/>
                    <w:autoSpaceDN w:val="0"/>
                    <w:adjustRightInd w:val="0"/>
                    <w:snapToGrid w:val="0"/>
                    <w:jc w:val="center"/>
                    <w:rPr>
                      <w:color w:val="auto"/>
                      <w:kern w:val="0"/>
                      <w:szCs w:val="21"/>
                    </w:rPr>
                  </w:pPr>
                </w:p>
              </w:tc>
              <w:tc>
                <w:tcPr>
                  <w:tcW w:w="284" w:type="pct"/>
                  <w:gridSpan w:val="2"/>
                  <w:vMerge w:val="restart"/>
                  <w:tcBorders>
                    <w:tl2br w:val="nil"/>
                    <w:tr2bl w:val="nil"/>
                  </w:tcBorders>
                  <w:vAlign w:val="center"/>
                </w:tcPr>
                <w:p w14:paraId="7FCCABB1">
                  <w:pPr>
                    <w:autoSpaceDE w:val="0"/>
                    <w:autoSpaceDN w:val="0"/>
                    <w:adjustRightInd w:val="0"/>
                    <w:snapToGrid w:val="0"/>
                    <w:ind w:left="-105" w:leftChars="-50" w:right="-105" w:rightChars="-50"/>
                    <w:jc w:val="center"/>
                    <w:rPr>
                      <w:color w:val="auto"/>
                      <w:kern w:val="0"/>
                      <w:szCs w:val="21"/>
                    </w:rPr>
                  </w:pPr>
                  <w:r>
                    <w:rPr>
                      <w:rFonts w:hint="eastAsia"/>
                      <w:color w:val="auto"/>
                      <w:kern w:val="0"/>
                      <w:szCs w:val="21"/>
                    </w:rPr>
                    <w:t>源头预防</w:t>
                  </w:r>
                </w:p>
              </w:tc>
              <w:tc>
                <w:tcPr>
                  <w:tcW w:w="2176" w:type="pct"/>
                  <w:tcBorders>
                    <w:tl2br w:val="nil"/>
                    <w:tr2bl w:val="nil"/>
                  </w:tcBorders>
                  <w:vAlign w:val="center"/>
                </w:tcPr>
                <w:p w14:paraId="39F986C4">
                  <w:pPr>
                    <w:autoSpaceDE w:val="0"/>
                    <w:autoSpaceDN w:val="0"/>
                    <w:adjustRightInd w:val="0"/>
                    <w:snapToGrid w:val="0"/>
                    <w:jc w:val="center"/>
                    <w:rPr>
                      <w:color w:val="auto"/>
                      <w:kern w:val="0"/>
                      <w:szCs w:val="21"/>
                    </w:rPr>
                  </w:pPr>
                  <w:r>
                    <w:rPr>
                      <w:rFonts w:hint="eastAsia"/>
                      <w:color w:val="auto"/>
                      <w:kern w:val="0"/>
                      <w:szCs w:val="21"/>
                    </w:rPr>
                    <w:t>矿区及周边地下水具备使用功能的，其环境状况应达到相关功能限值要求，存在人为因素导致地下水不满足相关功能要求时，应按照HJ25.6的要求开展地下水污染风险管控修复。</w:t>
                  </w:r>
                </w:p>
              </w:tc>
              <w:tc>
                <w:tcPr>
                  <w:tcW w:w="1891" w:type="pct"/>
                  <w:tcBorders>
                    <w:tl2br w:val="nil"/>
                    <w:tr2bl w:val="nil"/>
                  </w:tcBorders>
                  <w:vAlign w:val="center"/>
                </w:tcPr>
                <w:p w14:paraId="0A2F6759">
                  <w:pPr>
                    <w:autoSpaceDE w:val="0"/>
                    <w:autoSpaceDN w:val="0"/>
                    <w:adjustRightInd w:val="0"/>
                    <w:snapToGrid w:val="0"/>
                    <w:jc w:val="center"/>
                    <w:rPr>
                      <w:rFonts w:hint="default" w:eastAsia="宋体"/>
                      <w:color w:val="auto"/>
                      <w:kern w:val="0"/>
                      <w:szCs w:val="21"/>
                      <w:lang w:val="en-US" w:eastAsia="zh-CN"/>
                    </w:rPr>
                  </w:pPr>
                  <w:r>
                    <w:rPr>
                      <w:rFonts w:hint="eastAsia"/>
                      <w:color w:val="auto"/>
                      <w:kern w:val="0"/>
                      <w:szCs w:val="21"/>
                      <w:lang w:val="en-US" w:eastAsia="zh-CN"/>
                    </w:rPr>
                    <w:t>不涉及。</w:t>
                  </w:r>
                </w:p>
              </w:tc>
              <w:tc>
                <w:tcPr>
                  <w:tcW w:w="377" w:type="pct"/>
                  <w:tcBorders>
                    <w:tl2br w:val="nil"/>
                    <w:tr2bl w:val="nil"/>
                  </w:tcBorders>
                  <w:vAlign w:val="center"/>
                </w:tcPr>
                <w:p w14:paraId="3FAF1D20">
                  <w:pPr>
                    <w:autoSpaceDE w:val="0"/>
                    <w:autoSpaceDN w:val="0"/>
                    <w:adjustRightInd w:val="0"/>
                    <w:snapToGrid w:val="0"/>
                    <w:ind w:left="-105" w:leftChars="-50" w:right="-105" w:rightChars="-50"/>
                    <w:jc w:val="center"/>
                    <w:rPr>
                      <w:color w:val="auto"/>
                      <w:kern w:val="0"/>
                      <w:szCs w:val="21"/>
                    </w:rPr>
                  </w:pPr>
                  <w:r>
                    <w:rPr>
                      <w:rFonts w:hint="eastAsia"/>
                      <w:color w:val="auto"/>
                      <w:kern w:val="0"/>
                      <w:szCs w:val="21"/>
                    </w:rPr>
                    <w:t>符合</w:t>
                  </w:r>
                </w:p>
              </w:tc>
            </w:tr>
            <w:tr w14:paraId="3DF7A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9" w:type="pct"/>
                  <w:vMerge w:val="continue"/>
                  <w:tcBorders>
                    <w:tl2br w:val="nil"/>
                    <w:tr2bl w:val="nil"/>
                  </w:tcBorders>
                  <w:vAlign w:val="center"/>
                </w:tcPr>
                <w:p w14:paraId="4FB2A163">
                  <w:pPr>
                    <w:autoSpaceDE w:val="0"/>
                    <w:autoSpaceDN w:val="0"/>
                    <w:adjustRightInd w:val="0"/>
                    <w:snapToGrid w:val="0"/>
                    <w:jc w:val="center"/>
                    <w:rPr>
                      <w:color w:val="auto"/>
                      <w:kern w:val="0"/>
                      <w:szCs w:val="21"/>
                    </w:rPr>
                  </w:pPr>
                </w:p>
              </w:tc>
              <w:tc>
                <w:tcPr>
                  <w:tcW w:w="284" w:type="pct"/>
                  <w:gridSpan w:val="2"/>
                  <w:vMerge w:val="continue"/>
                  <w:tcBorders>
                    <w:tl2br w:val="nil"/>
                    <w:tr2bl w:val="nil"/>
                  </w:tcBorders>
                  <w:vAlign w:val="center"/>
                </w:tcPr>
                <w:p w14:paraId="24BDF4F7">
                  <w:pPr>
                    <w:autoSpaceDE w:val="0"/>
                    <w:autoSpaceDN w:val="0"/>
                    <w:adjustRightInd w:val="0"/>
                    <w:snapToGrid w:val="0"/>
                    <w:ind w:left="-105" w:leftChars="-50" w:right="-105" w:rightChars="-50"/>
                    <w:jc w:val="center"/>
                    <w:rPr>
                      <w:rFonts w:hint="eastAsia"/>
                      <w:color w:val="auto"/>
                      <w:kern w:val="0"/>
                      <w:szCs w:val="21"/>
                    </w:rPr>
                  </w:pPr>
                </w:p>
              </w:tc>
              <w:tc>
                <w:tcPr>
                  <w:tcW w:w="2176" w:type="pct"/>
                  <w:tcBorders>
                    <w:tl2br w:val="nil"/>
                    <w:tr2bl w:val="nil"/>
                  </w:tcBorders>
                  <w:vAlign w:val="center"/>
                </w:tcPr>
                <w:p w14:paraId="51C07848">
                  <w:pPr>
                    <w:autoSpaceDE w:val="0"/>
                    <w:autoSpaceDN w:val="0"/>
                    <w:adjustRightInd w:val="0"/>
                    <w:snapToGrid w:val="0"/>
                    <w:jc w:val="center"/>
                    <w:rPr>
                      <w:color w:val="auto"/>
                      <w:kern w:val="0"/>
                      <w:szCs w:val="21"/>
                    </w:rPr>
                  </w:pPr>
                  <w:r>
                    <w:rPr>
                      <w:rFonts w:hint="eastAsia"/>
                      <w:color w:val="auto"/>
                      <w:kern w:val="0"/>
                      <w:szCs w:val="21"/>
                    </w:rPr>
                    <w:t>加强源头预防，采取有效措施防止对土壤、地下水等环境造成影响。出现酸性岩石排水的矿山，应采取有价金属回收、雨水导排、补给控制、矿山回填等措施，降低酸性岩石排水造成环境影响。</w:t>
                  </w:r>
                  <w:r>
                    <w:rPr>
                      <w:rFonts w:hint="eastAsia"/>
                      <w:color w:val="auto"/>
                      <w:kern w:val="0"/>
                      <w:szCs w:val="21"/>
                      <w:lang w:eastAsia="zh-CN"/>
                    </w:rPr>
                    <w:t>列入</w:t>
                  </w:r>
                  <w:r>
                    <w:rPr>
                      <w:rFonts w:hint="eastAsia"/>
                      <w:color w:val="auto"/>
                      <w:kern w:val="0"/>
                      <w:szCs w:val="21"/>
                    </w:rPr>
                    <w:t>土壤污染重点监管单位的矿山，定期对重点区域、重点设施开展隐患排查，土壤和地下水监测符合HJ1209规定的要求。</w:t>
                  </w:r>
                </w:p>
              </w:tc>
              <w:tc>
                <w:tcPr>
                  <w:tcW w:w="1891" w:type="pct"/>
                  <w:tcBorders>
                    <w:tl2br w:val="nil"/>
                    <w:tr2bl w:val="nil"/>
                  </w:tcBorders>
                  <w:vAlign w:val="center"/>
                </w:tcPr>
                <w:p w14:paraId="51E66FDB">
                  <w:pPr>
                    <w:autoSpaceDE w:val="0"/>
                    <w:autoSpaceDN w:val="0"/>
                    <w:adjustRightInd w:val="0"/>
                    <w:snapToGrid w:val="0"/>
                    <w:jc w:val="center"/>
                    <w:rPr>
                      <w:rFonts w:hint="eastAsia" w:eastAsia="宋体"/>
                      <w:color w:val="auto"/>
                      <w:kern w:val="0"/>
                      <w:szCs w:val="21"/>
                      <w:lang w:val="en-US" w:eastAsia="zh-CN"/>
                    </w:rPr>
                  </w:pPr>
                  <w:r>
                    <w:rPr>
                      <w:rFonts w:hint="eastAsia"/>
                      <w:color w:val="auto"/>
                      <w:kern w:val="0"/>
                      <w:szCs w:val="21"/>
                      <w:lang w:val="en-US" w:eastAsia="zh-CN"/>
                    </w:rPr>
                    <w:t>不涉及</w:t>
                  </w:r>
                </w:p>
              </w:tc>
              <w:tc>
                <w:tcPr>
                  <w:tcW w:w="377" w:type="pct"/>
                  <w:tcBorders>
                    <w:tl2br w:val="nil"/>
                    <w:tr2bl w:val="nil"/>
                  </w:tcBorders>
                  <w:vAlign w:val="center"/>
                </w:tcPr>
                <w:p w14:paraId="2754C3F2">
                  <w:pPr>
                    <w:autoSpaceDE w:val="0"/>
                    <w:autoSpaceDN w:val="0"/>
                    <w:adjustRightInd w:val="0"/>
                    <w:snapToGrid w:val="0"/>
                    <w:ind w:left="-105" w:leftChars="-50" w:right="-105" w:rightChars="-50"/>
                    <w:jc w:val="center"/>
                    <w:rPr>
                      <w:rFonts w:hint="eastAsia" w:eastAsia="宋体"/>
                      <w:color w:val="auto"/>
                      <w:kern w:val="0"/>
                      <w:szCs w:val="21"/>
                      <w:lang w:val="en-US" w:eastAsia="zh-CN"/>
                    </w:rPr>
                  </w:pPr>
                  <w:r>
                    <w:rPr>
                      <w:rFonts w:hint="eastAsia"/>
                      <w:color w:val="auto"/>
                      <w:kern w:val="0"/>
                      <w:szCs w:val="21"/>
                      <w:lang w:val="en-US" w:eastAsia="zh-CN"/>
                    </w:rPr>
                    <w:t>符合</w:t>
                  </w:r>
                </w:p>
              </w:tc>
            </w:tr>
            <w:tr w14:paraId="7168D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9" w:type="pct"/>
                  <w:vMerge w:val="continue"/>
                  <w:tcBorders>
                    <w:tl2br w:val="nil"/>
                    <w:tr2bl w:val="nil"/>
                  </w:tcBorders>
                  <w:vAlign w:val="center"/>
                </w:tcPr>
                <w:p w14:paraId="3BB282C6">
                  <w:pPr>
                    <w:autoSpaceDE w:val="0"/>
                    <w:autoSpaceDN w:val="0"/>
                    <w:adjustRightInd w:val="0"/>
                    <w:snapToGrid w:val="0"/>
                    <w:jc w:val="center"/>
                    <w:rPr>
                      <w:color w:val="auto"/>
                      <w:kern w:val="0"/>
                      <w:szCs w:val="21"/>
                    </w:rPr>
                  </w:pPr>
                </w:p>
              </w:tc>
              <w:tc>
                <w:tcPr>
                  <w:tcW w:w="284" w:type="pct"/>
                  <w:gridSpan w:val="2"/>
                  <w:vMerge w:val="restart"/>
                  <w:tcBorders>
                    <w:tl2br w:val="nil"/>
                    <w:tr2bl w:val="nil"/>
                  </w:tcBorders>
                  <w:vAlign w:val="center"/>
                </w:tcPr>
                <w:p w14:paraId="0F21E9A3">
                  <w:pPr>
                    <w:autoSpaceDE w:val="0"/>
                    <w:autoSpaceDN w:val="0"/>
                    <w:adjustRightInd w:val="0"/>
                    <w:snapToGrid w:val="0"/>
                    <w:ind w:left="-105" w:leftChars="-50" w:right="-105" w:rightChars="-50"/>
                    <w:jc w:val="center"/>
                    <w:rPr>
                      <w:rFonts w:hint="eastAsia"/>
                      <w:color w:val="auto"/>
                      <w:kern w:val="0"/>
                      <w:szCs w:val="21"/>
                    </w:rPr>
                  </w:pPr>
                  <w:r>
                    <w:rPr>
                      <w:rFonts w:hint="eastAsia"/>
                      <w:color w:val="auto"/>
                      <w:kern w:val="0"/>
                      <w:szCs w:val="21"/>
                    </w:rPr>
                    <w:t>废物处置与排放</w:t>
                  </w:r>
                </w:p>
              </w:tc>
              <w:tc>
                <w:tcPr>
                  <w:tcW w:w="2176" w:type="pct"/>
                  <w:tcBorders>
                    <w:tl2br w:val="nil"/>
                    <w:tr2bl w:val="nil"/>
                  </w:tcBorders>
                  <w:vAlign w:val="center"/>
                </w:tcPr>
                <w:p w14:paraId="04395C4C">
                  <w:pPr>
                    <w:autoSpaceDE w:val="0"/>
                    <w:autoSpaceDN w:val="0"/>
                    <w:adjustRightInd w:val="0"/>
                    <w:snapToGrid w:val="0"/>
                    <w:jc w:val="center"/>
                    <w:rPr>
                      <w:rFonts w:hint="eastAsia"/>
                      <w:color w:val="auto"/>
                      <w:kern w:val="0"/>
                      <w:szCs w:val="21"/>
                    </w:rPr>
                  </w:pPr>
                  <w:r>
                    <w:rPr>
                      <w:rFonts w:hint="eastAsia"/>
                      <w:color w:val="auto"/>
                      <w:kern w:val="0"/>
                      <w:szCs w:val="21"/>
                    </w:rPr>
                    <w:t>生活污水和工业废水排放符合GB8978及行业、地方标准规定的要求。</w:t>
                  </w:r>
                </w:p>
              </w:tc>
              <w:tc>
                <w:tcPr>
                  <w:tcW w:w="1891" w:type="pct"/>
                  <w:tcBorders>
                    <w:tl2br w:val="nil"/>
                    <w:tr2bl w:val="nil"/>
                  </w:tcBorders>
                  <w:vAlign w:val="center"/>
                </w:tcPr>
                <w:p w14:paraId="255998EC">
                  <w:pPr>
                    <w:keepNext w:val="0"/>
                    <w:keepLines w:val="0"/>
                    <w:pageBreakBefore w:val="0"/>
                    <w:widowControl w:val="0"/>
                    <w:kinsoku/>
                    <w:wordWrap/>
                    <w:overflowPunct/>
                    <w:topLinePunct w:val="0"/>
                    <w:autoSpaceDE w:val="0"/>
                    <w:autoSpaceDN w:val="0"/>
                    <w:bidi w:val="0"/>
                    <w:adjustRightInd w:val="0"/>
                    <w:snapToGrid w:val="0"/>
                    <w:ind w:left="-105" w:leftChars="-50" w:right="-105" w:rightChars="-50"/>
                    <w:jc w:val="center"/>
                    <w:textAlignment w:val="auto"/>
                    <w:rPr>
                      <w:rFonts w:hint="default" w:eastAsia="宋体"/>
                      <w:color w:val="auto"/>
                      <w:kern w:val="0"/>
                      <w:szCs w:val="21"/>
                      <w:lang w:val="en-US" w:eastAsia="zh-CN"/>
                    </w:rPr>
                  </w:pPr>
                  <w:r>
                    <w:rPr>
                      <w:rFonts w:hint="eastAsia"/>
                      <w:color w:val="auto"/>
                      <w:kern w:val="0"/>
                      <w:szCs w:val="21"/>
                      <w:lang w:val="en-US" w:eastAsia="zh-CN"/>
                    </w:rPr>
                    <w:t>本项目生活污水</w:t>
                  </w:r>
                  <w:r>
                    <w:rPr>
                      <w:rFonts w:hint="eastAsia"/>
                      <w:color w:val="auto"/>
                      <w:szCs w:val="21"/>
                    </w:rPr>
                    <w:t>收集至化粪池，定期清掏</w:t>
                  </w:r>
                  <w:r>
                    <w:rPr>
                      <w:rFonts w:hint="eastAsia"/>
                      <w:color w:val="auto"/>
                      <w:szCs w:val="21"/>
                      <w:lang w:eastAsia="zh-CN"/>
                    </w:rPr>
                    <w:t>；</w:t>
                  </w:r>
                  <w:r>
                    <w:rPr>
                      <w:rFonts w:hint="eastAsia"/>
                      <w:color w:val="auto"/>
                      <w:szCs w:val="21"/>
                      <w:lang w:val="en-US" w:eastAsia="zh-CN"/>
                    </w:rPr>
                    <w:t>无工业废水外排。</w:t>
                  </w:r>
                </w:p>
              </w:tc>
              <w:tc>
                <w:tcPr>
                  <w:tcW w:w="377" w:type="pct"/>
                  <w:tcBorders>
                    <w:tl2br w:val="nil"/>
                    <w:tr2bl w:val="nil"/>
                  </w:tcBorders>
                  <w:vAlign w:val="center"/>
                </w:tcPr>
                <w:p w14:paraId="27964021">
                  <w:pPr>
                    <w:autoSpaceDE w:val="0"/>
                    <w:autoSpaceDN w:val="0"/>
                    <w:adjustRightInd w:val="0"/>
                    <w:snapToGrid w:val="0"/>
                    <w:ind w:left="-105" w:leftChars="-50" w:right="-105" w:rightChars="-50"/>
                    <w:jc w:val="center"/>
                    <w:rPr>
                      <w:rFonts w:hint="eastAsia" w:eastAsia="宋体"/>
                      <w:color w:val="auto"/>
                      <w:kern w:val="0"/>
                      <w:szCs w:val="21"/>
                      <w:lang w:val="en-US" w:eastAsia="zh-CN"/>
                    </w:rPr>
                  </w:pPr>
                  <w:r>
                    <w:rPr>
                      <w:rFonts w:hint="eastAsia"/>
                      <w:color w:val="auto"/>
                      <w:kern w:val="0"/>
                      <w:szCs w:val="21"/>
                      <w:lang w:val="en-US" w:eastAsia="zh-CN"/>
                    </w:rPr>
                    <w:t>符合</w:t>
                  </w:r>
                </w:p>
              </w:tc>
            </w:tr>
            <w:tr w14:paraId="2BDED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9" w:type="pct"/>
                  <w:vMerge w:val="continue"/>
                  <w:tcBorders>
                    <w:tl2br w:val="nil"/>
                    <w:tr2bl w:val="nil"/>
                  </w:tcBorders>
                  <w:vAlign w:val="center"/>
                </w:tcPr>
                <w:p w14:paraId="08F55198">
                  <w:pPr>
                    <w:autoSpaceDE w:val="0"/>
                    <w:autoSpaceDN w:val="0"/>
                    <w:adjustRightInd w:val="0"/>
                    <w:snapToGrid w:val="0"/>
                    <w:jc w:val="center"/>
                    <w:rPr>
                      <w:color w:val="auto"/>
                      <w:kern w:val="0"/>
                      <w:szCs w:val="21"/>
                    </w:rPr>
                  </w:pPr>
                </w:p>
              </w:tc>
              <w:tc>
                <w:tcPr>
                  <w:tcW w:w="284" w:type="pct"/>
                  <w:gridSpan w:val="2"/>
                  <w:vMerge w:val="continue"/>
                  <w:tcBorders>
                    <w:tl2br w:val="nil"/>
                    <w:tr2bl w:val="nil"/>
                  </w:tcBorders>
                  <w:vAlign w:val="center"/>
                </w:tcPr>
                <w:p w14:paraId="428987B9">
                  <w:pPr>
                    <w:autoSpaceDE w:val="0"/>
                    <w:autoSpaceDN w:val="0"/>
                    <w:adjustRightInd w:val="0"/>
                    <w:snapToGrid w:val="0"/>
                    <w:ind w:left="-105" w:leftChars="-50" w:right="-105" w:rightChars="-50"/>
                    <w:jc w:val="center"/>
                    <w:rPr>
                      <w:rFonts w:hint="eastAsia"/>
                      <w:color w:val="auto"/>
                      <w:kern w:val="0"/>
                      <w:szCs w:val="21"/>
                    </w:rPr>
                  </w:pPr>
                </w:p>
              </w:tc>
              <w:tc>
                <w:tcPr>
                  <w:tcW w:w="2176" w:type="pct"/>
                  <w:tcBorders>
                    <w:tl2br w:val="nil"/>
                    <w:tr2bl w:val="nil"/>
                  </w:tcBorders>
                  <w:vAlign w:val="center"/>
                </w:tcPr>
                <w:p w14:paraId="3939240B">
                  <w:pPr>
                    <w:autoSpaceDE w:val="0"/>
                    <w:autoSpaceDN w:val="0"/>
                    <w:adjustRightInd w:val="0"/>
                    <w:snapToGrid w:val="0"/>
                    <w:jc w:val="center"/>
                    <w:rPr>
                      <w:rFonts w:hint="eastAsia"/>
                      <w:color w:val="auto"/>
                      <w:kern w:val="0"/>
                      <w:szCs w:val="21"/>
                    </w:rPr>
                  </w:pPr>
                  <w:r>
                    <w:rPr>
                      <w:rFonts w:hint="eastAsia"/>
                      <w:color w:val="auto"/>
                      <w:kern w:val="0"/>
                      <w:szCs w:val="21"/>
                    </w:rPr>
                    <w:t>矿山粉尘排放浓度、排放速率以及采样监测符合 GB16297规定的要求。固定产尘点加设除尘、捕尘设备抑制和处理采选加工过程中产生的粉尘</w:t>
                  </w:r>
                  <w:r>
                    <w:rPr>
                      <w:rFonts w:hint="eastAsia"/>
                      <w:color w:val="auto"/>
                      <w:kern w:val="0"/>
                      <w:szCs w:val="21"/>
                      <w:lang w:eastAsia="zh-CN"/>
                    </w:rPr>
                    <w:t>，</w:t>
                  </w:r>
                  <w:r>
                    <w:rPr>
                      <w:rFonts w:hint="eastAsia"/>
                      <w:color w:val="auto"/>
                      <w:kern w:val="0"/>
                      <w:szCs w:val="21"/>
                    </w:rPr>
                    <w:t>有害因素接触限值符合 GBZ2.1的规定。</w:t>
                  </w:r>
                </w:p>
              </w:tc>
              <w:tc>
                <w:tcPr>
                  <w:tcW w:w="1891" w:type="pct"/>
                  <w:tcBorders>
                    <w:tl2br w:val="nil"/>
                    <w:tr2bl w:val="nil"/>
                  </w:tcBorders>
                  <w:vAlign w:val="center"/>
                </w:tcPr>
                <w:p w14:paraId="77DF9F38">
                  <w:pPr>
                    <w:autoSpaceDE w:val="0"/>
                    <w:autoSpaceDN w:val="0"/>
                    <w:adjustRightInd w:val="0"/>
                    <w:snapToGrid w:val="0"/>
                    <w:jc w:val="center"/>
                    <w:rPr>
                      <w:rFonts w:hint="default" w:eastAsia="宋体"/>
                      <w:color w:val="auto"/>
                      <w:kern w:val="0"/>
                      <w:szCs w:val="21"/>
                      <w:lang w:val="en-US" w:eastAsia="zh-CN"/>
                    </w:rPr>
                  </w:pPr>
                  <w:r>
                    <w:rPr>
                      <w:rFonts w:hint="eastAsia"/>
                      <w:color w:val="auto"/>
                      <w:kern w:val="0"/>
                      <w:szCs w:val="21"/>
                      <w:lang w:val="en-US" w:eastAsia="zh-CN"/>
                    </w:rPr>
                    <w:t>本项目采区、排土场采用</w:t>
                  </w:r>
                  <w:r>
                    <w:rPr>
                      <w:rFonts w:hint="eastAsia"/>
                      <w:color w:val="auto"/>
                    </w:rPr>
                    <w:t>喷雾洒水抑尘</w:t>
                  </w:r>
                  <w:r>
                    <w:rPr>
                      <w:rFonts w:hint="eastAsia"/>
                      <w:color w:val="auto"/>
                      <w:lang w:eastAsia="zh-CN"/>
                    </w:rPr>
                    <w:t>，</w:t>
                  </w:r>
                  <w:r>
                    <w:rPr>
                      <w:rFonts w:hint="eastAsia"/>
                      <w:color w:val="auto"/>
                      <w:lang w:val="en-US" w:eastAsia="zh-CN"/>
                    </w:rPr>
                    <w:t>本次评价要求运营期按</w:t>
                  </w:r>
                  <w:r>
                    <w:rPr>
                      <w:rFonts w:hint="eastAsia"/>
                      <w:color w:val="auto"/>
                      <w:kern w:val="0"/>
                      <w:szCs w:val="21"/>
                    </w:rPr>
                    <w:t>GB16297规定的要求</w:t>
                  </w:r>
                  <w:r>
                    <w:rPr>
                      <w:rFonts w:hint="eastAsia"/>
                      <w:color w:val="auto"/>
                      <w:lang w:val="en-US" w:eastAsia="zh-CN"/>
                    </w:rPr>
                    <w:t>对采场、排土场无组织颗粒物进行监测。</w:t>
                  </w:r>
                </w:p>
              </w:tc>
              <w:tc>
                <w:tcPr>
                  <w:tcW w:w="377" w:type="pct"/>
                  <w:tcBorders>
                    <w:tl2br w:val="nil"/>
                    <w:tr2bl w:val="nil"/>
                  </w:tcBorders>
                  <w:vAlign w:val="center"/>
                </w:tcPr>
                <w:p w14:paraId="056615B7">
                  <w:pPr>
                    <w:autoSpaceDE w:val="0"/>
                    <w:autoSpaceDN w:val="0"/>
                    <w:adjustRightInd w:val="0"/>
                    <w:snapToGrid w:val="0"/>
                    <w:ind w:left="-105" w:leftChars="-50" w:right="-105" w:rightChars="-50"/>
                    <w:jc w:val="center"/>
                    <w:rPr>
                      <w:rFonts w:hint="eastAsia" w:eastAsia="宋体"/>
                      <w:color w:val="auto"/>
                      <w:kern w:val="0"/>
                      <w:szCs w:val="21"/>
                      <w:lang w:val="en-US" w:eastAsia="zh-CN"/>
                    </w:rPr>
                  </w:pPr>
                  <w:r>
                    <w:rPr>
                      <w:rFonts w:hint="eastAsia"/>
                      <w:color w:val="auto"/>
                      <w:kern w:val="0"/>
                      <w:szCs w:val="21"/>
                      <w:lang w:val="en-US" w:eastAsia="zh-CN"/>
                    </w:rPr>
                    <w:t>符合</w:t>
                  </w:r>
                </w:p>
              </w:tc>
            </w:tr>
            <w:tr w14:paraId="6B37C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9" w:type="pct"/>
                  <w:vMerge w:val="continue"/>
                  <w:tcBorders>
                    <w:tl2br w:val="nil"/>
                    <w:tr2bl w:val="nil"/>
                  </w:tcBorders>
                  <w:vAlign w:val="center"/>
                </w:tcPr>
                <w:p w14:paraId="78C2FE21">
                  <w:pPr>
                    <w:autoSpaceDE w:val="0"/>
                    <w:autoSpaceDN w:val="0"/>
                    <w:adjustRightInd w:val="0"/>
                    <w:snapToGrid w:val="0"/>
                    <w:jc w:val="center"/>
                    <w:rPr>
                      <w:color w:val="auto"/>
                      <w:kern w:val="0"/>
                      <w:szCs w:val="21"/>
                    </w:rPr>
                  </w:pPr>
                </w:p>
              </w:tc>
              <w:tc>
                <w:tcPr>
                  <w:tcW w:w="284" w:type="pct"/>
                  <w:gridSpan w:val="2"/>
                  <w:vMerge w:val="continue"/>
                  <w:tcBorders>
                    <w:tl2br w:val="nil"/>
                    <w:tr2bl w:val="nil"/>
                  </w:tcBorders>
                  <w:vAlign w:val="center"/>
                </w:tcPr>
                <w:p w14:paraId="3B379084">
                  <w:pPr>
                    <w:autoSpaceDE w:val="0"/>
                    <w:autoSpaceDN w:val="0"/>
                    <w:adjustRightInd w:val="0"/>
                    <w:snapToGrid w:val="0"/>
                    <w:ind w:left="-105" w:leftChars="-50" w:right="-105" w:rightChars="-50"/>
                    <w:jc w:val="center"/>
                    <w:rPr>
                      <w:rFonts w:hint="eastAsia"/>
                      <w:color w:val="auto"/>
                      <w:kern w:val="0"/>
                      <w:szCs w:val="21"/>
                    </w:rPr>
                  </w:pPr>
                </w:p>
              </w:tc>
              <w:tc>
                <w:tcPr>
                  <w:tcW w:w="2176" w:type="pct"/>
                  <w:tcBorders>
                    <w:tl2br w:val="nil"/>
                    <w:tr2bl w:val="nil"/>
                  </w:tcBorders>
                  <w:vAlign w:val="center"/>
                </w:tcPr>
                <w:p w14:paraId="5D35F761">
                  <w:pPr>
                    <w:keepNext w:val="0"/>
                    <w:keepLines w:val="0"/>
                    <w:pageBreakBefore w:val="0"/>
                    <w:widowControl w:val="0"/>
                    <w:kinsoku/>
                    <w:wordWrap/>
                    <w:overflowPunct/>
                    <w:topLinePunct w:val="0"/>
                    <w:autoSpaceDE w:val="0"/>
                    <w:autoSpaceDN w:val="0"/>
                    <w:bidi w:val="0"/>
                    <w:adjustRightInd w:val="0"/>
                    <w:snapToGrid w:val="0"/>
                    <w:ind w:left="-105" w:leftChars="-50" w:right="-105" w:rightChars="-50"/>
                    <w:jc w:val="center"/>
                    <w:textAlignment w:val="auto"/>
                    <w:rPr>
                      <w:rFonts w:hint="eastAsia"/>
                      <w:color w:val="auto"/>
                      <w:kern w:val="0"/>
                      <w:szCs w:val="21"/>
                    </w:rPr>
                  </w:pPr>
                  <w:r>
                    <w:rPr>
                      <w:rFonts w:hint="eastAsia"/>
                      <w:color w:val="auto"/>
                      <w:kern w:val="0"/>
                      <w:szCs w:val="21"/>
                    </w:rPr>
                    <w:t>大宗物料和产品运输应优先采用铁路、水路、管道或管状带式输送机等清洁运输方式</w:t>
                  </w:r>
                  <w:r>
                    <w:rPr>
                      <w:rFonts w:hint="eastAsia"/>
                      <w:color w:val="auto"/>
                      <w:kern w:val="0"/>
                      <w:szCs w:val="21"/>
                      <w:lang w:eastAsia="zh-CN"/>
                    </w:rPr>
                    <w:t>，</w:t>
                  </w:r>
                  <w:r>
                    <w:rPr>
                      <w:rFonts w:hint="eastAsia"/>
                      <w:color w:val="auto"/>
                      <w:kern w:val="0"/>
                      <w:szCs w:val="21"/>
                    </w:rPr>
                    <w:t>运输道路沿途应设置洒水降尘设备</w:t>
                  </w:r>
                  <w:r>
                    <w:rPr>
                      <w:rFonts w:hint="eastAsia"/>
                      <w:color w:val="auto"/>
                      <w:kern w:val="0"/>
                      <w:szCs w:val="21"/>
                      <w:lang w:eastAsia="zh-CN"/>
                    </w:rPr>
                    <w:t>，</w:t>
                  </w:r>
                  <w:r>
                    <w:rPr>
                      <w:rFonts w:hint="eastAsia"/>
                      <w:color w:val="auto"/>
                      <w:kern w:val="0"/>
                      <w:szCs w:val="21"/>
                    </w:rPr>
                    <w:t>地面运输车辆及运输设备应采取降尘措施。废石和矿石周转场地具有配套的防尘设施。</w:t>
                  </w:r>
                </w:p>
              </w:tc>
              <w:tc>
                <w:tcPr>
                  <w:tcW w:w="1891" w:type="pct"/>
                  <w:tcBorders>
                    <w:tl2br w:val="nil"/>
                    <w:tr2bl w:val="nil"/>
                  </w:tcBorders>
                  <w:vAlign w:val="center"/>
                </w:tcPr>
                <w:p w14:paraId="590B6EA9">
                  <w:pPr>
                    <w:autoSpaceDE w:val="0"/>
                    <w:autoSpaceDN w:val="0"/>
                    <w:adjustRightInd w:val="0"/>
                    <w:snapToGrid w:val="0"/>
                    <w:jc w:val="center"/>
                    <w:rPr>
                      <w:rFonts w:hint="default" w:eastAsia="宋体"/>
                      <w:color w:val="auto"/>
                      <w:kern w:val="0"/>
                      <w:szCs w:val="21"/>
                      <w:lang w:val="en-US" w:eastAsia="zh-CN"/>
                    </w:rPr>
                  </w:pPr>
                  <w:r>
                    <w:rPr>
                      <w:rFonts w:hint="eastAsia"/>
                      <w:color w:val="auto"/>
                      <w:kern w:val="0"/>
                      <w:szCs w:val="21"/>
                      <w:lang w:val="en-US" w:eastAsia="zh-CN"/>
                    </w:rPr>
                    <w:t>本项目物料运输量较小，不属于大宗物料和产品运输，本次评价要求物料运输车辆全部使用达到国六及以上排放标准重型载货车辆（含燃气）或新能源车辆，</w:t>
                  </w:r>
                  <w:r>
                    <w:rPr>
                      <w:rFonts w:hint="eastAsia"/>
                      <w:color w:val="auto"/>
                      <w:kern w:val="0"/>
                      <w:szCs w:val="21"/>
                    </w:rPr>
                    <w:t>运输道路沿途设置洒水降尘设备</w:t>
                  </w:r>
                  <w:r>
                    <w:rPr>
                      <w:rFonts w:hint="eastAsia"/>
                      <w:color w:val="auto"/>
                      <w:kern w:val="0"/>
                      <w:szCs w:val="21"/>
                      <w:lang w:eastAsia="zh-CN"/>
                    </w:rPr>
                    <w:t>，</w:t>
                  </w:r>
                  <w:r>
                    <w:rPr>
                      <w:rFonts w:hint="eastAsia"/>
                      <w:color w:val="auto"/>
                      <w:kern w:val="0"/>
                      <w:szCs w:val="21"/>
                      <w:lang w:val="en-US" w:eastAsia="zh-CN"/>
                    </w:rPr>
                    <w:t>采区、排土场采用</w:t>
                  </w:r>
                  <w:r>
                    <w:rPr>
                      <w:rFonts w:hint="eastAsia"/>
                      <w:color w:val="auto"/>
                    </w:rPr>
                    <w:t>喷雾洒水抑尘</w:t>
                  </w:r>
                </w:p>
              </w:tc>
              <w:tc>
                <w:tcPr>
                  <w:tcW w:w="377" w:type="pct"/>
                  <w:tcBorders>
                    <w:tl2br w:val="nil"/>
                    <w:tr2bl w:val="nil"/>
                  </w:tcBorders>
                  <w:vAlign w:val="center"/>
                </w:tcPr>
                <w:p w14:paraId="69547027">
                  <w:pPr>
                    <w:autoSpaceDE w:val="0"/>
                    <w:autoSpaceDN w:val="0"/>
                    <w:adjustRightInd w:val="0"/>
                    <w:snapToGrid w:val="0"/>
                    <w:ind w:left="-105" w:leftChars="-50" w:right="-105" w:rightChars="-50"/>
                    <w:jc w:val="center"/>
                    <w:rPr>
                      <w:rFonts w:hint="eastAsia" w:eastAsia="宋体"/>
                      <w:color w:val="auto"/>
                      <w:kern w:val="0"/>
                      <w:szCs w:val="21"/>
                      <w:lang w:val="en-US" w:eastAsia="zh-CN"/>
                    </w:rPr>
                  </w:pPr>
                  <w:r>
                    <w:rPr>
                      <w:rFonts w:hint="eastAsia"/>
                      <w:color w:val="auto"/>
                      <w:kern w:val="0"/>
                      <w:szCs w:val="21"/>
                      <w:lang w:val="en-US" w:eastAsia="zh-CN"/>
                    </w:rPr>
                    <w:t>符合</w:t>
                  </w:r>
                </w:p>
              </w:tc>
            </w:tr>
            <w:tr w14:paraId="1C241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54" w:type="pct"/>
                  <w:gridSpan w:val="3"/>
                  <w:vMerge w:val="restart"/>
                  <w:tcBorders>
                    <w:tl2br w:val="nil"/>
                    <w:tr2bl w:val="nil"/>
                  </w:tcBorders>
                  <w:vAlign w:val="center"/>
                </w:tcPr>
                <w:p w14:paraId="3A1C915F">
                  <w:pPr>
                    <w:autoSpaceDE w:val="0"/>
                    <w:autoSpaceDN w:val="0"/>
                    <w:adjustRightInd w:val="0"/>
                    <w:snapToGrid w:val="0"/>
                    <w:ind w:left="-105" w:leftChars="-50" w:right="-105" w:rightChars="-50"/>
                    <w:jc w:val="center"/>
                    <w:rPr>
                      <w:rFonts w:hint="eastAsia"/>
                      <w:color w:val="auto"/>
                      <w:kern w:val="0"/>
                      <w:szCs w:val="21"/>
                    </w:rPr>
                  </w:pPr>
                  <w:r>
                    <w:rPr>
                      <w:rFonts w:hint="eastAsia"/>
                      <w:color w:val="auto"/>
                      <w:kern w:val="0"/>
                      <w:szCs w:val="21"/>
                    </w:rPr>
                    <w:t>生态</w:t>
                  </w:r>
                </w:p>
                <w:p w14:paraId="68B79DA2">
                  <w:pPr>
                    <w:autoSpaceDE w:val="0"/>
                    <w:autoSpaceDN w:val="0"/>
                    <w:adjustRightInd w:val="0"/>
                    <w:snapToGrid w:val="0"/>
                    <w:ind w:left="-105" w:leftChars="-50" w:right="-105" w:rightChars="-50"/>
                    <w:jc w:val="center"/>
                    <w:rPr>
                      <w:color w:val="auto"/>
                      <w:kern w:val="0"/>
                      <w:szCs w:val="21"/>
                    </w:rPr>
                  </w:pPr>
                  <w:r>
                    <w:rPr>
                      <w:rFonts w:hint="eastAsia"/>
                      <w:color w:val="auto"/>
                      <w:kern w:val="0"/>
                      <w:szCs w:val="21"/>
                    </w:rPr>
                    <w:t>修复</w:t>
                  </w:r>
                </w:p>
              </w:tc>
              <w:tc>
                <w:tcPr>
                  <w:tcW w:w="2176" w:type="pct"/>
                  <w:tcBorders>
                    <w:tl2br w:val="nil"/>
                    <w:tr2bl w:val="nil"/>
                  </w:tcBorders>
                  <w:vAlign w:val="center"/>
                </w:tcPr>
                <w:p w14:paraId="0E785136">
                  <w:pPr>
                    <w:autoSpaceDE w:val="0"/>
                    <w:autoSpaceDN w:val="0"/>
                    <w:adjustRightInd w:val="0"/>
                    <w:snapToGrid w:val="0"/>
                    <w:ind w:left="-105" w:leftChars="-50" w:right="-105" w:rightChars="-50"/>
                    <w:jc w:val="center"/>
                    <w:rPr>
                      <w:rFonts w:hint="eastAsia" w:eastAsia="宋体"/>
                      <w:color w:val="auto"/>
                      <w:kern w:val="0"/>
                      <w:szCs w:val="21"/>
                      <w:lang w:eastAsia="zh-CN"/>
                    </w:rPr>
                  </w:pPr>
                  <w:r>
                    <w:rPr>
                      <w:rFonts w:hint="eastAsia"/>
                      <w:color w:val="auto"/>
                      <w:kern w:val="0"/>
                      <w:szCs w:val="21"/>
                    </w:rPr>
                    <w:t>应编制矿山地质环境保护与土地复垦方案并经审查通过。依据矿山地质环境保护与土地复垦方案应制定矿山土地复垦与生态修复年度计划并按要求进行报告。应按标准足额计提矿山地质环境治理恢复基金并规范使用，统筹用于开展矿山地质环境恢复治理和土地复垦</w:t>
                  </w:r>
                  <w:r>
                    <w:rPr>
                      <w:rFonts w:hint="eastAsia"/>
                      <w:color w:val="auto"/>
                      <w:kern w:val="0"/>
                      <w:szCs w:val="21"/>
                      <w:lang w:eastAsia="zh-CN"/>
                    </w:rPr>
                    <w:t>。</w:t>
                  </w:r>
                </w:p>
              </w:tc>
              <w:tc>
                <w:tcPr>
                  <w:tcW w:w="1891" w:type="pct"/>
                  <w:tcBorders>
                    <w:tl2br w:val="nil"/>
                    <w:tr2bl w:val="nil"/>
                  </w:tcBorders>
                  <w:vAlign w:val="center"/>
                </w:tcPr>
                <w:p w14:paraId="5069C6A8">
                  <w:pPr>
                    <w:keepNext w:val="0"/>
                    <w:keepLines w:val="0"/>
                    <w:pageBreakBefore w:val="0"/>
                    <w:widowControl w:val="0"/>
                    <w:kinsoku/>
                    <w:wordWrap/>
                    <w:overflowPunct/>
                    <w:topLinePunct w:val="0"/>
                    <w:autoSpaceDE w:val="0"/>
                    <w:autoSpaceDN w:val="0"/>
                    <w:bidi w:val="0"/>
                    <w:adjustRightInd w:val="0"/>
                    <w:snapToGrid w:val="0"/>
                    <w:ind w:left="-105" w:leftChars="-50" w:right="-105" w:rightChars="-50"/>
                    <w:jc w:val="center"/>
                    <w:textAlignment w:val="auto"/>
                    <w:rPr>
                      <w:rFonts w:hint="default" w:eastAsia="宋体"/>
                      <w:color w:val="auto"/>
                      <w:kern w:val="0"/>
                      <w:szCs w:val="21"/>
                      <w:lang w:val="en-US" w:eastAsia="zh-CN"/>
                    </w:rPr>
                  </w:pPr>
                  <w:r>
                    <w:rPr>
                      <w:rFonts w:hint="eastAsia"/>
                      <w:color w:val="auto"/>
                      <w:kern w:val="0"/>
                      <w:szCs w:val="21"/>
                    </w:rPr>
                    <w:t>本项目编制完成了《山西省盂县石鑫矿业有限公司饰面用花岗岩矿资源开发利用和矿山环境保护与土地复垦方案》</w:t>
                  </w:r>
                  <w:r>
                    <w:rPr>
                      <w:color w:val="auto"/>
                      <w:kern w:val="0"/>
                      <w:szCs w:val="21"/>
                    </w:rPr>
                    <w:t>，并取得了山西省矿业联合会下发的评审意见书（</w:t>
                  </w:r>
                  <w:r>
                    <w:rPr>
                      <w:rFonts w:hint="eastAsia"/>
                      <w:color w:val="auto"/>
                      <w:kern w:val="0"/>
                      <w:szCs w:val="21"/>
                    </w:rPr>
                    <w:t>晋矿联技审字〔2025〕163号</w:t>
                  </w:r>
                  <w:r>
                    <w:rPr>
                      <w:color w:val="auto"/>
                      <w:kern w:val="0"/>
                      <w:szCs w:val="21"/>
                    </w:rPr>
                    <w:t>）</w:t>
                  </w:r>
                  <w:r>
                    <w:rPr>
                      <w:rFonts w:hint="eastAsia"/>
                      <w:color w:val="auto"/>
                      <w:kern w:val="0"/>
                      <w:szCs w:val="21"/>
                      <w:lang w:eastAsia="zh-CN"/>
                    </w:rPr>
                    <w:t>，</w:t>
                  </w:r>
                  <w:r>
                    <w:rPr>
                      <w:rFonts w:hint="eastAsia"/>
                      <w:color w:val="auto"/>
                      <w:kern w:val="0"/>
                      <w:szCs w:val="21"/>
                      <w:lang w:val="en-US" w:eastAsia="zh-CN"/>
                    </w:rPr>
                    <w:t>严格按照要求进行</w:t>
                  </w:r>
                  <w:r>
                    <w:rPr>
                      <w:rFonts w:hint="eastAsia"/>
                      <w:color w:val="auto"/>
                      <w:kern w:val="0"/>
                      <w:szCs w:val="21"/>
                    </w:rPr>
                    <w:t>环境恢复治理和土地复垦</w:t>
                  </w:r>
                  <w:r>
                    <w:rPr>
                      <w:rFonts w:hint="eastAsia"/>
                      <w:color w:val="auto"/>
                      <w:kern w:val="0"/>
                      <w:szCs w:val="21"/>
                      <w:lang w:eastAsia="zh-CN"/>
                    </w:rPr>
                    <w:t>。</w:t>
                  </w:r>
                </w:p>
              </w:tc>
              <w:tc>
                <w:tcPr>
                  <w:tcW w:w="377" w:type="pct"/>
                  <w:tcBorders>
                    <w:tl2br w:val="nil"/>
                    <w:tr2bl w:val="nil"/>
                  </w:tcBorders>
                  <w:vAlign w:val="center"/>
                </w:tcPr>
                <w:p w14:paraId="12117CE1">
                  <w:pPr>
                    <w:autoSpaceDE w:val="0"/>
                    <w:autoSpaceDN w:val="0"/>
                    <w:adjustRightInd w:val="0"/>
                    <w:snapToGrid w:val="0"/>
                    <w:ind w:left="-105" w:leftChars="-50" w:right="-105" w:rightChars="-50"/>
                    <w:jc w:val="center"/>
                    <w:rPr>
                      <w:color w:val="auto"/>
                      <w:kern w:val="0"/>
                      <w:szCs w:val="21"/>
                    </w:rPr>
                  </w:pPr>
                  <w:r>
                    <w:rPr>
                      <w:rFonts w:hint="eastAsia"/>
                      <w:color w:val="auto"/>
                      <w:kern w:val="0"/>
                      <w:szCs w:val="21"/>
                    </w:rPr>
                    <w:t>符合</w:t>
                  </w:r>
                </w:p>
              </w:tc>
            </w:tr>
            <w:tr w14:paraId="7400E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54" w:type="pct"/>
                  <w:gridSpan w:val="3"/>
                  <w:vMerge w:val="continue"/>
                  <w:tcBorders>
                    <w:tl2br w:val="nil"/>
                    <w:tr2bl w:val="nil"/>
                  </w:tcBorders>
                  <w:vAlign w:val="center"/>
                </w:tcPr>
                <w:p w14:paraId="1020696A">
                  <w:pPr>
                    <w:autoSpaceDE w:val="0"/>
                    <w:autoSpaceDN w:val="0"/>
                    <w:adjustRightInd w:val="0"/>
                    <w:snapToGrid w:val="0"/>
                    <w:ind w:left="-105" w:leftChars="-50" w:right="-105" w:rightChars="-50"/>
                    <w:jc w:val="center"/>
                    <w:rPr>
                      <w:color w:val="auto"/>
                      <w:kern w:val="0"/>
                      <w:szCs w:val="21"/>
                    </w:rPr>
                  </w:pPr>
                </w:p>
              </w:tc>
              <w:tc>
                <w:tcPr>
                  <w:tcW w:w="2176" w:type="pct"/>
                  <w:tcBorders>
                    <w:tl2br w:val="nil"/>
                    <w:tr2bl w:val="nil"/>
                  </w:tcBorders>
                  <w:vAlign w:val="center"/>
                </w:tcPr>
                <w:p w14:paraId="721FAC7A">
                  <w:pPr>
                    <w:autoSpaceDE w:val="0"/>
                    <w:autoSpaceDN w:val="0"/>
                    <w:adjustRightInd w:val="0"/>
                    <w:snapToGrid w:val="0"/>
                    <w:ind w:left="-105" w:leftChars="-50" w:right="-105" w:rightChars="-50"/>
                    <w:jc w:val="center"/>
                    <w:rPr>
                      <w:color w:val="auto"/>
                      <w:kern w:val="0"/>
                      <w:szCs w:val="21"/>
                    </w:rPr>
                  </w:pPr>
                  <w:r>
                    <w:rPr>
                      <w:rFonts w:hint="eastAsia"/>
                      <w:color w:val="auto"/>
                      <w:kern w:val="0"/>
                      <w:szCs w:val="21"/>
                    </w:rPr>
                    <w:t>按照“边开采、边修复”要求，依据矿山地质环境保护与土地复垦方案总体部署，应制定年度计划并落实。能够分区、分期开展生态修复的矿山，应按要求分区、分期开展生态修复并及时进行阶段验收。</w:t>
                  </w:r>
                </w:p>
              </w:tc>
              <w:tc>
                <w:tcPr>
                  <w:tcW w:w="1891" w:type="pct"/>
                  <w:tcBorders>
                    <w:tl2br w:val="nil"/>
                    <w:tr2bl w:val="nil"/>
                  </w:tcBorders>
                  <w:vAlign w:val="center"/>
                </w:tcPr>
                <w:p w14:paraId="0AB49839">
                  <w:pPr>
                    <w:autoSpaceDE w:val="0"/>
                    <w:autoSpaceDN w:val="0"/>
                    <w:adjustRightInd w:val="0"/>
                    <w:snapToGrid w:val="0"/>
                    <w:ind w:left="-105" w:leftChars="-50" w:right="-105" w:rightChars="-50"/>
                    <w:jc w:val="center"/>
                    <w:rPr>
                      <w:rFonts w:hint="default" w:eastAsia="宋体"/>
                      <w:color w:val="auto"/>
                      <w:kern w:val="0"/>
                      <w:szCs w:val="21"/>
                      <w:lang w:val="en-US" w:eastAsia="zh-CN"/>
                    </w:rPr>
                  </w:pPr>
                  <w:r>
                    <w:rPr>
                      <w:rFonts w:hint="eastAsia"/>
                      <w:color w:val="auto"/>
                      <w:kern w:val="0"/>
                      <w:szCs w:val="21"/>
                      <w:lang w:val="en-US" w:eastAsia="zh-CN"/>
                    </w:rPr>
                    <w:t>已</w:t>
                  </w:r>
                  <w:r>
                    <w:rPr>
                      <w:rFonts w:hint="eastAsia"/>
                      <w:color w:val="auto"/>
                      <w:kern w:val="0"/>
                      <w:szCs w:val="21"/>
                    </w:rPr>
                    <w:t>制定年度环境保护与土地复垦计划并</w:t>
                  </w:r>
                  <w:r>
                    <w:rPr>
                      <w:rFonts w:hint="eastAsia"/>
                      <w:color w:val="auto"/>
                      <w:kern w:val="0"/>
                      <w:szCs w:val="21"/>
                      <w:lang w:val="en-US" w:eastAsia="zh-CN"/>
                    </w:rPr>
                    <w:t>严格</w:t>
                  </w:r>
                  <w:r>
                    <w:rPr>
                      <w:rFonts w:hint="eastAsia"/>
                      <w:color w:val="auto"/>
                      <w:kern w:val="0"/>
                      <w:szCs w:val="21"/>
                    </w:rPr>
                    <w:t>落实</w:t>
                  </w:r>
                </w:p>
              </w:tc>
              <w:tc>
                <w:tcPr>
                  <w:tcW w:w="377" w:type="pct"/>
                  <w:tcBorders>
                    <w:tl2br w:val="nil"/>
                    <w:tr2bl w:val="nil"/>
                  </w:tcBorders>
                  <w:vAlign w:val="center"/>
                </w:tcPr>
                <w:p w14:paraId="5702E487">
                  <w:pPr>
                    <w:autoSpaceDE w:val="0"/>
                    <w:autoSpaceDN w:val="0"/>
                    <w:adjustRightInd w:val="0"/>
                    <w:snapToGrid w:val="0"/>
                    <w:ind w:left="-105" w:leftChars="-50" w:right="-105" w:rightChars="-50"/>
                    <w:jc w:val="center"/>
                    <w:rPr>
                      <w:color w:val="auto"/>
                      <w:kern w:val="0"/>
                      <w:szCs w:val="21"/>
                    </w:rPr>
                  </w:pPr>
                  <w:r>
                    <w:rPr>
                      <w:rFonts w:hint="eastAsia"/>
                      <w:color w:val="auto"/>
                      <w:kern w:val="0"/>
                      <w:szCs w:val="21"/>
                    </w:rPr>
                    <w:t>符合</w:t>
                  </w:r>
                </w:p>
              </w:tc>
            </w:tr>
            <w:tr w14:paraId="46FBF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54" w:type="pct"/>
                  <w:gridSpan w:val="3"/>
                  <w:vMerge w:val="continue"/>
                  <w:tcBorders>
                    <w:tl2br w:val="nil"/>
                    <w:tr2bl w:val="nil"/>
                  </w:tcBorders>
                  <w:vAlign w:val="center"/>
                </w:tcPr>
                <w:p w14:paraId="2AC8927B">
                  <w:pPr>
                    <w:autoSpaceDE w:val="0"/>
                    <w:autoSpaceDN w:val="0"/>
                    <w:adjustRightInd w:val="0"/>
                    <w:snapToGrid w:val="0"/>
                    <w:ind w:left="-105" w:leftChars="-50" w:right="-105" w:rightChars="-50"/>
                    <w:jc w:val="center"/>
                    <w:rPr>
                      <w:color w:val="auto"/>
                      <w:kern w:val="0"/>
                      <w:szCs w:val="21"/>
                    </w:rPr>
                  </w:pPr>
                </w:p>
              </w:tc>
              <w:tc>
                <w:tcPr>
                  <w:tcW w:w="2176" w:type="pct"/>
                  <w:tcBorders>
                    <w:tl2br w:val="nil"/>
                    <w:tr2bl w:val="nil"/>
                  </w:tcBorders>
                  <w:vAlign w:val="center"/>
                </w:tcPr>
                <w:p w14:paraId="55CDE0E7">
                  <w:pPr>
                    <w:autoSpaceDE w:val="0"/>
                    <w:autoSpaceDN w:val="0"/>
                    <w:adjustRightInd w:val="0"/>
                    <w:snapToGrid w:val="0"/>
                    <w:jc w:val="center"/>
                    <w:rPr>
                      <w:color w:val="auto"/>
                      <w:kern w:val="0"/>
                      <w:szCs w:val="21"/>
                    </w:rPr>
                  </w:pPr>
                  <w:r>
                    <w:rPr>
                      <w:rFonts w:hint="eastAsia"/>
                      <w:color w:val="auto"/>
                      <w:kern w:val="0"/>
                      <w:szCs w:val="21"/>
                    </w:rPr>
                    <w:t>因地制宜，分类施策，在符合国土空间规划与管控要求基础上，宜林则林、宜耕则耕、宜水则水、宜建则建、宜荒则荒，对矿产资源开采损毁土地开展土地复垦和生态修复，使矿山地质环境达到安全稳定、损毁土地得到复垦利用、生态系统功能得到恢复或改善。复垦和生态修复时优先使用当地物种。</w:t>
                  </w:r>
                </w:p>
              </w:tc>
              <w:tc>
                <w:tcPr>
                  <w:tcW w:w="1891" w:type="pct"/>
                  <w:tcBorders>
                    <w:tl2br w:val="nil"/>
                    <w:tr2bl w:val="nil"/>
                  </w:tcBorders>
                  <w:vAlign w:val="center"/>
                </w:tcPr>
                <w:p w14:paraId="3BF04468">
                  <w:pPr>
                    <w:keepNext w:val="0"/>
                    <w:keepLines w:val="0"/>
                    <w:pageBreakBefore w:val="0"/>
                    <w:widowControl w:val="0"/>
                    <w:kinsoku/>
                    <w:wordWrap/>
                    <w:overflowPunct/>
                    <w:topLinePunct w:val="0"/>
                    <w:autoSpaceDE w:val="0"/>
                    <w:autoSpaceDN w:val="0"/>
                    <w:bidi w:val="0"/>
                    <w:adjustRightInd w:val="0"/>
                    <w:snapToGrid w:val="0"/>
                    <w:ind w:left="-105" w:leftChars="-50" w:right="-105" w:rightChars="-50"/>
                    <w:jc w:val="center"/>
                    <w:textAlignment w:val="auto"/>
                    <w:rPr>
                      <w:rFonts w:hint="eastAsia" w:eastAsia="宋体"/>
                      <w:color w:val="auto"/>
                      <w:kern w:val="0"/>
                      <w:szCs w:val="21"/>
                      <w:lang w:val="en-US" w:eastAsia="zh-CN"/>
                    </w:rPr>
                  </w:pPr>
                  <w:r>
                    <w:rPr>
                      <w:rFonts w:hint="eastAsia"/>
                      <w:color w:val="auto"/>
                      <w:kern w:val="0"/>
                      <w:szCs w:val="21"/>
                      <w:lang w:val="en-US" w:eastAsia="zh-CN"/>
                    </w:rPr>
                    <w:t>本项目矿区</w:t>
                  </w:r>
                  <w:r>
                    <w:rPr>
                      <w:rFonts w:hint="eastAsia"/>
                      <w:color w:val="auto"/>
                      <w:kern w:val="0"/>
                      <w:szCs w:val="21"/>
                    </w:rPr>
                    <w:t>占地类型为灌木林地、其他草地、采矿用地和工业用地</w:t>
                  </w:r>
                  <w:r>
                    <w:rPr>
                      <w:rFonts w:hint="eastAsia"/>
                      <w:color w:val="auto"/>
                      <w:kern w:val="0"/>
                      <w:szCs w:val="21"/>
                      <w:lang w:eastAsia="zh-CN"/>
                    </w:rPr>
                    <w:t>，</w:t>
                  </w:r>
                  <w:r>
                    <w:rPr>
                      <w:rFonts w:hint="eastAsia"/>
                      <w:color w:val="auto"/>
                      <w:kern w:val="0"/>
                      <w:szCs w:val="21"/>
                      <w:lang w:val="en-US" w:eastAsia="zh-CN"/>
                    </w:rPr>
                    <w:t>排土场占地类型为采矿用地，本次评价要求露天采场底平台复垦为乔木林地，露天采场台阶平台复垦为灌木林地，在边坡坡脚种植爬山虎，</w:t>
                  </w:r>
                  <w:r>
                    <w:rPr>
                      <w:rFonts w:hint="eastAsia" w:ascii="宋体" w:hAnsi="宋体" w:cs="宋体"/>
                      <w:color w:val="auto"/>
                    </w:rPr>
                    <w:t>办公生活区复垦为乔木林地，排土场平台复垦为乔木林地，排土场边坡复垦为灌木林地，</w:t>
                  </w:r>
                  <w:r>
                    <w:rPr>
                      <w:rFonts w:hint="eastAsia" w:ascii="宋体" w:hAnsi="宋体" w:cs="宋体"/>
                      <w:color w:val="auto"/>
                      <w:lang w:val="en-US" w:eastAsia="zh-CN"/>
                    </w:rPr>
                    <w:t>种植</w:t>
                  </w:r>
                  <w:r>
                    <w:rPr>
                      <w:rFonts w:hint="eastAsia"/>
                      <w:color w:val="auto"/>
                      <w:kern w:val="0"/>
                      <w:szCs w:val="21"/>
                    </w:rPr>
                    <w:t>使用当地物种</w:t>
                  </w:r>
                  <w:r>
                    <w:rPr>
                      <w:rFonts w:hint="eastAsia"/>
                      <w:color w:val="auto"/>
                      <w:kern w:val="0"/>
                      <w:szCs w:val="21"/>
                      <w:lang w:eastAsia="zh-CN"/>
                    </w:rPr>
                    <w:t>，</w:t>
                  </w:r>
                  <w:r>
                    <w:rPr>
                      <w:rFonts w:hint="eastAsia"/>
                      <w:color w:val="auto"/>
                      <w:kern w:val="0"/>
                      <w:szCs w:val="21"/>
                      <w:lang w:val="en-US" w:eastAsia="zh-CN"/>
                    </w:rPr>
                    <w:t>复垦完成后</w:t>
                  </w:r>
                  <w:r>
                    <w:rPr>
                      <w:rFonts w:hint="eastAsia"/>
                      <w:color w:val="auto"/>
                      <w:kern w:val="0"/>
                      <w:szCs w:val="21"/>
                    </w:rPr>
                    <w:t>生态系统功能得到恢复或改善</w:t>
                  </w:r>
                  <w:r>
                    <w:rPr>
                      <w:rFonts w:hint="eastAsia"/>
                      <w:color w:val="auto"/>
                      <w:kern w:val="0"/>
                      <w:szCs w:val="21"/>
                      <w:lang w:eastAsia="zh-CN"/>
                    </w:rPr>
                    <w:t>。</w:t>
                  </w:r>
                </w:p>
              </w:tc>
              <w:tc>
                <w:tcPr>
                  <w:tcW w:w="377" w:type="pct"/>
                  <w:tcBorders>
                    <w:tl2br w:val="nil"/>
                    <w:tr2bl w:val="nil"/>
                  </w:tcBorders>
                  <w:vAlign w:val="center"/>
                </w:tcPr>
                <w:p w14:paraId="317A7D75">
                  <w:pPr>
                    <w:autoSpaceDE w:val="0"/>
                    <w:autoSpaceDN w:val="0"/>
                    <w:adjustRightInd w:val="0"/>
                    <w:snapToGrid w:val="0"/>
                    <w:ind w:left="-105" w:leftChars="-50" w:right="-105" w:rightChars="-50"/>
                    <w:jc w:val="center"/>
                    <w:rPr>
                      <w:color w:val="auto"/>
                      <w:kern w:val="0"/>
                      <w:szCs w:val="21"/>
                    </w:rPr>
                  </w:pPr>
                  <w:r>
                    <w:rPr>
                      <w:rFonts w:hint="eastAsia"/>
                      <w:color w:val="auto"/>
                      <w:kern w:val="0"/>
                      <w:szCs w:val="21"/>
                    </w:rPr>
                    <w:t>符合</w:t>
                  </w:r>
                </w:p>
              </w:tc>
            </w:tr>
            <w:tr w14:paraId="49003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54" w:type="pct"/>
                  <w:gridSpan w:val="3"/>
                  <w:vMerge w:val="continue"/>
                  <w:tcBorders>
                    <w:tl2br w:val="nil"/>
                    <w:tr2bl w:val="nil"/>
                  </w:tcBorders>
                  <w:vAlign w:val="center"/>
                </w:tcPr>
                <w:p w14:paraId="4FE05A63">
                  <w:pPr>
                    <w:autoSpaceDE w:val="0"/>
                    <w:autoSpaceDN w:val="0"/>
                    <w:adjustRightInd w:val="0"/>
                    <w:snapToGrid w:val="0"/>
                    <w:ind w:left="-105" w:leftChars="-50" w:right="-105" w:rightChars="-50"/>
                    <w:jc w:val="center"/>
                    <w:rPr>
                      <w:color w:val="auto"/>
                      <w:kern w:val="0"/>
                      <w:szCs w:val="21"/>
                    </w:rPr>
                  </w:pPr>
                </w:p>
              </w:tc>
              <w:tc>
                <w:tcPr>
                  <w:tcW w:w="2176" w:type="pct"/>
                  <w:tcBorders>
                    <w:tl2br w:val="nil"/>
                    <w:tr2bl w:val="nil"/>
                  </w:tcBorders>
                  <w:vAlign w:val="center"/>
                </w:tcPr>
                <w:p w14:paraId="7D28BAC6">
                  <w:pPr>
                    <w:autoSpaceDE w:val="0"/>
                    <w:autoSpaceDN w:val="0"/>
                    <w:adjustRightInd w:val="0"/>
                    <w:snapToGrid w:val="0"/>
                    <w:jc w:val="center"/>
                    <w:rPr>
                      <w:color w:val="auto"/>
                      <w:kern w:val="0"/>
                      <w:szCs w:val="21"/>
                    </w:rPr>
                  </w:pPr>
                  <w:r>
                    <w:rPr>
                      <w:rFonts w:hint="eastAsia"/>
                      <w:color w:val="auto"/>
                      <w:kern w:val="0"/>
                      <w:szCs w:val="21"/>
                    </w:rPr>
                    <w:t>复垦为农用地的，土壤污染风险管控符合GB15618规定的要求</w:t>
                  </w:r>
                  <w:r>
                    <w:rPr>
                      <w:rFonts w:hint="eastAsia"/>
                      <w:color w:val="auto"/>
                      <w:kern w:val="0"/>
                      <w:szCs w:val="21"/>
                      <w:lang w:eastAsia="zh-CN"/>
                    </w:rPr>
                    <w:t>；</w:t>
                  </w:r>
                  <w:r>
                    <w:rPr>
                      <w:rFonts w:hint="eastAsia"/>
                      <w:color w:val="auto"/>
                      <w:kern w:val="0"/>
                      <w:szCs w:val="21"/>
                    </w:rPr>
                    <w:t>复垦为建设用地的，土壤污染风险管控符合GB 36600规定的要求。</w:t>
                  </w:r>
                </w:p>
              </w:tc>
              <w:tc>
                <w:tcPr>
                  <w:tcW w:w="1891" w:type="pct"/>
                  <w:tcBorders>
                    <w:tl2br w:val="nil"/>
                    <w:tr2bl w:val="nil"/>
                  </w:tcBorders>
                  <w:vAlign w:val="center"/>
                </w:tcPr>
                <w:p w14:paraId="4B001152">
                  <w:pPr>
                    <w:autoSpaceDE w:val="0"/>
                    <w:autoSpaceDN w:val="0"/>
                    <w:adjustRightInd w:val="0"/>
                    <w:snapToGrid w:val="0"/>
                    <w:ind w:left="-105" w:leftChars="-50" w:right="-105" w:rightChars="-50"/>
                    <w:jc w:val="center"/>
                    <w:rPr>
                      <w:rFonts w:hint="eastAsia" w:eastAsia="宋体"/>
                      <w:color w:val="auto"/>
                      <w:kern w:val="0"/>
                      <w:szCs w:val="21"/>
                      <w:lang w:val="en-US" w:eastAsia="zh-CN"/>
                    </w:rPr>
                  </w:pPr>
                  <w:r>
                    <w:rPr>
                      <w:rFonts w:hint="eastAsia"/>
                      <w:color w:val="auto"/>
                      <w:kern w:val="0"/>
                      <w:szCs w:val="21"/>
                      <w:lang w:val="en-US" w:eastAsia="zh-CN"/>
                    </w:rPr>
                    <w:t>不涉及。</w:t>
                  </w:r>
                </w:p>
              </w:tc>
              <w:tc>
                <w:tcPr>
                  <w:tcW w:w="377" w:type="pct"/>
                  <w:tcBorders>
                    <w:tl2br w:val="nil"/>
                    <w:tr2bl w:val="nil"/>
                  </w:tcBorders>
                  <w:vAlign w:val="center"/>
                </w:tcPr>
                <w:p w14:paraId="5C923D7C">
                  <w:pPr>
                    <w:autoSpaceDE w:val="0"/>
                    <w:autoSpaceDN w:val="0"/>
                    <w:adjustRightInd w:val="0"/>
                    <w:snapToGrid w:val="0"/>
                    <w:ind w:left="-105" w:leftChars="-50" w:right="-105" w:rightChars="-50"/>
                    <w:jc w:val="center"/>
                    <w:rPr>
                      <w:color w:val="auto"/>
                      <w:kern w:val="0"/>
                      <w:szCs w:val="21"/>
                    </w:rPr>
                  </w:pPr>
                  <w:r>
                    <w:rPr>
                      <w:rFonts w:hint="eastAsia"/>
                      <w:color w:val="auto"/>
                      <w:kern w:val="0"/>
                      <w:szCs w:val="21"/>
                    </w:rPr>
                    <w:t>符合</w:t>
                  </w:r>
                </w:p>
              </w:tc>
            </w:tr>
            <w:tr w14:paraId="0F4CE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76" w:type="pct"/>
                  <w:gridSpan w:val="2"/>
                  <w:vMerge w:val="restart"/>
                  <w:tcBorders>
                    <w:tl2br w:val="nil"/>
                    <w:tr2bl w:val="nil"/>
                  </w:tcBorders>
                  <w:vAlign w:val="center"/>
                </w:tcPr>
                <w:p w14:paraId="30810E55">
                  <w:pPr>
                    <w:autoSpaceDE w:val="0"/>
                    <w:autoSpaceDN w:val="0"/>
                    <w:adjustRightInd w:val="0"/>
                    <w:snapToGrid w:val="0"/>
                    <w:ind w:left="-105" w:leftChars="-50" w:right="-105" w:rightChars="-50"/>
                    <w:jc w:val="center"/>
                    <w:rPr>
                      <w:color w:val="auto"/>
                      <w:kern w:val="0"/>
                      <w:szCs w:val="21"/>
                    </w:rPr>
                  </w:pPr>
                  <w:r>
                    <w:rPr>
                      <w:rFonts w:hint="eastAsia"/>
                      <w:color w:val="auto"/>
                      <w:kern w:val="0"/>
                      <w:szCs w:val="21"/>
                    </w:rPr>
                    <w:t>科技创新与规范管理</w:t>
                  </w:r>
                </w:p>
              </w:tc>
              <w:tc>
                <w:tcPr>
                  <w:tcW w:w="277" w:type="pct"/>
                  <w:tcBorders>
                    <w:tl2br w:val="nil"/>
                    <w:tr2bl w:val="nil"/>
                  </w:tcBorders>
                  <w:vAlign w:val="center"/>
                </w:tcPr>
                <w:p w14:paraId="37F59CD4">
                  <w:pPr>
                    <w:autoSpaceDE w:val="0"/>
                    <w:autoSpaceDN w:val="0"/>
                    <w:adjustRightInd w:val="0"/>
                    <w:snapToGrid w:val="0"/>
                    <w:ind w:left="-105" w:leftChars="-50" w:right="-105" w:rightChars="-50"/>
                    <w:jc w:val="center"/>
                    <w:rPr>
                      <w:rFonts w:hint="eastAsia"/>
                      <w:color w:val="auto"/>
                      <w:kern w:val="0"/>
                      <w:szCs w:val="21"/>
                    </w:rPr>
                  </w:pPr>
                  <w:r>
                    <w:rPr>
                      <w:rFonts w:hint="eastAsia"/>
                      <w:color w:val="auto"/>
                      <w:kern w:val="0"/>
                      <w:szCs w:val="21"/>
                    </w:rPr>
                    <w:t>数字化矿山</w:t>
                  </w:r>
                </w:p>
              </w:tc>
              <w:tc>
                <w:tcPr>
                  <w:tcW w:w="2176" w:type="pct"/>
                  <w:tcBorders>
                    <w:tl2br w:val="nil"/>
                    <w:tr2bl w:val="nil"/>
                  </w:tcBorders>
                  <w:vAlign w:val="center"/>
                </w:tcPr>
                <w:p w14:paraId="508CCBF8">
                  <w:pPr>
                    <w:autoSpaceDE w:val="0"/>
                    <w:autoSpaceDN w:val="0"/>
                    <w:adjustRightInd w:val="0"/>
                    <w:snapToGrid w:val="0"/>
                    <w:jc w:val="center"/>
                    <w:rPr>
                      <w:color w:val="auto"/>
                      <w:kern w:val="0"/>
                      <w:szCs w:val="21"/>
                    </w:rPr>
                  </w:pPr>
                  <w:r>
                    <w:rPr>
                      <w:rFonts w:hint="eastAsia"/>
                      <w:color w:val="auto"/>
                      <w:kern w:val="0"/>
                      <w:szCs w:val="21"/>
                    </w:rPr>
                    <w:t>宜对矿山地质与测量、矿产资源储量管理、采矿、选矿、生态环境保护等生产经营各要素实现数字化、自动化管控。</w:t>
                  </w:r>
                </w:p>
              </w:tc>
              <w:tc>
                <w:tcPr>
                  <w:tcW w:w="1891" w:type="pct"/>
                  <w:tcBorders>
                    <w:tl2br w:val="nil"/>
                    <w:tr2bl w:val="nil"/>
                  </w:tcBorders>
                  <w:vAlign w:val="center"/>
                </w:tcPr>
                <w:p w14:paraId="4728527E">
                  <w:pPr>
                    <w:autoSpaceDE w:val="0"/>
                    <w:autoSpaceDN w:val="0"/>
                    <w:adjustRightInd w:val="0"/>
                    <w:snapToGrid w:val="0"/>
                    <w:jc w:val="center"/>
                    <w:rPr>
                      <w:rFonts w:hint="default" w:eastAsia="宋体"/>
                      <w:color w:val="auto"/>
                      <w:kern w:val="0"/>
                      <w:szCs w:val="21"/>
                      <w:lang w:val="en-US" w:eastAsia="zh-CN"/>
                    </w:rPr>
                  </w:pPr>
                  <w:r>
                    <w:rPr>
                      <w:rFonts w:hint="eastAsia"/>
                      <w:color w:val="auto"/>
                      <w:kern w:val="0"/>
                      <w:szCs w:val="21"/>
                      <w:lang w:val="en-US" w:eastAsia="zh-CN"/>
                    </w:rPr>
                    <w:t>已</w:t>
                  </w:r>
                  <w:r>
                    <w:rPr>
                      <w:rFonts w:hint="eastAsia"/>
                      <w:color w:val="auto"/>
                      <w:kern w:val="0"/>
                      <w:szCs w:val="21"/>
                    </w:rPr>
                    <w:t>对矿山地质与测量、矿产资源储量管理、采矿、选矿、生态环境保护等生产经营各要素</w:t>
                  </w:r>
                  <w:r>
                    <w:rPr>
                      <w:rFonts w:hint="eastAsia"/>
                      <w:color w:val="auto"/>
                      <w:kern w:val="0"/>
                      <w:szCs w:val="21"/>
                      <w:lang w:val="en-US" w:eastAsia="zh-CN"/>
                    </w:rPr>
                    <w:t>建立了数字化管控系统</w:t>
                  </w:r>
                </w:p>
              </w:tc>
              <w:tc>
                <w:tcPr>
                  <w:tcW w:w="377" w:type="pct"/>
                  <w:tcBorders>
                    <w:tl2br w:val="nil"/>
                    <w:tr2bl w:val="nil"/>
                  </w:tcBorders>
                  <w:vAlign w:val="center"/>
                </w:tcPr>
                <w:p w14:paraId="5301D7DC">
                  <w:pPr>
                    <w:autoSpaceDE w:val="0"/>
                    <w:autoSpaceDN w:val="0"/>
                    <w:adjustRightInd w:val="0"/>
                    <w:snapToGrid w:val="0"/>
                    <w:ind w:left="-105" w:leftChars="-50" w:right="-105" w:rightChars="-50"/>
                    <w:jc w:val="center"/>
                    <w:rPr>
                      <w:color w:val="auto"/>
                      <w:kern w:val="0"/>
                      <w:szCs w:val="21"/>
                    </w:rPr>
                  </w:pPr>
                  <w:r>
                    <w:rPr>
                      <w:rFonts w:hint="eastAsia"/>
                      <w:color w:val="auto"/>
                      <w:kern w:val="0"/>
                      <w:szCs w:val="21"/>
                    </w:rPr>
                    <w:t>符合</w:t>
                  </w:r>
                </w:p>
              </w:tc>
            </w:tr>
            <w:tr w14:paraId="2BC93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76" w:type="pct"/>
                  <w:gridSpan w:val="2"/>
                  <w:vMerge w:val="continue"/>
                  <w:tcBorders>
                    <w:tl2br w:val="nil"/>
                    <w:tr2bl w:val="nil"/>
                  </w:tcBorders>
                  <w:vAlign w:val="center"/>
                </w:tcPr>
                <w:p w14:paraId="53DA21E6">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kern w:val="0"/>
                      <w:szCs w:val="21"/>
                    </w:rPr>
                  </w:pPr>
                </w:p>
              </w:tc>
              <w:tc>
                <w:tcPr>
                  <w:tcW w:w="277" w:type="pct"/>
                  <w:vMerge w:val="restart"/>
                  <w:tcBorders>
                    <w:tl2br w:val="nil"/>
                    <w:tr2bl w:val="nil"/>
                  </w:tcBorders>
                  <w:vAlign w:val="center"/>
                </w:tcPr>
                <w:p w14:paraId="5DDBB835">
                  <w:pPr>
                    <w:keepNext w:val="0"/>
                    <w:keepLines w:val="0"/>
                    <w:pageBreakBefore w:val="0"/>
                    <w:widowControl w:val="0"/>
                    <w:kinsoku/>
                    <w:wordWrap/>
                    <w:overflowPunct/>
                    <w:topLinePunct w:val="0"/>
                    <w:autoSpaceDE w:val="0"/>
                    <w:autoSpaceDN w:val="0"/>
                    <w:bidi w:val="0"/>
                    <w:adjustRightInd w:val="0"/>
                    <w:snapToGrid w:val="0"/>
                    <w:spacing w:line="240" w:lineRule="auto"/>
                    <w:ind w:left="-105" w:leftChars="-50" w:right="-105" w:rightChars="-50" w:firstLine="0" w:firstLineChars="0"/>
                    <w:jc w:val="center"/>
                    <w:textAlignment w:val="auto"/>
                    <w:rPr>
                      <w:color w:val="auto"/>
                      <w:kern w:val="0"/>
                      <w:szCs w:val="21"/>
                    </w:rPr>
                  </w:pPr>
                  <w:r>
                    <w:rPr>
                      <w:rFonts w:hint="eastAsia"/>
                      <w:color w:val="auto"/>
                      <w:kern w:val="0"/>
                      <w:szCs w:val="21"/>
                    </w:rPr>
                    <w:t>规范管理</w:t>
                  </w:r>
                </w:p>
              </w:tc>
              <w:tc>
                <w:tcPr>
                  <w:tcW w:w="2176" w:type="pct"/>
                  <w:tcBorders>
                    <w:tl2br w:val="nil"/>
                    <w:tr2bl w:val="nil"/>
                  </w:tcBorders>
                  <w:vAlign w:val="center"/>
                </w:tcPr>
                <w:p w14:paraId="1EA85F03">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color w:val="auto"/>
                      <w:kern w:val="0"/>
                      <w:szCs w:val="21"/>
                    </w:rPr>
                  </w:pPr>
                  <w:r>
                    <w:rPr>
                      <w:rFonts w:hint="eastAsia"/>
                      <w:color w:val="auto"/>
                      <w:kern w:val="0"/>
                      <w:szCs w:val="21"/>
                    </w:rPr>
                    <w:t>企业管理规范化，应建立与绿色生产生活方式相适应的管理制度，按规定填报矿业权人勘查开采公示信息，应建立生态环境安全等</w:t>
                  </w:r>
                  <w:r>
                    <w:rPr>
                      <w:rFonts w:hint="eastAsia"/>
                      <w:color w:val="auto"/>
                      <w:kern w:val="0"/>
                      <w:szCs w:val="21"/>
                      <w:lang w:eastAsia="zh-CN"/>
                    </w:rPr>
                    <w:t>突发环境事件应急响应</w:t>
                  </w:r>
                  <w:r>
                    <w:rPr>
                      <w:rFonts w:hint="eastAsia"/>
                      <w:color w:val="auto"/>
                      <w:kern w:val="0"/>
                      <w:szCs w:val="21"/>
                    </w:rPr>
                    <w:t>机制。</w:t>
                  </w:r>
                </w:p>
              </w:tc>
              <w:tc>
                <w:tcPr>
                  <w:tcW w:w="1891" w:type="pct"/>
                  <w:tcBorders>
                    <w:tl2br w:val="nil"/>
                    <w:tr2bl w:val="nil"/>
                  </w:tcBorders>
                  <w:vAlign w:val="center"/>
                </w:tcPr>
                <w:p w14:paraId="52807550">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eastAsia="宋体"/>
                      <w:color w:val="auto"/>
                      <w:kern w:val="0"/>
                      <w:szCs w:val="21"/>
                      <w:lang w:val="en-US" w:eastAsia="zh-CN"/>
                    </w:rPr>
                  </w:pPr>
                  <w:r>
                    <w:rPr>
                      <w:rFonts w:hint="eastAsia"/>
                      <w:color w:val="auto"/>
                      <w:kern w:val="0"/>
                      <w:szCs w:val="21"/>
                      <w:lang w:val="en-US" w:eastAsia="zh-CN"/>
                    </w:rPr>
                    <w:t>已建立</w:t>
                  </w:r>
                  <w:r>
                    <w:rPr>
                      <w:rFonts w:hint="eastAsia"/>
                      <w:color w:val="auto"/>
                      <w:kern w:val="0"/>
                      <w:szCs w:val="21"/>
                    </w:rPr>
                    <w:t>与绿色生产生活方式相适应的管理制度</w:t>
                  </w:r>
                  <w:r>
                    <w:rPr>
                      <w:rFonts w:hint="eastAsia"/>
                      <w:color w:val="auto"/>
                      <w:kern w:val="0"/>
                      <w:szCs w:val="21"/>
                      <w:lang w:eastAsia="zh-CN"/>
                    </w:rPr>
                    <w:t>，按</w:t>
                  </w:r>
                  <w:r>
                    <w:rPr>
                      <w:rFonts w:hint="eastAsia"/>
                      <w:color w:val="auto"/>
                      <w:kern w:val="0"/>
                      <w:szCs w:val="21"/>
                    </w:rPr>
                    <w:t>规定填报矿业权人勘查开采公示信息</w:t>
                  </w:r>
                  <w:r>
                    <w:rPr>
                      <w:rFonts w:hint="eastAsia"/>
                      <w:color w:val="auto"/>
                      <w:kern w:val="0"/>
                      <w:szCs w:val="21"/>
                      <w:lang w:eastAsia="zh-CN"/>
                    </w:rPr>
                    <w:t>；</w:t>
                  </w:r>
                  <w:r>
                    <w:rPr>
                      <w:rFonts w:hint="eastAsia"/>
                      <w:color w:val="auto"/>
                      <w:kern w:val="0"/>
                      <w:szCs w:val="21"/>
                      <w:lang w:val="en-US" w:eastAsia="zh-CN"/>
                    </w:rPr>
                    <w:t>本次评价要求编制</w:t>
                  </w:r>
                  <w:r>
                    <w:rPr>
                      <w:rFonts w:hint="eastAsia"/>
                      <w:color w:val="auto"/>
                      <w:kern w:val="0"/>
                      <w:szCs w:val="21"/>
                    </w:rPr>
                    <w:t>生态环境突发事件应急</w:t>
                  </w:r>
                  <w:r>
                    <w:rPr>
                      <w:rFonts w:hint="eastAsia"/>
                      <w:color w:val="auto"/>
                      <w:kern w:val="0"/>
                      <w:szCs w:val="21"/>
                      <w:lang w:val="en-US" w:eastAsia="zh-CN"/>
                    </w:rPr>
                    <w:t>预案。</w:t>
                  </w:r>
                </w:p>
              </w:tc>
              <w:tc>
                <w:tcPr>
                  <w:tcW w:w="377" w:type="pct"/>
                  <w:tcBorders>
                    <w:tl2br w:val="nil"/>
                    <w:tr2bl w:val="nil"/>
                  </w:tcBorders>
                  <w:vAlign w:val="center"/>
                </w:tcPr>
                <w:p w14:paraId="56365AF2">
                  <w:pPr>
                    <w:autoSpaceDE w:val="0"/>
                    <w:autoSpaceDN w:val="0"/>
                    <w:adjustRightInd w:val="0"/>
                    <w:snapToGrid w:val="0"/>
                    <w:ind w:left="-105" w:leftChars="-50" w:right="-105" w:rightChars="-50"/>
                    <w:jc w:val="center"/>
                    <w:rPr>
                      <w:rFonts w:hint="eastAsia" w:eastAsia="宋体"/>
                      <w:color w:val="auto"/>
                      <w:kern w:val="0"/>
                      <w:szCs w:val="21"/>
                      <w:lang w:val="en-US" w:eastAsia="zh-CN"/>
                    </w:rPr>
                  </w:pPr>
                  <w:r>
                    <w:rPr>
                      <w:rFonts w:hint="eastAsia"/>
                      <w:color w:val="auto"/>
                      <w:kern w:val="0"/>
                      <w:szCs w:val="21"/>
                      <w:lang w:val="en-US" w:eastAsia="zh-CN"/>
                    </w:rPr>
                    <w:t>符合</w:t>
                  </w:r>
                </w:p>
              </w:tc>
            </w:tr>
            <w:tr w14:paraId="5C1CB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76" w:type="pct"/>
                  <w:gridSpan w:val="2"/>
                  <w:vMerge w:val="continue"/>
                  <w:tcBorders>
                    <w:tl2br w:val="nil"/>
                    <w:tr2bl w:val="nil"/>
                  </w:tcBorders>
                  <w:vAlign w:val="center"/>
                </w:tcPr>
                <w:p w14:paraId="6460736E">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kern w:val="0"/>
                      <w:szCs w:val="21"/>
                    </w:rPr>
                  </w:pPr>
                </w:p>
              </w:tc>
              <w:tc>
                <w:tcPr>
                  <w:tcW w:w="277" w:type="pct"/>
                  <w:vMerge w:val="continue"/>
                  <w:tcBorders>
                    <w:tl2br w:val="nil"/>
                    <w:tr2bl w:val="nil"/>
                  </w:tcBorders>
                  <w:vAlign w:val="center"/>
                </w:tcPr>
                <w:p w14:paraId="39436522">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kern w:val="0"/>
                      <w:szCs w:val="21"/>
                    </w:rPr>
                  </w:pPr>
                </w:p>
              </w:tc>
              <w:tc>
                <w:tcPr>
                  <w:tcW w:w="2176" w:type="pct"/>
                  <w:tcBorders>
                    <w:tl2br w:val="nil"/>
                    <w:tr2bl w:val="nil"/>
                  </w:tcBorders>
                  <w:vAlign w:val="center"/>
                </w:tcPr>
                <w:p w14:paraId="700440BE">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color w:val="auto"/>
                      <w:kern w:val="0"/>
                      <w:szCs w:val="21"/>
                    </w:rPr>
                  </w:pPr>
                  <w:r>
                    <w:rPr>
                      <w:rFonts w:hint="eastAsia"/>
                      <w:color w:val="auto"/>
                      <w:kern w:val="0"/>
                      <w:szCs w:val="21"/>
                    </w:rPr>
                    <w:t>按照绿色矿山建设的目标、任务和措施等内容，应建立考核机制并开展年度自评。</w:t>
                  </w:r>
                </w:p>
              </w:tc>
              <w:tc>
                <w:tcPr>
                  <w:tcW w:w="1891" w:type="pct"/>
                  <w:tcBorders>
                    <w:tl2br w:val="nil"/>
                    <w:tr2bl w:val="nil"/>
                  </w:tcBorders>
                  <w:vAlign w:val="center"/>
                </w:tcPr>
                <w:p w14:paraId="0D4C4E95">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eastAsia="宋体"/>
                      <w:color w:val="auto"/>
                      <w:kern w:val="0"/>
                      <w:szCs w:val="21"/>
                      <w:lang w:val="en-US" w:eastAsia="zh-CN"/>
                    </w:rPr>
                  </w:pPr>
                  <w:r>
                    <w:rPr>
                      <w:rFonts w:hint="eastAsia"/>
                      <w:color w:val="auto"/>
                      <w:kern w:val="0"/>
                      <w:szCs w:val="21"/>
                      <w:lang w:val="en-US" w:eastAsia="zh-CN"/>
                    </w:rPr>
                    <w:t>已</w:t>
                  </w:r>
                  <w:r>
                    <w:rPr>
                      <w:rFonts w:hint="eastAsia"/>
                      <w:color w:val="auto"/>
                      <w:kern w:val="0"/>
                      <w:szCs w:val="21"/>
                    </w:rPr>
                    <w:t>按照绿色矿山建设的目标、任务和措施等内容，建立</w:t>
                  </w:r>
                  <w:r>
                    <w:rPr>
                      <w:rFonts w:hint="eastAsia"/>
                      <w:color w:val="auto"/>
                      <w:kern w:val="0"/>
                      <w:szCs w:val="21"/>
                      <w:lang w:val="en-US" w:eastAsia="zh-CN"/>
                    </w:rPr>
                    <w:t>了相关的计划、</w:t>
                  </w:r>
                  <w:r>
                    <w:rPr>
                      <w:rFonts w:hint="eastAsia"/>
                      <w:color w:val="auto"/>
                      <w:kern w:val="0"/>
                      <w:szCs w:val="21"/>
                    </w:rPr>
                    <w:t>考核机制</w:t>
                  </w:r>
                  <w:r>
                    <w:rPr>
                      <w:rFonts w:hint="eastAsia"/>
                      <w:color w:val="auto"/>
                      <w:kern w:val="0"/>
                      <w:szCs w:val="21"/>
                      <w:lang w:val="en-US" w:eastAsia="zh-CN"/>
                    </w:rPr>
                    <w:t>等制度，按要求展开</w:t>
                  </w:r>
                  <w:r>
                    <w:rPr>
                      <w:rFonts w:hint="eastAsia"/>
                      <w:color w:val="auto"/>
                      <w:kern w:val="0"/>
                      <w:szCs w:val="21"/>
                    </w:rPr>
                    <w:t>年度自评。</w:t>
                  </w:r>
                </w:p>
              </w:tc>
              <w:tc>
                <w:tcPr>
                  <w:tcW w:w="377" w:type="pct"/>
                  <w:tcBorders>
                    <w:tl2br w:val="nil"/>
                    <w:tr2bl w:val="nil"/>
                  </w:tcBorders>
                  <w:vAlign w:val="center"/>
                </w:tcPr>
                <w:p w14:paraId="47B5C91E">
                  <w:pPr>
                    <w:autoSpaceDE w:val="0"/>
                    <w:autoSpaceDN w:val="0"/>
                    <w:adjustRightInd w:val="0"/>
                    <w:snapToGrid w:val="0"/>
                    <w:ind w:left="-105" w:leftChars="-50" w:right="-105" w:rightChars="-50"/>
                    <w:jc w:val="center"/>
                    <w:rPr>
                      <w:rFonts w:hint="eastAsia" w:eastAsia="宋体"/>
                      <w:color w:val="auto"/>
                      <w:kern w:val="0"/>
                      <w:szCs w:val="21"/>
                      <w:lang w:val="en-US" w:eastAsia="zh-CN"/>
                    </w:rPr>
                  </w:pPr>
                  <w:r>
                    <w:rPr>
                      <w:rFonts w:hint="eastAsia"/>
                      <w:color w:val="auto"/>
                      <w:kern w:val="0"/>
                      <w:szCs w:val="21"/>
                      <w:lang w:val="en-US" w:eastAsia="zh-CN"/>
                    </w:rPr>
                    <w:t>符合</w:t>
                  </w:r>
                </w:p>
              </w:tc>
            </w:tr>
            <w:tr w14:paraId="5B040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76" w:type="pct"/>
                  <w:gridSpan w:val="2"/>
                  <w:vMerge w:val="continue"/>
                  <w:tcBorders>
                    <w:tl2br w:val="nil"/>
                    <w:tr2bl w:val="nil"/>
                  </w:tcBorders>
                  <w:vAlign w:val="center"/>
                </w:tcPr>
                <w:p w14:paraId="144A2137">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kern w:val="0"/>
                      <w:szCs w:val="21"/>
                    </w:rPr>
                  </w:pPr>
                </w:p>
              </w:tc>
              <w:tc>
                <w:tcPr>
                  <w:tcW w:w="277" w:type="pct"/>
                  <w:vMerge w:val="continue"/>
                  <w:tcBorders>
                    <w:tl2br w:val="nil"/>
                    <w:tr2bl w:val="nil"/>
                  </w:tcBorders>
                  <w:vAlign w:val="center"/>
                </w:tcPr>
                <w:p w14:paraId="4474355C">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kern w:val="0"/>
                      <w:szCs w:val="21"/>
                    </w:rPr>
                  </w:pPr>
                </w:p>
              </w:tc>
              <w:tc>
                <w:tcPr>
                  <w:tcW w:w="2176" w:type="pct"/>
                  <w:tcBorders>
                    <w:tl2br w:val="nil"/>
                    <w:tr2bl w:val="nil"/>
                  </w:tcBorders>
                  <w:vAlign w:val="center"/>
                </w:tcPr>
                <w:p w14:paraId="5D351D2B">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color w:val="auto"/>
                      <w:kern w:val="0"/>
                      <w:szCs w:val="21"/>
                    </w:rPr>
                  </w:pPr>
                  <w:r>
                    <w:rPr>
                      <w:rFonts w:hint="eastAsia"/>
                      <w:color w:val="auto"/>
                      <w:kern w:val="0"/>
                      <w:szCs w:val="21"/>
                    </w:rPr>
                    <w:t>应建立绿色矿山管理制度，将绿色矿山建设</w:t>
                  </w:r>
                  <w:r>
                    <w:rPr>
                      <w:rFonts w:hint="eastAsia"/>
                      <w:color w:val="auto"/>
                      <w:kern w:val="0"/>
                      <w:szCs w:val="21"/>
                      <w:lang w:eastAsia="zh-CN"/>
                    </w:rPr>
                    <w:t>融入</w:t>
                  </w:r>
                  <w:r>
                    <w:rPr>
                      <w:rFonts w:hint="eastAsia"/>
                      <w:color w:val="auto"/>
                      <w:kern w:val="0"/>
                      <w:szCs w:val="21"/>
                    </w:rPr>
                    <w:t>矿山日常管理全过程，并定期开展培训。</w:t>
                  </w:r>
                </w:p>
              </w:tc>
              <w:tc>
                <w:tcPr>
                  <w:tcW w:w="1891" w:type="pct"/>
                  <w:tcBorders>
                    <w:tl2br w:val="nil"/>
                    <w:tr2bl w:val="nil"/>
                  </w:tcBorders>
                  <w:vAlign w:val="center"/>
                </w:tcPr>
                <w:p w14:paraId="1C080169">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color w:val="auto"/>
                      <w:kern w:val="0"/>
                      <w:szCs w:val="21"/>
                    </w:rPr>
                  </w:pPr>
                  <w:r>
                    <w:rPr>
                      <w:rFonts w:hint="eastAsia"/>
                      <w:color w:val="auto"/>
                      <w:kern w:val="0"/>
                      <w:szCs w:val="21"/>
                      <w:lang w:val="en-US" w:eastAsia="zh-CN"/>
                    </w:rPr>
                    <w:t>已</w:t>
                  </w:r>
                  <w:r>
                    <w:rPr>
                      <w:rFonts w:hint="eastAsia"/>
                      <w:color w:val="auto"/>
                      <w:kern w:val="0"/>
                      <w:szCs w:val="21"/>
                    </w:rPr>
                    <w:t>建立绿色矿山管理制度，并定期开展</w:t>
                  </w:r>
                  <w:r>
                    <w:rPr>
                      <w:rFonts w:hint="eastAsia"/>
                      <w:color w:val="auto"/>
                      <w:kern w:val="0"/>
                      <w:szCs w:val="21"/>
                      <w:lang w:val="en-US" w:eastAsia="zh-CN"/>
                    </w:rPr>
                    <w:t>相关</w:t>
                  </w:r>
                  <w:r>
                    <w:rPr>
                      <w:rFonts w:hint="eastAsia"/>
                      <w:color w:val="auto"/>
                      <w:kern w:val="0"/>
                      <w:szCs w:val="21"/>
                    </w:rPr>
                    <w:t>培训。</w:t>
                  </w:r>
                </w:p>
              </w:tc>
              <w:tc>
                <w:tcPr>
                  <w:tcW w:w="377" w:type="pct"/>
                  <w:tcBorders>
                    <w:tl2br w:val="nil"/>
                    <w:tr2bl w:val="nil"/>
                  </w:tcBorders>
                  <w:vAlign w:val="center"/>
                </w:tcPr>
                <w:p w14:paraId="56CF05D7">
                  <w:pPr>
                    <w:autoSpaceDE w:val="0"/>
                    <w:autoSpaceDN w:val="0"/>
                    <w:adjustRightInd w:val="0"/>
                    <w:snapToGrid w:val="0"/>
                    <w:ind w:left="-105" w:leftChars="-50" w:right="-105" w:rightChars="-50"/>
                    <w:jc w:val="center"/>
                    <w:rPr>
                      <w:rFonts w:hint="eastAsia" w:eastAsia="宋体"/>
                      <w:color w:val="auto"/>
                      <w:kern w:val="0"/>
                      <w:szCs w:val="21"/>
                      <w:lang w:val="en-US" w:eastAsia="zh-CN"/>
                    </w:rPr>
                  </w:pPr>
                  <w:r>
                    <w:rPr>
                      <w:rFonts w:hint="eastAsia"/>
                      <w:color w:val="auto"/>
                      <w:kern w:val="0"/>
                      <w:szCs w:val="21"/>
                      <w:lang w:val="en-US" w:eastAsia="zh-CN"/>
                    </w:rPr>
                    <w:t>符合</w:t>
                  </w:r>
                </w:p>
              </w:tc>
            </w:tr>
            <w:tr w14:paraId="4F8D6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76" w:type="pct"/>
                  <w:gridSpan w:val="2"/>
                  <w:vMerge w:val="restart"/>
                  <w:tcBorders>
                    <w:tl2br w:val="nil"/>
                    <w:tr2bl w:val="nil"/>
                  </w:tcBorders>
                  <w:vAlign w:val="center"/>
                </w:tcPr>
                <w:p w14:paraId="14ADC6FC">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kern w:val="0"/>
                      <w:szCs w:val="21"/>
                    </w:rPr>
                  </w:pPr>
                  <w:r>
                    <w:rPr>
                      <w:rFonts w:hint="eastAsia"/>
                      <w:color w:val="auto"/>
                      <w:kern w:val="0"/>
                      <w:szCs w:val="21"/>
                    </w:rPr>
                    <w:t>矿容矿貌</w:t>
                  </w:r>
                </w:p>
              </w:tc>
              <w:tc>
                <w:tcPr>
                  <w:tcW w:w="277" w:type="pct"/>
                  <w:tcBorders>
                    <w:tl2br w:val="nil"/>
                    <w:tr2bl w:val="nil"/>
                  </w:tcBorders>
                  <w:vAlign w:val="center"/>
                </w:tcPr>
                <w:p w14:paraId="6A965D5C">
                  <w:pPr>
                    <w:keepNext w:val="0"/>
                    <w:keepLines w:val="0"/>
                    <w:pageBreakBefore w:val="0"/>
                    <w:widowControl w:val="0"/>
                    <w:kinsoku/>
                    <w:wordWrap/>
                    <w:overflowPunct/>
                    <w:topLinePunct w:val="0"/>
                    <w:autoSpaceDE w:val="0"/>
                    <w:autoSpaceDN w:val="0"/>
                    <w:bidi w:val="0"/>
                    <w:adjustRightInd w:val="0"/>
                    <w:snapToGrid w:val="0"/>
                    <w:spacing w:line="240" w:lineRule="auto"/>
                    <w:ind w:left="-105" w:leftChars="-50" w:right="-105" w:rightChars="-50" w:firstLine="0" w:firstLineChars="0"/>
                    <w:jc w:val="center"/>
                    <w:textAlignment w:val="auto"/>
                    <w:rPr>
                      <w:color w:val="auto"/>
                      <w:kern w:val="0"/>
                      <w:szCs w:val="21"/>
                    </w:rPr>
                  </w:pPr>
                  <w:r>
                    <w:rPr>
                      <w:rFonts w:hint="eastAsia"/>
                      <w:color w:val="auto"/>
                      <w:kern w:val="0"/>
                      <w:szCs w:val="21"/>
                    </w:rPr>
                    <w:t>功能分区</w:t>
                  </w:r>
                </w:p>
              </w:tc>
              <w:tc>
                <w:tcPr>
                  <w:tcW w:w="2176" w:type="pct"/>
                  <w:tcBorders>
                    <w:tl2br w:val="nil"/>
                    <w:tr2bl w:val="nil"/>
                  </w:tcBorders>
                  <w:vAlign w:val="center"/>
                </w:tcPr>
                <w:p w14:paraId="669E0C38">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color w:val="auto"/>
                      <w:kern w:val="0"/>
                      <w:szCs w:val="21"/>
                    </w:rPr>
                  </w:pPr>
                  <w:r>
                    <w:rPr>
                      <w:rFonts w:hint="eastAsia"/>
                      <w:color w:val="auto"/>
                      <w:kern w:val="0"/>
                      <w:szCs w:val="21"/>
                    </w:rPr>
                    <w:t>生产区、生活区和管理区等各类功能区的分区符合GB50187的规定</w:t>
                  </w:r>
                  <w:r>
                    <w:rPr>
                      <w:rFonts w:hint="eastAsia"/>
                      <w:color w:val="auto"/>
                      <w:kern w:val="0"/>
                      <w:szCs w:val="21"/>
                      <w:lang w:eastAsia="zh-CN"/>
                    </w:rPr>
                    <w:t>，</w:t>
                  </w:r>
                  <w:r>
                    <w:rPr>
                      <w:rFonts w:hint="eastAsia"/>
                      <w:color w:val="auto"/>
                      <w:kern w:val="0"/>
                      <w:szCs w:val="21"/>
                    </w:rPr>
                    <w:t>排土场、选矿</w:t>
                  </w:r>
                  <w:r>
                    <w:rPr>
                      <w:rFonts w:hint="eastAsia"/>
                      <w:color w:val="auto"/>
                      <w:kern w:val="0"/>
                      <w:szCs w:val="21"/>
                      <w:lang w:eastAsia="zh-CN"/>
                    </w:rPr>
                    <w:t>场</w:t>
                  </w:r>
                  <w:r>
                    <w:rPr>
                      <w:rFonts w:hint="eastAsia"/>
                      <w:color w:val="auto"/>
                      <w:kern w:val="0"/>
                      <w:szCs w:val="21"/>
                    </w:rPr>
                    <w:t>等与生活区保持一定安全距离。</w:t>
                  </w:r>
                </w:p>
              </w:tc>
              <w:tc>
                <w:tcPr>
                  <w:tcW w:w="1891" w:type="pct"/>
                  <w:tcBorders>
                    <w:tl2br w:val="nil"/>
                    <w:tr2bl w:val="nil"/>
                  </w:tcBorders>
                  <w:vAlign w:val="center"/>
                </w:tcPr>
                <w:p w14:paraId="01656ABF">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eastAsia="宋体"/>
                      <w:color w:val="auto"/>
                      <w:kern w:val="0"/>
                      <w:szCs w:val="21"/>
                      <w:lang w:val="en-US" w:eastAsia="zh-CN"/>
                    </w:rPr>
                  </w:pPr>
                  <w:r>
                    <w:rPr>
                      <w:rFonts w:hint="eastAsia"/>
                      <w:color w:val="auto"/>
                      <w:kern w:val="0"/>
                      <w:szCs w:val="21"/>
                      <w:lang w:val="en-US" w:eastAsia="zh-CN"/>
                    </w:rPr>
                    <w:t>本项目分别设置采区、办公生活区、排土场等，排土场、采区与办公生活区</w:t>
                  </w:r>
                  <w:r>
                    <w:rPr>
                      <w:rFonts w:hint="eastAsia"/>
                      <w:color w:val="auto"/>
                      <w:kern w:val="0"/>
                      <w:szCs w:val="21"/>
                    </w:rPr>
                    <w:t>保持一定安全距离。</w:t>
                  </w:r>
                </w:p>
              </w:tc>
              <w:tc>
                <w:tcPr>
                  <w:tcW w:w="377" w:type="pct"/>
                  <w:tcBorders>
                    <w:tl2br w:val="nil"/>
                    <w:tr2bl w:val="nil"/>
                  </w:tcBorders>
                  <w:vAlign w:val="center"/>
                </w:tcPr>
                <w:p w14:paraId="32F39C13">
                  <w:pPr>
                    <w:autoSpaceDE w:val="0"/>
                    <w:autoSpaceDN w:val="0"/>
                    <w:adjustRightInd w:val="0"/>
                    <w:snapToGrid w:val="0"/>
                    <w:ind w:left="-105" w:leftChars="-50" w:right="-105" w:rightChars="-50"/>
                    <w:jc w:val="center"/>
                    <w:rPr>
                      <w:rFonts w:hint="default"/>
                      <w:color w:val="auto"/>
                      <w:kern w:val="0"/>
                      <w:szCs w:val="21"/>
                      <w:lang w:val="en-US" w:eastAsia="zh-CN"/>
                    </w:rPr>
                  </w:pPr>
                  <w:r>
                    <w:rPr>
                      <w:rFonts w:hint="eastAsia"/>
                      <w:color w:val="auto"/>
                      <w:kern w:val="0"/>
                      <w:szCs w:val="21"/>
                      <w:lang w:val="en-US" w:eastAsia="zh-CN"/>
                    </w:rPr>
                    <w:t>符合</w:t>
                  </w:r>
                </w:p>
              </w:tc>
            </w:tr>
            <w:tr w14:paraId="160F6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76" w:type="pct"/>
                  <w:gridSpan w:val="2"/>
                  <w:vMerge w:val="continue"/>
                  <w:tcBorders>
                    <w:tl2br w:val="nil"/>
                    <w:tr2bl w:val="nil"/>
                  </w:tcBorders>
                  <w:vAlign w:val="center"/>
                </w:tcPr>
                <w:p w14:paraId="44C71820">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kern w:val="0"/>
                      <w:szCs w:val="21"/>
                    </w:rPr>
                  </w:pPr>
                </w:p>
              </w:tc>
              <w:tc>
                <w:tcPr>
                  <w:tcW w:w="277" w:type="pct"/>
                  <w:vMerge w:val="restart"/>
                  <w:tcBorders>
                    <w:tl2br w:val="nil"/>
                    <w:tr2bl w:val="nil"/>
                  </w:tcBorders>
                  <w:vAlign w:val="center"/>
                </w:tcPr>
                <w:p w14:paraId="5EF19AE6">
                  <w:pPr>
                    <w:keepNext w:val="0"/>
                    <w:keepLines w:val="0"/>
                    <w:pageBreakBefore w:val="0"/>
                    <w:widowControl w:val="0"/>
                    <w:kinsoku/>
                    <w:wordWrap/>
                    <w:overflowPunct/>
                    <w:topLinePunct w:val="0"/>
                    <w:autoSpaceDE w:val="0"/>
                    <w:autoSpaceDN w:val="0"/>
                    <w:bidi w:val="0"/>
                    <w:adjustRightInd w:val="0"/>
                    <w:snapToGrid w:val="0"/>
                    <w:spacing w:line="240" w:lineRule="auto"/>
                    <w:ind w:left="-105" w:leftChars="-50" w:right="-105" w:rightChars="-50" w:firstLine="0" w:firstLineChars="0"/>
                    <w:jc w:val="center"/>
                    <w:textAlignment w:val="auto"/>
                    <w:rPr>
                      <w:color w:val="auto"/>
                      <w:kern w:val="0"/>
                      <w:szCs w:val="21"/>
                    </w:rPr>
                  </w:pPr>
                  <w:r>
                    <w:rPr>
                      <w:rFonts w:hint="eastAsia"/>
                      <w:color w:val="auto"/>
                      <w:kern w:val="0"/>
                      <w:szCs w:val="21"/>
                    </w:rPr>
                    <w:t>卫生绿化</w:t>
                  </w:r>
                </w:p>
              </w:tc>
              <w:tc>
                <w:tcPr>
                  <w:tcW w:w="2176" w:type="pct"/>
                  <w:tcBorders>
                    <w:tl2br w:val="nil"/>
                    <w:tr2bl w:val="nil"/>
                  </w:tcBorders>
                  <w:vAlign w:val="center"/>
                </w:tcPr>
                <w:p w14:paraId="32586BD9">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color w:val="auto"/>
                      <w:kern w:val="0"/>
                      <w:szCs w:val="21"/>
                    </w:rPr>
                  </w:pPr>
                  <w:r>
                    <w:rPr>
                      <w:rFonts w:hint="eastAsia"/>
                      <w:color w:val="auto"/>
                      <w:kern w:val="0"/>
                      <w:szCs w:val="21"/>
                    </w:rPr>
                    <w:t>生产区、管理区和生活区保持整齐卫生，不存在私搭乱建，充分利用矿区自然条件、地形地貌，因地制宜地进行矿区绿化。</w:t>
                  </w:r>
                </w:p>
              </w:tc>
              <w:tc>
                <w:tcPr>
                  <w:tcW w:w="1891" w:type="pct"/>
                  <w:tcBorders>
                    <w:tl2br w:val="nil"/>
                    <w:tr2bl w:val="nil"/>
                  </w:tcBorders>
                  <w:vAlign w:val="center"/>
                </w:tcPr>
                <w:p w14:paraId="3DD963C4">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eastAsia="宋体"/>
                      <w:color w:val="auto"/>
                      <w:kern w:val="0"/>
                      <w:szCs w:val="21"/>
                      <w:lang w:val="en-US" w:eastAsia="zh-CN"/>
                    </w:rPr>
                  </w:pPr>
                  <w:r>
                    <w:rPr>
                      <w:rFonts w:hint="eastAsia"/>
                      <w:color w:val="auto"/>
                      <w:kern w:val="0"/>
                      <w:szCs w:val="21"/>
                      <w:lang w:val="en-US" w:eastAsia="zh-CN"/>
                    </w:rPr>
                    <w:t>本项目采区</w:t>
                  </w:r>
                  <w:r>
                    <w:rPr>
                      <w:rFonts w:hint="eastAsia"/>
                      <w:color w:val="auto"/>
                      <w:kern w:val="0"/>
                      <w:szCs w:val="21"/>
                    </w:rPr>
                    <w:t>和</w:t>
                  </w:r>
                  <w:r>
                    <w:rPr>
                      <w:rFonts w:hint="eastAsia"/>
                      <w:color w:val="auto"/>
                      <w:kern w:val="0"/>
                      <w:szCs w:val="21"/>
                      <w:lang w:val="en-US" w:eastAsia="zh-CN"/>
                    </w:rPr>
                    <w:t>办公</w:t>
                  </w:r>
                  <w:r>
                    <w:rPr>
                      <w:rFonts w:hint="eastAsia"/>
                      <w:color w:val="auto"/>
                      <w:kern w:val="0"/>
                      <w:szCs w:val="21"/>
                    </w:rPr>
                    <w:t>生活区保持整齐卫生，不存在私搭乱建</w:t>
                  </w:r>
                  <w:r>
                    <w:rPr>
                      <w:rFonts w:hint="eastAsia"/>
                      <w:color w:val="auto"/>
                      <w:kern w:val="0"/>
                      <w:szCs w:val="21"/>
                      <w:lang w:val="en-US" w:eastAsia="zh-CN"/>
                    </w:rPr>
                    <w:t>现象</w:t>
                  </w:r>
                  <w:r>
                    <w:rPr>
                      <w:rFonts w:hint="eastAsia"/>
                      <w:color w:val="auto"/>
                      <w:kern w:val="0"/>
                      <w:szCs w:val="21"/>
                    </w:rPr>
                    <w:t>，</w:t>
                  </w:r>
                  <w:r>
                    <w:rPr>
                      <w:rFonts w:hint="eastAsia"/>
                      <w:color w:val="auto"/>
                      <w:kern w:val="0"/>
                      <w:szCs w:val="21"/>
                      <w:lang w:val="en-US" w:eastAsia="zh-CN"/>
                    </w:rPr>
                    <w:t>本次评价要求对办公生活区进行绿化</w:t>
                  </w:r>
                </w:p>
              </w:tc>
              <w:tc>
                <w:tcPr>
                  <w:tcW w:w="377" w:type="pct"/>
                  <w:tcBorders>
                    <w:tl2br w:val="nil"/>
                    <w:tr2bl w:val="nil"/>
                  </w:tcBorders>
                  <w:vAlign w:val="center"/>
                </w:tcPr>
                <w:p w14:paraId="42B467A7">
                  <w:pPr>
                    <w:autoSpaceDE w:val="0"/>
                    <w:autoSpaceDN w:val="0"/>
                    <w:adjustRightInd w:val="0"/>
                    <w:snapToGrid w:val="0"/>
                    <w:ind w:left="-105" w:leftChars="-50" w:right="-105" w:rightChars="-50"/>
                    <w:jc w:val="center"/>
                    <w:rPr>
                      <w:rFonts w:hint="default"/>
                      <w:color w:val="auto"/>
                      <w:kern w:val="0"/>
                      <w:szCs w:val="21"/>
                      <w:lang w:val="en-US" w:eastAsia="zh-CN"/>
                    </w:rPr>
                  </w:pPr>
                  <w:r>
                    <w:rPr>
                      <w:rFonts w:hint="eastAsia"/>
                      <w:color w:val="auto"/>
                      <w:kern w:val="0"/>
                      <w:szCs w:val="21"/>
                      <w:lang w:val="en-US" w:eastAsia="zh-CN"/>
                    </w:rPr>
                    <w:t>符合</w:t>
                  </w:r>
                </w:p>
              </w:tc>
            </w:tr>
            <w:tr w14:paraId="74AD3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76" w:type="pct"/>
                  <w:gridSpan w:val="2"/>
                  <w:vMerge w:val="continue"/>
                  <w:tcBorders>
                    <w:tl2br w:val="nil"/>
                    <w:tr2bl w:val="nil"/>
                  </w:tcBorders>
                  <w:vAlign w:val="center"/>
                </w:tcPr>
                <w:p w14:paraId="3C2BCEAE">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kern w:val="0"/>
                      <w:szCs w:val="21"/>
                    </w:rPr>
                  </w:pPr>
                </w:p>
              </w:tc>
              <w:tc>
                <w:tcPr>
                  <w:tcW w:w="277" w:type="pct"/>
                  <w:vMerge w:val="continue"/>
                  <w:tcBorders>
                    <w:tl2br w:val="nil"/>
                    <w:tr2bl w:val="nil"/>
                  </w:tcBorders>
                  <w:vAlign w:val="center"/>
                </w:tcPr>
                <w:p w14:paraId="205BD5F4">
                  <w:pPr>
                    <w:keepNext w:val="0"/>
                    <w:keepLines w:val="0"/>
                    <w:pageBreakBefore w:val="0"/>
                    <w:widowControl w:val="0"/>
                    <w:kinsoku/>
                    <w:wordWrap/>
                    <w:overflowPunct/>
                    <w:topLinePunct w:val="0"/>
                    <w:autoSpaceDE w:val="0"/>
                    <w:autoSpaceDN w:val="0"/>
                    <w:bidi w:val="0"/>
                    <w:adjustRightInd w:val="0"/>
                    <w:snapToGrid w:val="0"/>
                    <w:spacing w:line="240" w:lineRule="auto"/>
                    <w:ind w:left="-105" w:leftChars="-50" w:right="-105" w:rightChars="-50" w:firstLine="0" w:firstLineChars="0"/>
                    <w:jc w:val="center"/>
                    <w:textAlignment w:val="auto"/>
                    <w:rPr>
                      <w:rFonts w:hint="eastAsia"/>
                      <w:color w:val="auto"/>
                      <w:kern w:val="0"/>
                      <w:szCs w:val="21"/>
                    </w:rPr>
                  </w:pPr>
                </w:p>
              </w:tc>
              <w:tc>
                <w:tcPr>
                  <w:tcW w:w="2176" w:type="pct"/>
                  <w:tcBorders>
                    <w:tl2br w:val="nil"/>
                    <w:tr2bl w:val="nil"/>
                  </w:tcBorders>
                  <w:vAlign w:val="center"/>
                </w:tcPr>
                <w:p w14:paraId="2C4F2D89">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color w:val="auto"/>
                      <w:kern w:val="0"/>
                      <w:szCs w:val="21"/>
                    </w:rPr>
                  </w:pPr>
                  <w:r>
                    <w:rPr>
                      <w:rFonts w:hint="eastAsia"/>
                      <w:color w:val="auto"/>
                      <w:kern w:val="0"/>
                      <w:szCs w:val="21"/>
                    </w:rPr>
                    <w:t>生活垃圾有固定收集地点，宜开展分类处理。</w:t>
                  </w:r>
                </w:p>
              </w:tc>
              <w:tc>
                <w:tcPr>
                  <w:tcW w:w="1891" w:type="pct"/>
                  <w:tcBorders>
                    <w:tl2br w:val="nil"/>
                    <w:tr2bl w:val="nil"/>
                  </w:tcBorders>
                  <w:vAlign w:val="center"/>
                </w:tcPr>
                <w:p w14:paraId="47EA1188">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color w:val="auto"/>
                      <w:kern w:val="0"/>
                      <w:szCs w:val="21"/>
                    </w:rPr>
                  </w:pPr>
                  <w:r>
                    <w:rPr>
                      <w:rFonts w:hint="eastAsia"/>
                      <w:color w:val="auto"/>
                      <w:kern w:val="0"/>
                      <w:szCs w:val="21"/>
                      <w:lang w:val="en-US" w:eastAsia="zh-CN"/>
                    </w:rPr>
                    <w:t>本项目设置了</w:t>
                  </w:r>
                  <w:r>
                    <w:rPr>
                      <w:rFonts w:hint="eastAsia"/>
                      <w:color w:val="auto"/>
                      <w:kern w:val="0"/>
                      <w:szCs w:val="21"/>
                    </w:rPr>
                    <w:t>生活垃圾</w:t>
                  </w:r>
                </w:p>
                <w:p w14:paraId="294670E8">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eastAsia="宋体"/>
                      <w:color w:val="auto"/>
                      <w:kern w:val="0"/>
                      <w:szCs w:val="21"/>
                      <w:lang w:eastAsia="zh-CN"/>
                    </w:rPr>
                  </w:pPr>
                  <w:r>
                    <w:rPr>
                      <w:rFonts w:hint="eastAsia"/>
                      <w:color w:val="auto"/>
                      <w:kern w:val="0"/>
                      <w:szCs w:val="21"/>
                    </w:rPr>
                    <w:t>收集地点</w:t>
                  </w:r>
                  <w:r>
                    <w:rPr>
                      <w:rFonts w:hint="eastAsia"/>
                      <w:color w:val="auto"/>
                      <w:kern w:val="0"/>
                      <w:szCs w:val="21"/>
                      <w:lang w:eastAsia="zh-CN"/>
                    </w:rPr>
                    <w:t>。</w:t>
                  </w:r>
                </w:p>
              </w:tc>
              <w:tc>
                <w:tcPr>
                  <w:tcW w:w="377" w:type="pct"/>
                  <w:tcBorders>
                    <w:tl2br w:val="nil"/>
                    <w:tr2bl w:val="nil"/>
                  </w:tcBorders>
                  <w:vAlign w:val="center"/>
                </w:tcPr>
                <w:p w14:paraId="782CE333">
                  <w:pPr>
                    <w:autoSpaceDE w:val="0"/>
                    <w:autoSpaceDN w:val="0"/>
                    <w:adjustRightInd w:val="0"/>
                    <w:snapToGrid w:val="0"/>
                    <w:ind w:left="-105" w:leftChars="-50" w:right="-105" w:rightChars="-50"/>
                    <w:jc w:val="center"/>
                    <w:rPr>
                      <w:rFonts w:hint="default"/>
                      <w:color w:val="auto"/>
                      <w:kern w:val="0"/>
                      <w:szCs w:val="21"/>
                      <w:lang w:val="en-US" w:eastAsia="zh-CN"/>
                    </w:rPr>
                  </w:pPr>
                  <w:r>
                    <w:rPr>
                      <w:rFonts w:hint="eastAsia"/>
                      <w:color w:val="auto"/>
                      <w:kern w:val="0"/>
                      <w:szCs w:val="21"/>
                      <w:lang w:val="en-US" w:eastAsia="zh-CN"/>
                    </w:rPr>
                    <w:t>符合</w:t>
                  </w:r>
                </w:p>
              </w:tc>
            </w:tr>
            <w:tr w14:paraId="75049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76" w:type="pct"/>
                  <w:gridSpan w:val="2"/>
                  <w:vMerge w:val="continue"/>
                  <w:tcBorders>
                    <w:tl2br w:val="nil"/>
                    <w:tr2bl w:val="nil"/>
                  </w:tcBorders>
                  <w:vAlign w:val="center"/>
                </w:tcPr>
                <w:p w14:paraId="5FD2C058">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kern w:val="0"/>
                      <w:szCs w:val="21"/>
                    </w:rPr>
                  </w:pPr>
                </w:p>
              </w:tc>
              <w:tc>
                <w:tcPr>
                  <w:tcW w:w="277" w:type="pct"/>
                  <w:vMerge w:val="continue"/>
                  <w:tcBorders>
                    <w:tl2br w:val="nil"/>
                    <w:tr2bl w:val="nil"/>
                  </w:tcBorders>
                  <w:vAlign w:val="center"/>
                </w:tcPr>
                <w:p w14:paraId="706ABABF">
                  <w:pPr>
                    <w:keepNext w:val="0"/>
                    <w:keepLines w:val="0"/>
                    <w:pageBreakBefore w:val="0"/>
                    <w:widowControl w:val="0"/>
                    <w:kinsoku/>
                    <w:wordWrap/>
                    <w:overflowPunct/>
                    <w:topLinePunct w:val="0"/>
                    <w:autoSpaceDE w:val="0"/>
                    <w:autoSpaceDN w:val="0"/>
                    <w:bidi w:val="0"/>
                    <w:adjustRightInd w:val="0"/>
                    <w:snapToGrid w:val="0"/>
                    <w:spacing w:line="240" w:lineRule="auto"/>
                    <w:ind w:left="-105" w:leftChars="-50" w:right="-105" w:rightChars="-50" w:firstLine="0" w:firstLineChars="0"/>
                    <w:jc w:val="center"/>
                    <w:textAlignment w:val="auto"/>
                    <w:rPr>
                      <w:rFonts w:hint="eastAsia"/>
                      <w:color w:val="auto"/>
                      <w:kern w:val="0"/>
                      <w:szCs w:val="21"/>
                    </w:rPr>
                  </w:pPr>
                </w:p>
              </w:tc>
              <w:tc>
                <w:tcPr>
                  <w:tcW w:w="2176" w:type="pct"/>
                  <w:tcBorders>
                    <w:tl2br w:val="nil"/>
                    <w:tr2bl w:val="nil"/>
                  </w:tcBorders>
                  <w:vAlign w:val="center"/>
                </w:tcPr>
                <w:p w14:paraId="7A2EF2FF">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eastAsia="宋体"/>
                      <w:color w:val="auto"/>
                      <w:kern w:val="0"/>
                      <w:szCs w:val="21"/>
                      <w:lang w:eastAsia="zh-CN"/>
                    </w:rPr>
                  </w:pPr>
                  <w:r>
                    <w:rPr>
                      <w:rFonts w:hint="eastAsia"/>
                      <w:color w:val="auto"/>
                      <w:kern w:val="0"/>
                      <w:szCs w:val="21"/>
                    </w:rPr>
                    <w:t>矿区主干道路平整干净，宜设置隔离绿化带、制作宣传牌或宣传标语等，内部道路保持清洁卫生，无洒落物</w:t>
                  </w:r>
                  <w:r>
                    <w:rPr>
                      <w:rFonts w:hint="eastAsia"/>
                      <w:color w:val="auto"/>
                      <w:kern w:val="0"/>
                      <w:szCs w:val="21"/>
                      <w:lang w:eastAsia="zh-CN"/>
                    </w:rPr>
                    <w:t>。</w:t>
                  </w:r>
                </w:p>
              </w:tc>
              <w:tc>
                <w:tcPr>
                  <w:tcW w:w="1891" w:type="pct"/>
                  <w:tcBorders>
                    <w:tl2br w:val="nil"/>
                    <w:tr2bl w:val="nil"/>
                  </w:tcBorders>
                  <w:vAlign w:val="center"/>
                </w:tcPr>
                <w:p w14:paraId="3BF940D1">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eastAsia="宋体"/>
                      <w:color w:val="auto"/>
                      <w:kern w:val="0"/>
                      <w:szCs w:val="21"/>
                      <w:lang w:val="en-US" w:eastAsia="zh-CN"/>
                    </w:rPr>
                  </w:pPr>
                  <w:r>
                    <w:rPr>
                      <w:rFonts w:hint="eastAsia"/>
                      <w:color w:val="auto"/>
                      <w:kern w:val="0"/>
                      <w:szCs w:val="21"/>
                      <w:lang w:val="en-US" w:eastAsia="zh-CN"/>
                    </w:rPr>
                    <w:t>本次评价要求在运矿道路两侧种植新疆杨，设置绿化带，建设宣传牌、宣传标语等，运矿</w:t>
                  </w:r>
                  <w:r>
                    <w:rPr>
                      <w:rFonts w:hint="eastAsia"/>
                      <w:color w:val="auto"/>
                      <w:kern w:val="0"/>
                      <w:szCs w:val="21"/>
                    </w:rPr>
                    <w:t>道路保持清洁卫生，无洒落物</w:t>
                  </w:r>
                  <w:r>
                    <w:rPr>
                      <w:rFonts w:hint="eastAsia"/>
                      <w:color w:val="auto"/>
                      <w:kern w:val="0"/>
                      <w:szCs w:val="21"/>
                      <w:lang w:eastAsia="zh-CN"/>
                    </w:rPr>
                    <w:t>。</w:t>
                  </w:r>
                </w:p>
              </w:tc>
              <w:tc>
                <w:tcPr>
                  <w:tcW w:w="377" w:type="pct"/>
                  <w:tcBorders>
                    <w:tl2br w:val="nil"/>
                    <w:tr2bl w:val="nil"/>
                  </w:tcBorders>
                  <w:vAlign w:val="center"/>
                </w:tcPr>
                <w:p w14:paraId="15AF97C9">
                  <w:pPr>
                    <w:autoSpaceDE w:val="0"/>
                    <w:autoSpaceDN w:val="0"/>
                    <w:adjustRightInd w:val="0"/>
                    <w:snapToGrid w:val="0"/>
                    <w:ind w:left="-105" w:leftChars="-50" w:right="-105" w:rightChars="-50"/>
                    <w:jc w:val="center"/>
                    <w:rPr>
                      <w:rFonts w:hint="default"/>
                      <w:color w:val="auto"/>
                      <w:kern w:val="0"/>
                      <w:szCs w:val="21"/>
                      <w:lang w:val="en-US" w:eastAsia="zh-CN"/>
                    </w:rPr>
                  </w:pPr>
                  <w:r>
                    <w:rPr>
                      <w:rFonts w:hint="eastAsia"/>
                      <w:color w:val="auto"/>
                      <w:kern w:val="0"/>
                      <w:szCs w:val="21"/>
                      <w:lang w:val="en-US" w:eastAsia="zh-CN"/>
                    </w:rPr>
                    <w:t>符合</w:t>
                  </w:r>
                </w:p>
              </w:tc>
            </w:tr>
          </w:tbl>
          <w:p w14:paraId="1F69DA00">
            <w:pPr>
              <w:autoSpaceDE w:val="0"/>
              <w:autoSpaceDN w:val="0"/>
              <w:adjustRightInd w:val="0"/>
              <w:snapToGrid w:val="0"/>
              <w:spacing w:line="480" w:lineRule="exact"/>
              <w:ind w:firstLine="482" w:firstLineChars="200"/>
              <w:jc w:val="left"/>
              <w:rPr>
                <w:b/>
                <w:bCs/>
                <w:color w:val="auto"/>
                <w:kern w:val="0"/>
                <w:sz w:val="24"/>
              </w:rPr>
            </w:pPr>
            <w:r>
              <w:rPr>
                <w:rFonts w:hint="eastAsia"/>
                <w:b/>
                <w:bCs/>
                <w:color w:val="auto"/>
                <w:kern w:val="0"/>
                <w:sz w:val="24"/>
                <w:lang w:val="en-US" w:eastAsia="zh-CN"/>
              </w:rPr>
              <w:t>9</w:t>
            </w:r>
            <w:r>
              <w:rPr>
                <w:rFonts w:hint="eastAsia"/>
                <w:b/>
                <w:bCs/>
                <w:color w:val="auto"/>
                <w:kern w:val="0"/>
                <w:sz w:val="24"/>
              </w:rPr>
              <w:t>.与《砂石行业绿色矿山建设规范》（DZ/T0316-2018）的符合性分析</w:t>
            </w:r>
          </w:p>
          <w:p w14:paraId="7E3E61F4">
            <w:pPr>
              <w:autoSpaceDE w:val="0"/>
              <w:autoSpaceDN w:val="0"/>
              <w:adjustRightInd w:val="0"/>
              <w:snapToGrid w:val="0"/>
              <w:spacing w:line="480" w:lineRule="exact"/>
              <w:ind w:firstLine="480" w:firstLineChars="200"/>
              <w:jc w:val="left"/>
              <w:rPr>
                <w:color w:val="auto"/>
                <w:kern w:val="0"/>
                <w:sz w:val="24"/>
              </w:rPr>
            </w:pPr>
            <w:r>
              <w:rPr>
                <w:rFonts w:hint="eastAsia"/>
                <w:color w:val="auto"/>
                <w:kern w:val="0"/>
                <w:sz w:val="24"/>
              </w:rPr>
              <w:t>本项目与《砂石行业绿色矿山建设规范》（DZ/T0316-2018）的符合性分析详见下表。</w:t>
            </w:r>
          </w:p>
          <w:p w14:paraId="5F225D7E">
            <w:pPr>
              <w:pStyle w:val="15"/>
              <w:spacing w:line="480" w:lineRule="exact"/>
              <w:rPr>
                <w:rFonts w:eastAsia="宋体"/>
                <w:color w:val="auto"/>
                <w:sz w:val="21"/>
                <w:szCs w:val="21"/>
              </w:rPr>
            </w:pPr>
            <w:r>
              <w:rPr>
                <w:rFonts w:hint="eastAsia" w:eastAsia="宋体"/>
                <w:color w:val="auto"/>
                <w:sz w:val="21"/>
                <w:szCs w:val="21"/>
              </w:rPr>
              <w:t>表1-</w:t>
            </w:r>
            <w:r>
              <w:rPr>
                <w:rFonts w:hint="eastAsia" w:eastAsia="宋体"/>
                <w:color w:val="auto"/>
                <w:sz w:val="21"/>
                <w:szCs w:val="21"/>
                <w:lang w:val="en-US" w:eastAsia="zh-CN"/>
              </w:rPr>
              <w:t>7</w:t>
            </w:r>
            <w:r>
              <w:rPr>
                <w:rFonts w:hint="eastAsia" w:eastAsia="宋体"/>
                <w:color w:val="auto"/>
                <w:sz w:val="21"/>
                <w:szCs w:val="21"/>
              </w:rPr>
              <w:t xml:space="preserve"> 与《砂石行业绿色矿山建设规范》（DZ/T0316-2018）符合性分析一览表</w:t>
            </w:r>
          </w:p>
          <w:tbl>
            <w:tblPr>
              <w:tblStyle w:val="3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
              <w:gridCol w:w="575"/>
              <w:gridCol w:w="3299"/>
              <w:gridCol w:w="2978"/>
              <w:gridCol w:w="594"/>
            </w:tblGrid>
            <w:tr w14:paraId="787C1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731" w:type="pct"/>
                  <w:gridSpan w:val="3"/>
                  <w:tcBorders>
                    <w:tl2br w:val="nil"/>
                    <w:tr2bl w:val="nil"/>
                  </w:tcBorders>
                  <w:vAlign w:val="center"/>
                </w:tcPr>
                <w:p w14:paraId="769AE67E">
                  <w:pPr>
                    <w:autoSpaceDE w:val="0"/>
                    <w:autoSpaceDN w:val="0"/>
                    <w:adjustRightInd w:val="0"/>
                    <w:snapToGrid w:val="0"/>
                    <w:jc w:val="center"/>
                    <w:rPr>
                      <w:color w:val="auto"/>
                      <w:kern w:val="0"/>
                      <w:szCs w:val="21"/>
                    </w:rPr>
                  </w:pPr>
                  <w:r>
                    <w:rPr>
                      <w:rFonts w:hint="eastAsia"/>
                      <w:color w:val="auto"/>
                      <w:kern w:val="0"/>
                      <w:szCs w:val="21"/>
                    </w:rPr>
                    <w:t>规范要求</w:t>
                  </w:r>
                </w:p>
              </w:tc>
              <w:tc>
                <w:tcPr>
                  <w:tcW w:w="1891" w:type="pct"/>
                  <w:tcBorders>
                    <w:tl2br w:val="nil"/>
                    <w:tr2bl w:val="nil"/>
                  </w:tcBorders>
                  <w:vAlign w:val="center"/>
                </w:tcPr>
                <w:p w14:paraId="5947FCD3">
                  <w:pPr>
                    <w:autoSpaceDE w:val="0"/>
                    <w:autoSpaceDN w:val="0"/>
                    <w:adjustRightInd w:val="0"/>
                    <w:snapToGrid w:val="0"/>
                    <w:jc w:val="center"/>
                    <w:rPr>
                      <w:color w:val="auto"/>
                      <w:kern w:val="0"/>
                      <w:szCs w:val="21"/>
                    </w:rPr>
                  </w:pPr>
                  <w:r>
                    <w:rPr>
                      <w:rFonts w:hint="eastAsia"/>
                      <w:color w:val="auto"/>
                      <w:kern w:val="0"/>
                      <w:szCs w:val="21"/>
                    </w:rPr>
                    <w:t>本项目实际情况</w:t>
                  </w:r>
                </w:p>
              </w:tc>
              <w:tc>
                <w:tcPr>
                  <w:tcW w:w="377" w:type="pct"/>
                  <w:tcBorders>
                    <w:tl2br w:val="nil"/>
                    <w:tr2bl w:val="nil"/>
                  </w:tcBorders>
                  <w:vAlign w:val="center"/>
                </w:tcPr>
                <w:p w14:paraId="07C56A79">
                  <w:pPr>
                    <w:autoSpaceDE w:val="0"/>
                    <w:autoSpaceDN w:val="0"/>
                    <w:adjustRightInd w:val="0"/>
                    <w:snapToGrid w:val="0"/>
                    <w:ind w:left="-105" w:leftChars="-50" w:right="-105" w:rightChars="-50"/>
                    <w:jc w:val="center"/>
                    <w:rPr>
                      <w:color w:val="auto"/>
                      <w:kern w:val="0"/>
                      <w:szCs w:val="21"/>
                    </w:rPr>
                  </w:pPr>
                  <w:r>
                    <w:rPr>
                      <w:rFonts w:hint="eastAsia"/>
                      <w:color w:val="auto"/>
                      <w:kern w:val="0"/>
                      <w:szCs w:val="21"/>
                    </w:rPr>
                    <w:t>是否符合</w:t>
                  </w:r>
                </w:p>
              </w:tc>
            </w:tr>
            <w:tr w14:paraId="56AF2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71" w:type="pct"/>
                  <w:vMerge w:val="restart"/>
                  <w:tcBorders>
                    <w:tl2br w:val="nil"/>
                    <w:tr2bl w:val="nil"/>
                  </w:tcBorders>
                  <w:vAlign w:val="center"/>
                </w:tcPr>
                <w:p w14:paraId="52BBEA7A">
                  <w:pPr>
                    <w:autoSpaceDE w:val="0"/>
                    <w:autoSpaceDN w:val="0"/>
                    <w:adjustRightInd w:val="0"/>
                    <w:snapToGrid w:val="0"/>
                    <w:jc w:val="center"/>
                    <w:rPr>
                      <w:color w:val="auto"/>
                      <w:kern w:val="0"/>
                      <w:szCs w:val="21"/>
                    </w:rPr>
                  </w:pPr>
                  <w:r>
                    <w:rPr>
                      <w:rFonts w:hint="eastAsia"/>
                      <w:color w:val="auto"/>
                      <w:kern w:val="0"/>
                      <w:szCs w:val="21"/>
                    </w:rPr>
                    <w:t>矿区环境</w:t>
                  </w:r>
                </w:p>
              </w:tc>
              <w:tc>
                <w:tcPr>
                  <w:tcW w:w="365" w:type="pct"/>
                  <w:vMerge w:val="restart"/>
                  <w:tcBorders>
                    <w:tl2br w:val="nil"/>
                    <w:tr2bl w:val="nil"/>
                  </w:tcBorders>
                  <w:vAlign w:val="center"/>
                </w:tcPr>
                <w:p w14:paraId="76DAC526">
                  <w:pPr>
                    <w:autoSpaceDE w:val="0"/>
                    <w:autoSpaceDN w:val="0"/>
                    <w:adjustRightInd w:val="0"/>
                    <w:snapToGrid w:val="0"/>
                    <w:ind w:left="-105" w:leftChars="-50" w:right="-105" w:rightChars="-50"/>
                    <w:jc w:val="center"/>
                    <w:rPr>
                      <w:color w:val="auto"/>
                      <w:kern w:val="0"/>
                      <w:szCs w:val="21"/>
                    </w:rPr>
                  </w:pPr>
                  <w:r>
                    <w:rPr>
                      <w:rFonts w:hint="eastAsia"/>
                      <w:color w:val="auto"/>
                      <w:kern w:val="0"/>
                      <w:szCs w:val="21"/>
                    </w:rPr>
                    <w:t>矿容矿貌</w:t>
                  </w:r>
                </w:p>
              </w:tc>
              <w:tc>
                <w:tcPr>
                  <w:tcW w:w="2094" w:type="pct"/>
                  <w:tcBorders>
                    <w:tl2br w:val="nil"/>
                    <w:tr2bl w:val="nil"/>
                  </w:tcBorders>
                  <w:vAlign w:val="center"/>
                </w:tcPr>
                <w:p w14:paraId="34B7A17B">
                  <w:pPr>
                    <w:autoSpaceDE w:val="0"/>
                    <w:autoSpaceDN w:val="0"/>
                    <w:adjustRightInd w:val="0"/>
                    <w:snapToGrid w:val="0"/>
                    <w:jc w:val="center"/>
                    <w:rPr>
                      <w:color w:val="auto"/>
                      <w:kern w:val="0"/>
                      <w:szCs w:val="21"/>
                    </w:rPr>
                  </w:pPr>
                  <w:r>
                    <w:rPr>
                      <w:rFonts w:hint="eastAsia"/>
                      <w:color w:val="auto"/>
                      <w:kern w:val="0"/>
                      <w:szCs w:val="21"/>
                    </w:rPr>
                    <w:t>矿区按生产区、办公区、生活区和生态区等功能分区，各功能区应符合GB50187的规定，应运行有序，管理规范。</w:t>
                  </w:r>
                </w:p>
              </w:tc>
              <w:tc>
                <w:tcPr>
                  <w:tcW w:w="1891" w:type="pct"/>
                  <w:tcBorders>
                    <w:tl2br w:val="nil"/>
                    <w:tr2bl w:val="nil"/>
                  </w:tcBorders>
                  <w:vAlign w:val="center"/>
                </w:tcPr>
                <w:p w14:paraId="7CA5CAEB">
                  <w:pPr>
                    <w:autoSpaceDE w:val="0"/>
                    <w:autoSpaceDN w:val="0"/>
                    <w:adjustRightInd w:val="0"/>
                    <w:snapToGrid w:val="0"/>
                    <w:jc w:val="center"/>
                    <w:rPr>
                      <w:color w:val="auto"/>
                      <w:kern w:val="0"/>
                      <w:szCs w:val="21"/>
                    </w:rPr>
                  </w:pPr>
                  <w:r>
                    <w:rPr>
                      <w:rFonts w:hint="eastAsia"/>
                      <w:color w:val="auto"/>
                      <w:kern w:val="0"/>
                      <w:szCs w:val="21"/>
                    </w:rPr>
                    <w:t>矿区</w:t>
                  </w:r>
                  <w:r>
                    <w:rPr>
                      <w:rFonts w:hint="eastAsia"/>
                      <w:color w:val="auto"/>
                      <w:kern w:val="0"/>
                      <w:szCs w:val="21"/>
                      <w:lang w:val="en-US" w:eastAsia="zh-CN"/>
                    </w:rPr>
                    <w:t>分为开采</w:t>
                  </w:r>
                  <w:r>
                    <w:rPr>
                      <w:rFonts w:hint="eastAsia"/>
                      <w:color w:val="auto"/>
                      <w:kern w:val="0"/>
                      <w:szCs w:val="21"/>
                    </w:rPr>
                    <w:t>区、办公</w:t>
                  </w:r>
                  <w:r>
                    <w:rPr>
                      <w:rFonts w:hint="eastAsia"/>
                      <w:color w:val="auto"/>
                      <w:kern w:val="0"/>
                      <w:szCs w:val="21"/>
                      <w:lang w:val="en-US" w:eastAsia="zh-CN"/>
                    </w:rPr>
                    <w:t>生活</w:t>
                  </w:r>
                  <w:r>
                    <w:rPr>
                      <w:rFonts w:hint="eastAsia"/>
                      <w:color w:val="auto"/>
                      <w:kern w:val="0"/>
                      <w:szCs w:val="21"/>
                    </w:rPr>
                    <w:t>区、生态区，各功能区符合《工业企业总平面设计规范》（GB 50187-2012）的相关规定。</w:t>
                  </w:r>
                </w:p>
              </w:tc>
              <w:tc>
                <w:tcPr>
                  <w:tcW w:w="377" w:type="pct"/>
                  <w:tcBorders>
                    <w:tl2br w:val="nil"/>
                    <w:tr2bl w:val="nil"/>
                  </w:tcBorders>
                  <w:vAlign w:val="center"/>
                </w:tcPr>
                <w:p w14:paraId="493E4100">
                  <w:pPr>
                    <w:autoSpaceDE w:val="0"/>
                    <w:autoSpaceDN w:val="0"/>
                    <w:adjustRightInd w:val="0"/>
                    <w:snapToGrid w:val="0"/>
                    <w:ind w:left="-105" w:leftChars="-50" w:right="-105" w:rightChars="-50"/>
                    <w:jc w:val="center"/>
                    <w:rPr>
                      <w:color w:val="auto"/>
                      <w:kern w:val="0"/>
                      <w:szCs w:val="21"/>
                    </w:rPr>
                  </w:pPr>
                  <w:r>
                    <w:rPr>
                      <w:rFonts w:hint="eastAsia"/>
                      <w:color w:val="auto"/>
                      <w:kern w:val="0"/>
                      <w:szCs w:val="21"/>
                    </w:rPr>
                    <w:t>符合</w:t>
                  </w:r>
                </w:p>
              </w:tc>
            </w:tr>
            <w:tr w14:paraId="2192D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71" w:type="pct"/>
                  <w:vMerge w:val="continue"/>
                  <w:tcBorders>
                    <w:tl2br w:val="nil"/>
                    <w:tr2bl w:val="nil"/>
                  </w:tcBorders>
                  <w:vAlign w:val="center"/>
                </w:tcPr>
                <w:p w14:paraId="15C95169">
                  <w:pPr>
                    <w:autoSpaceDE w:val="0"/>
                    <w:autoSpaceDN w:val="0"/>
                    <w:adjustRightInd w:val="0"/>
                    <w:snapToGrid w:val="0"/>
                    <w:jc w:val="center"/>
                    <w:rPr>
                      <w:color w:val="auto"/>
                      <w:kern w:val="0"/>
                      <w:szCs w:val="21"/>
                    </w:rPr>
                  </w:pPr>
                </w:p>
              </w:tc>
              <w:tc>
                <w:tcPr>
                  <w:tcW w:w="365" w:type="pct"/>
                  <w:vMerge w:val="continue"/>
                  <w:tcBorders>
                    <w:tl2br w:val="nil"/>
                    <w:tr2bl w:val="nil"/>
                  </w:tcBorders>
                  <w:vAlign w:val="center"/>
                </w:tcPr>
                <w:p w14:paraId="3127402A">
                  <w:pPr>
                    <w:autoSpaceDE w:val="0"/>
                    <w:autoSpaceDN w:val="0"/>
                    <w:adjustRightInd w:val="0"/>
                    <w:snapToGrid w:val="0"/>
                    <w:jc w:val="center"/>
                    <w:rPr>
                      <w:color w:val="auto"/>
                      <w:kern w:val="0"/>
                      <w:szCs w:val="21"/>
                    </w:rPr>
                  </w:pPr>
                </w:p>
              </w:tc>
              <w:tc>
                <w:tcPr>
                  <w:tcW w:w="2094" w:type="pct"/>
                  <w:tcBorders>
                    <w:tl2br w:val="nil"/>
                    <w:tr2bl w:val="nil"/>
                  </w:tcBorders>
                  <w:vAlign w:val="center"/>
                </w:tcPr>
                <w:p w14:paraId="31146E5A">
                  <w:pPr>
                    <w:autoSpaceDE w:val="0"/>
                    <w:autoSpaceDN w:val="0"/>
                    <w:adjustRightInd w:val="0"/>
                    <w:snapToGrid w:val="0"/>
                    <w:ind w:left="-105" w:leftChars="-50" w:right="-105" w:rightChars="-50"/>
                    <w:jc w:val="center"/>
                    <w:rPr>
                      <w:color w:val="auto"/>
                      <w:kern w:val="0"/>
                      <w:szCs w:val="21"/>
                    </w:rPr>
                  </w:pPr>
                  <w:r>
                    <w:rPr>
                      <w:rFonts w:hint="eastAsia"/>
                      <w:color w:val="auto"/>
                      <w:kern w:val="0"/>
                      <w:szCs w:val="21"/>
                    </w:rPr>
                    <w:t>矿区道路、供水、供电、卫生、环保等配套设施应齐全；在生产区应设置线路示意牌、简介牌、岗位技术操作规程等标牌，标牌应符合GB/T13306的规定。</w:t>
                  </w:r>
                </w:p>
              </w:tc>
              <w:tc>
                <w:tcPr>
                  <w:tcW w:w="1891" w:type="pct"/>
                  <w:tcBorders>
                    <w:tl2br w:val="nil"/>
                    <w:tr2bl w:val="nil"/>
                  </w:tcBorders>
                  <w:vAlign w:val="center"/>
                </w:tcPr>
                <w:p w14:paraId="58FA8740">
                  <w:pPr>
                    <w:keepNext w:val="0"/>
                    <w:keepLines w:val="0"/>
                    <w:pageBreakBefore w:val="0"/>
                    <w:widowControl w:val="0"/>
                    <w:kinsoku/>
                    <w:wordWrap/>
                    <w:overflowPunct/>
                    <w:topLinePunct w:val="0"/>
                    <w:autoSpaceDE w:val="0"/>
                    <w:autoSpaceDN w:val="0"/>
                    <w:bidi w:val="0"/>
                    <w:adjustRightInd w:val="0"/>
                    <w:snapToGrid w:val="0"/>
                    <w:ind w:left="-105" w:leftChars="-50" w:right="-105" w:rightChars="-50"/>
                    <w:jc w:val="center"/>
                    <w:textAlignment w:val="auto"/>
                    <w:rPr>
                      <w:color w:val="auto"/>
                      <w:kern w:val="0"/>
                      <w:szCs w:val="21"/>
                    </w:rPr>
                  </w:pPr>
                  <w:r>
                    <w:rPr>
                      <w:rFonts w:hint="eastAsia"/>
                      <w:color w:val="auto"/>
                      <w:kern w:val="0"/>
                      <w:szCs w:val="21"/>
                    </w:rPr>
                    <w:t>矿区道路、供水、供电、卫生、环保设施配套齐全，</w:t>
                  </w:r>
                  <w:r>
                    <w:rPr>
                      <w:rFonts w:hint="eastAsia"/>
                      <w:color w:val="auto"/>
                      <w:kern w:val="0"/>
                      <w:szCs w:val="21"/>
                      <w:lang w:val="en-US" w:eastAsia="zh-CN"/>
                    </w:rPr>
                    <w:t>本次评价要求：按</w:t>
                  </w:r>
                  <w:r>
                    <w:rPr>
                      <w:rFonts w:hint="eastAsia"/>
                      <w:color w:val="auto"/>
                      <w:kern w:val="0"/>
                      <w:szCs w:val="21"/>
                    </w:rPr>
                    <w:t>GB/T13306的规定</w:t>
                  </w:r>
                  <w:r>
                    <w:rPr>
                      <w:rFonts w:hint="eastAsia"/>
                      <w:color w:val="auto"/>
                      <w:kern w:val="0"/>
                      <w:szCs w:val="21"/>
                      <w:lang w:eastAsia="zh-CN"/>
                    </w:rPr>
                    <w:t>，</w:t>
                  </w:r>
                  <w:r>
                    <w:rPr>
                      <w:rFonts w:hint="eastAsia"/>
                      <w:color w:val="auto"/>
                      <w:kern w:val="0"/>
                      <w:szCs w:val="21"/>
                      <w:lang w:val="en-US" w:eastAsia="zh-CN"/>
                    </w:rPr>
                    <w:t>开采</w:t>
                  </w:r>
                  <w:r>
                    <w:rPr>
                      <w:rFonts w:hint="eastAsia"/>
                      <w:color w:val="auto"/>
                      <w:kern w:val="0"/>
                      <w:szCs w:val="21"/>
                    </w:rPr>
                    <w:t>区</w:t>
                  </w:r>
                  <w:r>
                    <w:rPr>
                      <w:rFonts w:hint="eastAsia"/>
                      <w:color w:val="auto"/>
                      <w:kern w:val="0"/>
                      <w:szCs w:val="21"/>
                      <w:lang w:val="en-US" w:eastAsia="zh-CN"/>
                    </w:rPr>
                    <w:t>补充</w:t>
                  </w:r>
                  <w:r>
                    <w:rPr>
                      <w:rFonts w:hint="eastAsia"/>
                      <w:color w:val="auto"/>
                      <w:kern w:val="0"/>
                      <w:szCs w:val="21"/>
                    </w:rPr>
                    <w:t>设置线路示意牌、简介牌、岗位技术操作规程等标牌。</w:t>
                  </w:r>
                </w:p>
              </w:tc>
              <w:tc>
                <w:tcPr>
                  <w:tcW w:w="377" w:type="pct"/>
                  <w:tcBorders>
                    <w:tl2br w:val="nil"/>
                    <w:tr2bl w:val="nil"/>
                  </w:tcBorders>
                  <w:vAlign w:val="center"/>
                </w:tcPr>
                <w:p w14:paraId="796CF6A1">
                  <w:pPr>
                    <w:autoSpaceDE w:val="0"/>
                    <w:autoSpaceDN w:val="0"/>
                    <w:adjustRightInd w:val="0"/>
                    <w:snapToGrid w:val="0"/>
                    <w:ind w:left="-105" w:leftChars="-50" w:right="-105" w:rightChars="-50"/>
                    <w:jc w:val="center"/>
                    <w:rPr>
                      <w:color w:val="auto"/>
                      <w:kern w:val="0"/>
                      <w:szCs w:val="21"/>
                    </w:rPr>
                  </w:pPr>
                  <w:r>
                    <w:rPr>
                      <w:rFonts w:hint="eastAsia"/>
                      <w:color w:val="auto"/>
                      <w:kern w:val="0"/>
                      <w:szCs w:val="21"/>
                    </w:rPr>
                    <w:t>符合</w:t>
                  </w:r>
                </w:p>
              </w:tc>
            </w:tr>
            <w:tr w14:paraId="790C6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71" w:type="pct"/>
                  <w:vMerge w:val="continue"/>
                  <w:tcBorders>
                    <w:tl2br w:val="nil"/>
                    <w:tr2bl w:val="nil"/>
                  </w:tcBorders>
                  <w:vAlign w:val="center"/>
                </w:tcPr>
                <w:p w14:paraId="57910EC2">
                  <w:pPr>
                    <w:autoSpaceDE w:val="0"/>
                    <w:autoSpaceDN w:val="0"/>
                    <w:adjustRightInd w:val="0"/>
                    <w:snapToGrid w:val="0"/>
                    <w:jc w:val="center"/>
                    <w:rPr>
                      <w:color w:val="auto"/>
                      <w:kern w:val="0"/>
                      <w:szCs w:val="21"/>
                    </w:rPr>
                  </w:pPr>
                </w:p>
              </w:tc>
              <w:tc>
                <w:tcPr>
                  <w:tcW w:w="365" w:type="pct"/>
                  <w:vMerge w:val="continue"/>
                  <w:tcBorders>
                    <w:tl2br w:val="nil"/>
                    <w:tr2bl w:val="nil"/>
                  </w:tcBorders>
                  <w:vAlign w:val="center"/>
                </w:tcPr>
                <w:p w14:paraId="3A4E9738">
                  <w:pPr>
                    <w:autoSpaceDE w:val="0"/>
                    <w:autoSpaceDN w:val="0"/>
                    <w:adjustRightInd w:val="0"/>
                    <w:snapToGrid w:val="0"/>
                    <w:jc w:val="center"/>
                    <w:rPr>
                      <w:color w:val="auto"/>
                      <w:kern w:val="0"/>
                      <w:szCs w:val="21"/>
                    </w:rPr>
                  </w:pPr>
                </w:p>
              </w:tc>
              <w:tc>
                <w:tcPr>
                  <w:tcW w:w="2094" w:type="pct"/>
                  <w:tcBorders>
                    <w:tl2br w:val="nil"/>
                    <w:tr2bl w:val="nil"/>
                  </w:tcBorders>
                  <w:vAlign w:val="center"/>
                </w:tcPr>
                <w:p w14:paraId="775DB6B7">
                  <w:pPr>
                    <w:autoSpaceDE w:val="0"/>
                    <w:autoSpaceDN w:val="0"/>
                    <w:adjustRightInd w:val="0"/>
                    <w:snapToGrid w:val="0"/>
                    <w:ind w:left="-105" w:leftChars="-50" w:right="-105" w:rightChars="-50"/>
                    <w:jc w:val="center"/>
                    <w:rPr>
                      <w:color w:val="auto"/>
                      <w:kern w:val="0"/>
                      <w:szCs w:val="21"/>
                    </w:rPr>
                  </w:pPr>
                  <w:r>
                    <w:rPr>
                      <w:rFonts w:hint="eastAsia"/>
                      <w:color w:val="auto"/>
                      <w:kern w:val="0"/>
                      <w:szCs w:val="21"/>
                    </w:rPr>
                    <w:t>矿山生产过程中应采取喷雾、喷洒水或生物纳膜、加装除尘设备等措施处置粉尘。应对输送系统、生产线、料库等采取有效措施进行抑尘；做好车辆保洁，车辆驶离矿区必须冲洗，严禁运料遗撒和带泥上路，保持矿区及周边环境卫生。</w:t>
                  </w:r>
                </w:p>
              </w:tc>
              <w:tc>
                <w:tcPr>
                  <w:tcW w:w="1891" w:type="pct"/>
                  <w:tcBorders>
                    <w:tl2br w:val="nil"/>
                    <w:tr2bl w:val="nil"/>
                  </w:tcBorders>
                  <w:vAlign w:val="center"/>
                </w:tcPr>
                <w:p w14:paraId="35CF8FC4">
                  <w:pPr>
                    <w:autoSpaceDE w:val="0"/>
                    <w:autoSpaceDN w:val="0"/>
                    <w:adjustRightInd w:val="0"/>
                    <w:snapToGrid w:val="0"/>
                    <w:jc w:val="center"/>
                    <w:rPr>
                      <w:color w:val="auto"/>
                      <w:kern w:val="0"/>
                      <w:szCs w:val="21"/>
                    </w:rPr>
                  </w:pPr>
                  <w:r>
                    <w:rPr>
                      <w:rFonts w:hint="eastAsia"/>
                      <w:color w:val="auto"/>
                      <w:kern w:val="0"/>
                      <w:szCs w:val="21"/>
                    </w:rPr>
                    <w:t>矿山开采过程中采用雾炮车喷雾降尘</w:t>
                  </w:r>
                  <w:r>
                    <w:rPr>
                      <w:rFonts w:hint="eastAsia"/>
                      <w:color w:val="auto"/>
                      <w:kern w:val="0"/>
                      <w:szCs w:val="21"/>
                      <w:lang w:val="en-US" w:eastAsia="zh-CN"/>
                    </w:rPr>
                    <w:t>、雾炮机定点喷雾降尘</w:t>
                  </w:r>
                  <w:r>
                    <w:rPr>
                      <w:rFonts w:hint="eastAsia"/>
                      <w:color w:val="auto"/>
                      <w:kern w:val="0"/>
                      <w:szCs w:val="21"/>
                    </w:rPr>
                    <w:t>、道路洒水降尘的方式处置粉尘；</w:t>
                  </w:r>
                  <w:r>
                    <w:rPr>
                      <w:rFonts w:hint="eastAsia"/>
                      <w:color w:val="auto"/>
                      <w:kern w:val="0"/>
                      <w:szCs w:val="21"/>
                      <w:lang w:val="en-US" w:eastAsia="zh-CN"/>
                    </w:rPr>
                    <w:t>本项目依托配套工业场地内现有车辆清洗系统</w:t>
                  </w:r>
                  <w:r>
                    <w:rPr>
                      <w:rFonts w:hint="eastAsia"/>
                      <w:color w:val="auto"/>
                      <w:kern w:val="0"/>
                      <w:szCs w:val="21"/>
                    </w:rPr>
                    <w:t>，车辆驶离时进行冲洗，定期对矿区及周边环境进行清扫。</w:t>
                  </w:r>
                </w:p>
              </w:tc>
              <w:tc>
                <w:tcPr>
                  <w:tcW w:w="377" w:type="pct"/>
                  <w:tcBorders>
                    <w:tl2br w:val="nil"/>
                    <w:tr2bl w:val="nil"/>
                  </w:tcBorders>
                  <w:vAlign w:val="center"/>
                </w:tcPr>
                <w:p w14:paraId="080CBFF2">
                  <w:pPr>
                    <w:autoSpaceDE w:val="0"/>
                    <w:autoSpaceDN w:val="0"/>
                    <w:adjustRightInd w:val="0"/>
                    <w:snapToGrid w:val="0"/>
                    <w:ind w:left="-105" w:leftChars="-50" w:right="-105" w:rightChars="-50"/>
                    <w:jc w:val="center"/>
                    <w:rPr>
                      <w:color w:val="auto"/>
                      <w:kern w:val="0"/>
                      <w:szCs w:val="21"/>
                    </w:rPr>
                  </w:pPr>
                  <w:r>
                    <w:rPr>
                      <w:rFonts w:hint="eastAsia"/>
                      <w:color w:val="auto"/>
                      <w:kern w:val="0"/>
                      <w:szCs w:val="21"/>
                    </w:rPr>
                    <w:t>符合</w:t>
                  </w:r>
                </w:p>
              </w:tc>
            </w:tr>
            <w:tr w14:paraId="55247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71" w:type="pct"/>
                  <w:vMerge w:val="continue"/>
                  <w:tcBorders>
                    <w:tl2br w:val="nil"/>
                    <w:tr2bl w:val="nil"/>
                  </w:tcBorders>
                  <w:vAlign w:val="center"/>
                </w:tcPr>
                <w:p w14:paraId="79BAC9FF">
                  <w:pPr>
                    <w:autoSpaceDE w:val="0"/>
                    <w:autoSpaceDN w:val="0"/>
                    <w:adjustRightInd w:val="0"/>
                    <w:snapToGrid w:val="0"/>
                    <w:jc w:val="center"/>
                    <w:rPr>
                      <w:color w:val="auto"/>
                      <w:kern w:val="0"/>
                      <w:szCs w:val="21"/>
                    </w:rPr>
                  </w:pPr>
                </w:p>
              </w:tc>
              <w:tc>
                <w:tcPr>
                  <w:tcW w:w="365" w:type="pct"/>
                  <w:vMerge w:val="continue"/>
                  <w:tcBorders>
                    <w:tl2br w:val="nil"/>
                    <w:tr2bl w:val="nil"/>
                  </w:tcBorders>
                  <w:vAlign w:val="center"/>
                </w:tcPr>
                <w:p w14:paraId="6F7F3F74">
                  <w:pPr>
                    <w:autoSpaceDE w:val="0"/>
                    <w:autoSpaceDN w:val="0"/>
                    <w:adjustRightInd w:val="0"/>
                    <w:snapToGrid w:val="0"/>
                    <w:jc w:val="center"/>
                    <w:rPr>
                      <w:color w:val="auto"/>
                      <w:kern w:val="0"/>
                      <w:szCs w:val="21"/>
                    </w:rPr>
                  </w:pPr>
                </w:p>
              </w:tc>
              <w:tc>
                <w:tcPr>
                  <w:tcW w:w="2094" w:type="pct"/>
                  <w:tcBorders>
                    <w:tl2br w:val="nil"/>
                    <w:tr2bl w:val="nil"/>
                  </w:tcBorders>
                  <w:vAlign w:val="center"/>
                </w:tcPr>
                <w:p w14:paraId="6900B936">
                  <w:pPr>
                    <w:autoSpaceDE w:val="0"/>
                    <w:autoSpaceDN w:val="0"/>
                    <w:adjustRightInd w:val="0"/>
                    <w:snapToGrid w:val="0"/>
                    <w:jc w:val="center"/>
                    <w:rPr>
                      <w:color w:val="auto"/>
                      <w:kern w:val="0"/>
                      <w:szCs w:val="21"/>
                    </w:rPr>
                  </w:pPr>
                  <w:r>
                    <w:rPr>
                      <w:rFonts w:hint="eastAsia"/>
                      <w:color w:val="auto"/>
                      <w:kern w:val="0"/>
                      <w:szCs w:val="21"/>
                    </w:rPr>
                    <w:t>应采用合理有效的技术措施对高噪声设备进行降噪处理</w:t>
                  </w:r>
                </w:p>
              </w:tc>
              <w:tc>
                <w:tcPr>
                  <w:tcW w:w="1891" w:type="pct"/>
                  <w:tcBorders>
                    <w:tl2br w:val="nil"/>
                    <w:tr2bl w:val="nil"/>
                  </w:tcBorders>
                  <w:vAlign w:val="center"/>
                </w:tcPr>
                <w:p w14:paraId="4434663F">
                  <w:pPr>
                    <w:autoSpaceDE w:val="0"/>
                    <w:autoSpaceDN w:val="0"/>
                    <w:adjustRightInd w:val="0"/>
                    <w:snapToGrid w:val="0"/>
                    <w:jc w:val="center"/>
                    <w:rPr>
                      <w:color w:val="auto"/>
                      <w:kern w:val="0"/>
                      <w:szCs w:val="21"/>
                    </w:rPr>
                  </w:pPr>
                  <w:r>
                    <w:rPr>
                      <w:rFonts w:hint="eastAsia"/>
                      <w:color w:val="auto"/>
                      <w:kern w:val="0"/>
                      <w:szCs w:val="21"/>
                      <w:lang w:val="en-US" w:eastAsia="zh-CN"/>
                    </w:rPr>
                    <w:t>本次评价要求，</w:t>
                  </w:r>
                  <w:r>
                    <w:rPr>
                      <w:rFonts w:hint="eastAsia"/>
                      <w:color w:val="auto"/>
                      <w:kern w:val="0"/>
                      <w:szCs w:val="21"/>
                    </w:rPr>
                    <w:t>定期对采矿设备进行检查、润滑、维护保养。</w:t>
                  </w:r>
                </w:p>
              </w:tc>
              <w:tc>
                <w:tcPr>
                  <w:tcW w:w="377" w:type="pct"/>
                  <w:tcBorders>
                    <w:tl2br w:val="nil"/>
                    <w:tr2bl w:val="nil"/>
                  </w:tcBorders>
                  <w:vAlign w:val="center"/>
                </w:tcPr>
                <w:p w14:paraId="20DF041B">
                  <w:pPr>
                    <w:autoSpaceDE w:val="0"/>
                    <w:autoSpaceDN w:val="0"/>
                    <w:adjustRightInd w:val="0"/>
                    <w:snapToGrid w:val="0"/>
                    <w:ind w:left="-105" w:leftChars="-50" w:right="-105" w:rightChars="-50"/>
                    <w:jc w:val="center"/>
                    <w:rPr>
                      <w:color w:val="auto"/>
                      <w:kern w:val="0"/>
                      <w:szCs w:val="21"/>
                    </w:rPr>
                  </w:pPr>
                  <w:r>
                    <w:rPr>
                      <w:rFonts w:hint="eastAsia"/>
                      <w:color w:val="auto"/>
                      <w:kern w:val="0"/>
                      <w:szCs w:val="21"/>
                    </w:rPr>
                    <w:t>符合</w:t>
                  </w:r>
                </w:p>
              </w:tc>
            </w:tr>
            <w:tr w14:paraId="7FB3E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71" w:type="pct"/>
                  <w:vMerge w:val="continue"/>
                  <w:tcBorders>
                    <w:tl2br w:val="nil"/>
                    <w:tr2bl w:val="nil"/>
                  </w:tcBorders>
                  <w:vAlign w:val="center"/>
                </w:tcPr>
                <w:p w14:paraId="564B79DE">
                  <w:pPr>
                    <w:autoSpaceDE w:val="0"/>
                    <w:autoSpaceDN w:val="0"/>
                    <w:adjustRightInd w:val="0"/>
                    <w:snapToGrid w:val="0"/>
                    <w:jc w:val="center"/>
                    <w:rPr>
                      <w:color w:val="auto"/>
                      <w:kern w:val="0"/>
                      <w:szCs w:val="21"/>
                    </w:rPr>
                  </w:pPr>
                </w:p>
              </w:tc>
              <w:tc>
                <w:tcPr>
                  <w:tcW w:w="365" w:type="pct"/>
                  <w:vMerge w:val="continue"/>
                  <w:tcBorders>
                    <w:tl2br w:val="nil"/>
                    <w:tr2bl w:val="nil"/>
                  </w:tcBorders>
                  <w:vAlign w:val="center"/>
                </w:tcPr>
                <w:p w14:paraId="32D4118F">
                  <w:pPr>
                    <w:autoSpaceDE w:val="0"/>
                    <w:autoSpaceDN w:val="0"/>
                    <w:adjustRightInd w:val="0"/>
                    <w:snapToGrid w:val="0"/>
                    <w:jc w:val="center"/>
                    <w:rPr>
                      <w:color w:val="auto"/>
                      <w:kern w:val="0"/>
                      <w:szCs w:val="21"/>
                    </w:rPr>
                  </w:pPr>
                </w:p>
              </w:tc>
              <w:tc>
                <w:tcPr>
                  <w:tcW w:w="2094" w:type="pct"/>
                  <w:tcBorders>
                    <w:tl2br w:val="nil"/>
                    <w:tr2bl w:val="nil"/>
                  </w:tcBorders>
                  <w:vAlign w:val="center"/>
                </w:tcPr>
                <w:p w14:paraId="6488772C">
                  <w:pPr>
                    <w:autoSpaceDE w:val="0"/>
                    <w:autoSpaceDN w:val="0"/>
                    <w:adjustRightInd w:val="0"/>
                    <w:snapToGrid w:val="0"/>
                    <w:jc w:val="center"/>
                    <w:rPr>
                      <w:color w:val="auto"/>
                      <w:kern w:val="0"/>
                      <w:szCs w:val="21"/>
                    </w:rPr>
                  </w:pPr>
                  <w:r>
                    <w:rPr>
                      <w:rFonts w:hint="eastAsia"/>
                      <w:color w:val="auto"/>
                      <w:kern w:val="0"/>
                      <w:szCs w:val="21"/>
                    </w:rPr>
                    <w:t>矿山开采面、作业平台应干净整洁，规范美观。</w:t>
                  </w:r>
                </w:p>
              </w:tc>
              <w:tc>
                <w:tcPr>
                  <w:tcW w:w="1891" w:type="pct"/>
                  <w:tcBorders>
                    <w:tl2br w:val="nil"/>
                    <w:tr2bl w:val="nil"/>
                  </w:tcBorders>
                  <w:vAlign w:val="center"/>
                </w:tcPr>
                <w:p w14:paraId="20E13DC6">
                  <w:pPr>
                    <w:autoSpaceDE w:val="0"/>
                    <w:autoSpaceDN w:val="0"/>
                    <w:adjustRightInd w:val="0"/>
                    <w:snapToGrid w:val="0"/>
                    <w:jc w:val="center"/>
                    <w:rPr>
                      <w:color w:val="auto"/>
                      <w:kern w:val="0"/>
                      <w:szCs w:val="21"/>
                    </w:rPr>
                  </w:pPr>
                  <w:r>
                    <w:rPr>
                      <w:rFonts w:hint="eastAsia"/>
                      <w:color w:val="auto"/>
                      <w:kern w:val="0"/>
                      <w:szCs w:val="21"/>
                      <w:lang w:val="en-US" w:eastAsia="zh-CN"/>
                    </w:rPr>
                    <w:t>本次评价要求，</w:t>
                  </w:r>
                  <w:r>
                    <w:rPr>
                      <w:rFonts w:hint="eastAsia"/>
                      <w:color w:val="auto"/>
                      <w:kern w:val="0"/>
                      <w:szCs w:val="21"/>
                    </w:rPr>
                    <w:t>加强对矿山开采面、作业平台的整治，保持干净卫生，规范美观。</w:t>
                  </w:r>
                </w:p>
              </w:tc>
              <w:tc>
                <w:tcPr>
                  <w:tcW w:w="377" w:type="pct"/>
                  <w:tcBorders>
                    <w:tl2br w:val="nil"/>
                    <w:tr2bl w:val="nil"/>
                  </w:tcBorders>
                  <w:vAlign w:val="center"/>
                </w:tcPr>
                <w:p w14:paraId="4605F41A">
                  <w:pPr>
                    <w:autoSpaceDE w:val="0"/>
                    <w:autoSpaceDN w:val="0"/>
                    <w:adjustRightInd w:val="0"/>
                    <w:snapToGrid w:val="0"/>
                    <w:ind w:left="-105" w:leftChars="-50" w:right="-105" w:rightChars="-50"/>
                    <w:jc w:val="center"/>
                    <w:rPr>
                      <w:color w:val="auto"/>
                      <w:kern w:val="0"/>
                      <w:szCs w:val="21"/>
                    </w:rPr>
                  </w:pPr>
                  <w:r>
                    <w:rPr>
                      <w:rFonts w:hint="eastAsia"/>
                      <w:color w:val="auto"/>
                      <w:kern w:val="0"/>
                      <w:szCs w:val="21"/>
                    </w:rPr>
                    <w:t>符合</w:t>
                  </w:r>
                </w:p>
              </w:tc>
            </w:tr>
            <w:tr w14:paraId="06861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71" w:type="pct"/>
                  <w:vMerge w:val="continue"/>
                  <w:tcBorders>
                    <w:tl2br w:val="nil"/>
                    <w:tr2bl w:val="nil"/>
                  </w:tcBorders>
                  <w:vAlign w:val="center"/>
                </w:tcPr>
                <w:p w14:paraId="3ABBB4F1">
                  <w:pPr>
                    <w:autoSpaceDE w:val="0"/>
                    <w:autoSpaceDN w:val="0"/>
                    <w:adjustRightInd w:val="0"/>
                    <w:snapToGrid w:val="0"/>
                    <w:jc w:val="center"/>
                    <w:rPr>
                      <w:color w:val="auto"/>
                      <w:kern w:val="0"/>
                      <w:szCs w:val="21"/>
                    </w:rPr>
                  </w:pPr>
                </w:p>
              </w:tc>
              <w:tc>
                <w:tcPr>
                  <w:tcW w:w="365" w:type="pct"/>
                  <w:vMerge w:val="restart"/>
                  <w:tcBorders>
                    <w:tl2br w:val="nil"/>
                    <w:tr2bl w:val="nil"/>
                  </w:tcBorders>
                  <w:vAlign w:val="center"/>
                </w:tcPr>
                <w:p w14:paraId="32333DD2">
                  <w:pPr>
                    <w:autoSpaceDE w:val="0"/>
                    <w:autoSpaceDN w:val="0"/>
                    <w:adjustRightInd w:val="0"/>
                    <w:snapToGrid w:val="0"/>
                    <w:ind w:left="-105" w:leftChars="-50" w:right="-105" w:rightChars="-50"/>
                    <w:jc w:val="center"/>
                    <w:rPr>
                      <w:color w:val="auto"/>
                      <w:kern w:val="0"/>
                      <w:szCs w:val="21"/>
                    </w:rPr>
                  </w:pPr>
                  <w:r>
                    <w:rPr>
                      <w:rFonts w:hint="eastAsia"/>
                      <w:color w:val="auto"/>
                      <w:kern w:val="0"/>
                      <w:szCs w:val="21"/>
                    </w:rPr>
                    <w:t>矿区绿化</w:t>
                  </w:r>
                </w:p>
              </w:tc>
              <w:tc>
                <w:tcPr>
                  <w:tcW w:w="2094" w:type="pct"/>
                  <w:tcBorders>
                    <w:tl2br w:val="nil"/>
                    <w:tr2bl w:val="nil"/>
                  </w:tcBorders>
                  <w:vAlign w:val="center"/>
                </w:tcPr>
                <w:p w14:paraId="5580548D">
                  <w:pPr>
                    <w:autoSpaceDE w:val="0"/>
                    <w:autoSpaceDN w:val="0"/>
                    <w:adjustRightInd w:val="0"/>
                    <w:snapToGrid w:val="0"/>
                    <w:ind w:left="-105" w:leftChars="-50" w:right="-105" w:rightChars="-50"/>
                    <w:jc w:val="center"/>
                    <w:rPr>
                      <w:color w:val="auto"/>
                      <w:kern w:val="0"/>
                      <w:szCs w:val="21"/>
                    </w:rPr>
                  </w:pPr>
                  <w:r>
                    <w:rPr>
                      <w:rFonts w:hint="eastAsia"/>
                      <w:color w:val="auto"/>
                      <w:kern w:val="0"/>
                      <w:szCs w:val="21"/>
                    </w:rPr>
                    <w:t>矿区绿化应与周边自然环境和景观相协调，绿化植物搭配合理，矿区绿化覆盖率应达到100%。</w:t>
                  </w:r>
                </w:p>
              </w:tc>
              <w:tc>
                <w:tcPr>
                  <w:tcW w:w="1891" w:type="pct"/>
                  <w:tcBorders>
                    <w:tl2br w:val="nil"/>
                    <w:tr2bl w:val="nil"/>
                  </w:tcBorders>
                  <w:vAlign w:val="center"/>
                </w:tcPr>
                <w:p w14:paraId="1AA7C900">
                  <w:pPr>
                    <w:autoSpaceDE w:val="0"/>
                    <w:autoSpaceDN w:val="0"/>
                    <w:adjustRightInd w:val="0"/>
                    <w:snapToGrid w:val="0"/>
                    <w:jc w:val="center"/>
                    <w:rPr>
                      <w:rFonts w:hint="default"/>
                      <w:color w:val="auto"/>
                      <w:kern w:val="0"/>
                      <w:szCs w:val="21"/>
                      <w:lang w:val="en-US" w:eastAsia="zh-CN"/>
                    </w:rPr>
                  </w:pPr>
                  <w:r>
                    <w:rPr>
                      <w:rFonts w:hint="eastAsia"/>
                      <w:color w:val="auto"/>
                      <w:kern w:val="0"/>
                      <w:szCs w:val="21"/>
                      <w:lang w:val="en-US" w:eastAsia="zh-CN"/>
                    </w:rPr>
                    <w:t>本次评价要求，2026年10月底完成对已采区生态恢复，</w:t>
                  </w:r>
                </w:p>
                <w:p w14:paraId="11CE65F8">
                  <w:pPr>
                    <w:autoSpaceDE w:val="0"/>
                    <w:autoSpaceDN w:val="0"/>
                    <w:adjustRightInd w:val="0"/>
                    <w:snapToGrid w:val="0"/>
                    <w:jc w:val="center"/>
                    <w:rPr>
                      <w:color w:val="auto"/>
                      <w:kern w:val="0"/>
                      <w:szCs w:val="21"/>
                    </w:rPr>
                  </w:pPr>
                  <w:r>
                    <w:rPr>
                      <w:rFonts w:hint="eastAsia"/>
                      <w:color w:val="auto"/>
                      <w:kern w:val="0"/>
                      <w:szCs w:val="21"/>
                      <w:lang w:val="en-US" w:eastAsia="zh-CN"/>
                    </w:rPr>
                    <w:t>在开采过程中“边开采、边治理、边恢复”，按照绿色矿山的要求进行生态修复，</w:t>
                  </w:r>
                  <w:r>
                    <w:rPr>
                      <w:rFonts w:hint="eastAsia"/>
                      <w:color w:val="auto"/>
                      <w:kern w:val="0"/>
                      <w:szCs w:val="21"/>
                      <w:highlight w:val="none"/>
                    </w:rPr>
                    <w:t>使矿区绿化覆盖率达到100%。</w:t>
                  </w:r>
                </w:p>
              </w:tc>
              <w:tc>
                <w:tcPr>
                  <w:tcW w:w="377" w:type="pct"/>
                  <w:tcBorders>
                    <w:tl2br w:val="nil"/>
                    <w:tr2bl w:val="nil"/>
                  </w:tcBorders>
                  <w:vAlign w:val="center"/>
                </w:tcPr>
                <w:p w14:paraId="4C55302C">
                  <w:pPr>
                    <w:autoSpaceDE w:val="0"/>
                    <w:autoSpaceDN w:val="0"/>
                    <w:adjustRightInd w:val="0"/>
                    <w:snapToGrid w:val="0"/>
                    <w:ind w:left="-105" w:leftChars="-50" w:right="-105" w:rightChars="-50"/>
                    <w:jc w:val="center"/>
                    <w:rPr>
                      <w:color w:val="auto"/>
                      <w:kern w:val="0"/>
                      <w:szCs w:val="21"/>
                    </w:rPr>
                  </w:pPr>
                  <w:r>
                    <w:rPr>
                      <w:rFonts w:hint="eastAsia"/>
                      <w:color w:val="auto"/>
                      <w:kern w:val="0"/>
                      <w:szCs w:val="21"/>
                    </w:rPr>
                    <w:t>符合</w:t>
                  </w:r>
                </w:p>
              </w:tc>
            </w:tr>
            <w:tr w14:paraId="6B05C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71" w:type="pct"/>
                  <w:vMerge w:val="continue"/>
                  <w:tcBorders>
                    <w:tl2br w:val="nil"/>
                    <w:tr2bl w:val="nil"/>
                  </w:tcBorders>
                  <w:vAlign w:val="center"/>
                </w:tcPr>
                <w:p w14:paraId="5F863328">
                  <w:pPr>
                    <w:autoSpaceDE w:val="0"/>
                    <w:autoSpaceDN w:val="0"/>
                    <w:adjustRightInd w:val="0"/>
                    <w:snapToGrid w:val="0"/>
                    <w:jc w:val="center"/>
                    <w:rPr>
                      <w:color w:val="auto"/>
                      <w:kern w:val="0"/>
                      <w:szCs w:val="21"/>
                    </w:rPr>
                  </w:pPr>
                </w:p>
              </w:tc>
              <w:tc>
                <w:tcPr>
                  <w:tcW w:w="365" w:type="pct"/>
                  <w:vMerge w:val="continue"/>
                  <w:tcBorders>
                    <w:tl2br w:val="nil"/>
                    <w:tr2bl w:val="nil"/>
                  </w:tcBorders>
                  <w:vAlign w:val="center"/>
                </w:tcPr>
                <w:p w14:paraId="2BD21DB7">
                  <w:pPr>
                    <w:autoSpaceDE w:val="0"/>
                    <w:autoSpaceDN w:val="0"/>
                    <w:adjustRightInd w:val="0"/>
                    <w:snapToGrid w:val="0"/>
                    <w:ind w:left="-105" w:leftChars="-50" w:right="-105" w:rightChars="-50"/>
                    <w:jc w:val="center"/>
                    <w:rPr>
                      <w:color w:val="auto"/>
                      <w:kern w:val="0"/>
                      <w:szCs w:val="21"/>
                    </w:rPr>
                  </w:pPr>
                </w:p>
              </w:tc>
              <w:tc>
                <w:tcPr>
                  <w:tcW w:w="2094" w:type="pct"/>
                  <w:tcBorders>
                    <w:tl2br w:val="nil"/>
                    <w:tr2bl w:val="nil"/>
                  </w:tcBorders>
                  <w:vAlign w:val="center"/>
                </w:tcPr>
                <w:p w14:paraId="16FC5DC4">
                  <w:pPr>
                    <w:autoSpaceDE w:val="0"/>
                    <w:autoSpaceDN w:val="0"/>
                    <w:adjustRightInd w:val="0"/>
                    <w:snapToGrid w:val="0"/>
                    <w:jc w:val="center"/>
                    <w:rPr>
                      <w:color w:val="auto"/>
                      <w:kern w:val="0"/>
                      <w:szCs w:val="21"/>
                    </w:rPr>
                  </w:pPr>
                  <w:r>
                    <w:rPr>
                      <w:rFonts w:hint="eastAsia"/>
                      <w:color w:val="auto"/>
                      <w:kern w:val="0"/>
                      <w:szCs w:val="21"/>
                    </w:rPr>
                    <w:t>应对排土场进行治理、复垦及绿化，在矿区专用道路两侧因地制宜地设置隔离绿化带</w:t>
                  </w:r>
                </w:p>
              </w:tc>
              <w:tc>
                <w:tcPr>
                  <w:tcW w:w="1891" w:type="pct"/>
                  <w:tcBorders>
                    <w:tl2br w:val="nil"/>
                    <w:tr2bl w:val="nil"/>
                  </w:tcBorders>
                  <w:vAlign w:val="center"/>
                </w:tcPr>
                <w:p w14:paraId="6CB12CCC">
                  <w:pPr>
                    <w:autoSpaceDE w:val="0"/>
                    <w:autoSpaceDN w:val="0"/>
                    <w:adjustRightInd w:val="0"/>
                    <w:snapToGrid w:val="0"/>
                    <w:ind w:left="-105" w:leftChars="-50" w:right="-105" w:rightChars="-50"/>
                    <w:jc w:val="center"/>
                    <w:rPr>
                      <w:color w:val="auto"/>
                      <w:kern w:val="0"/>
                      <w:szCs w:val="21"/>
                    </w:rPr>
                  </w:pPr>
                  <w:r>
                    <w:rPr>
                      <w:rFonts w:hint="eastAsia"/>
                      <w:color w:val="auto"/>
                      <w:kern w:val="0"/>
                      <w:szCs w:val="21"/>
                    </w:rPr>
                    <w:t>对排土场进行生态恢复；在</w:t>
                  </w:r>
                  <w:r>
                    <w:rPr>
                      <w:rFonts w:hint="eastAsia"/>
                      <w:color w:val="auto"/>
                      <w:kern w:val="0"/>
                      <w:szCs w:val="21"/>
                      <w:lang w:val="en-US" w:eastAsia="zh-CN"/>
                    </w:rPr>
                    <w:t>运矿</w:t>
                  </w:r>
                  <w:r>
                    <w:rPr>
                      <w:rFonts w:hint="eastAsia"/>
                      <w:color w:val="auto"/>
                      <w:kern w:val="0"/>
                      <w:szCs w:val="21"/>
                    </w:rPr>
                    <w:t>道路两侧栽种新疆杨</w:t>
                  </w:r>
                  <w:r>
                    <w:rPr>
                      <w:rFonts w:hint="eastAsia"/>
                      <w:color w:val="auto"/>
                      <w:kern w:val="0"/>
                      <w:szCs w:val="21"/>
                      <w:lang w:eastAsia="zh-CN"/>
                    </w:rPr>
                    <w:t>，形成林带</w:t>
                  </w:r>
                  <w:r>
                    <w:rPr>
                      <w:rFonts w:hint="eastAsia"/>
                      <w:color w:val="auto"/>
                      <w:kern w:val="0"/>
                      <w:szCs w:val="21"/>
                    </w:rPr>
                    <w:t>。</w:t>
                  </w:r>
                </w:p>
              </w:tc>
              <w:tc>
                <w:tcPr>
                  <w:tcW w:w="377" w:type="pct"/>
                  <w:tcBorders>
                    <w:tl2br w:val="nil"/>
                    <w:tr2bl w:val="nil"/>
                  </w:tcBorders>
                  <w:vAlign w:val="center"/>
                </w:tcPr>
                <w:p w14:paraId="08E82EC4">
                  <w:pPr>
                    <w:autoSpaceDE w:val="0"/>
                    <w:autoSpaceDN w:val="0"/>
                    <w:adjustRightInd w:val="0"/>
                    <w:snapToGrid w:val="0"/>
                    <w:ind w:left="-105" w:leftChars="-50" w:right="-105" w:rightChars="-50"/>
                    <w:jc w:val="center"/>
                    <w:rPr>
                      <w:color w:val="auto"/>
                      <w:kern w:val="0"/>
                      <w:szCs w:val="21"/>
                    </w:rPr>
                  </w:pPr>
                  <w:r>
                    <w:rPr>
                      <w:rFonts w:hint="eastAsia"/>
                      <w:color w:val="auto"/>
                      <w:kern w:val="0"/>
                      <w:szCs w:val="21"/>
                    </w:rPr>
                    <w:t>符合</w:t>
                  </w:r>
                </w:p>
              </w:tc>
            </w:tr>
            <w:tr w14:paraId="6DC9F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71" w:type="pct"/>
                  <w:vMerge w:val="restart"/>
                  <w:tcBorders>
                    <w:tl2br w:val="nil"/>
                    <w:tr2bl w:val="nil"/>
                  </w:tcBorders>
                  <w:vAlign w:val="center"/>
                </w:tcPr>
                <w:p w14:paraId="4A496591">
                  <w:pPr>
                    <w:autoSpaceDE w:val="0"/>
                    <w:autoSpaceDN w:val="0"/>
                    <w:adjustRightInd w:val="0"/>
                    <w:snapToGrid w:val="0"/>
                    <w:jc w:val="center"/>
                    <w:rPr>
                      <w:color w:val="auto"/>
                      <w:kern w:val="0"/>
                      <w:szCs w:val="21"/>
                    </w:rPr>
                  </w:pPr>
                  <w:r>
                    <w:rPr>
                      <w:rFonts w:hint="eastAsia"/>
                      <w:color w:val="auto"/>
                      <w:kern w:val="0"/>
                      <w:szCs w:val="21"/>
                    </w:rPr>
                    <w:t>资源开发方式</w:t>
                  </w:r>
                </w:p>
              </w:tc>
              <w:tc>
                <w:tcPr>
                  <w:tcW w:w="365" w:type="pct"/>
                  <w:vMerge w:val="restart"/>
                  <w:tcBorders>
                    <w:tl2br w:val="nil"/>
                    <w:tr2bl w:val="nil"/>
                  </w:tcBorders>
                  <w:vAlign w:val="center"/>
                </w:tcPr>
                <w:p w14:paraId="42C5BB1B">
                  <w:pPr>
                    <w:autoSpaceDE w:val="0"/>
                    <w:autoSpaceDN w:val="0"/>
                    <w:adjustRightInd w:val="0"/>
                    <w:snapToGrid w:val="0"/>
                    <w:ind w:left="-105" w:leftChars="-50" w:right="-105" w:rightChars="-50"/>
                    <w:jc w:val="center"/>
                    <w:rPr>
                      <w:color w:val="auto"/>
                      <w:kern w:val="0"/>
                      <w:szCs w:val="21"/>
                    </w:rPr>
                  </w:pPr>
                  <w:r>
                    <w:rPr>
                      <w:rFonts w:hint="eastAsia"/>
                      <w:color w:val="auto"/>
                      <w:kern w:val="0"/>
                      <w:szCs w:val="21"/>
                    </w:rPr>
                    <w:t>绿色开发</w:t>
                  </w:r>
                </w:p>
              </w:tc>
              <w:tc>
                <w:tcPr>
                  <w:tcW w:w="2094" w:type="pct"/>
                  <w:tcBorders>
                    <w:tl2br w:val="nil"/>
                    <w:tr2bl w:val="nil"/>
                  </w:tcBorders>
                  <w:vAlign w:val="center"/>
                </w:tcPr>
                <w:p w14:paraId="368AF497">
                  <w:pPr>
                    <w:autoSpaceDE w:val="0"/>
                    <w:autoSpaceDN w:val="0"/>
                    <w:adjustRightInd w:val="0"/>
                    <w:snapToGrid w:val="0"/>
                    <w:jc w:val="center"/>
                    <w:rPr>
                      <w:color w:val="auto"/>
                      <w:kern w:val="0"/>
                      <w:szCs w:val="21"/>
                    </w:rPr>
                  </w:pPr>
                  <w:r>
                    <w:rPr>
                      <w:rFonts w:hint="eastAsia"/>
                      <w:color w:val="auto"/>
                      <w:kern w:val="0"/>
                      <w:szCs w:val="21"/>
                    </w:rPr>
                    <w:t>应做好矿山中长期开采规划和短期开采计划，采场工作面推进均衡有序。</w:t>
                  </w:r>
                </w:p>
              </w:tc>
              <w:tc>
                <w:tcPr>
                  <w:tcW w:w="1891" w:type="pct"/>
                  <w:tcBorders>
                    <w:tl2br w:val="nil"/>
                    <w:tr2bl w:val="nil"/>
                  </w:tcBorders>
                  <w:vAlign w:val="center"/>
                </w:tcPr>
                <w:p w14:paraId="46BB16EC">
                  <w:pPr>
                    <w:autoSpaceDE w:val="0"/>
                    <w:autoSpaceDN w:val="0"/>
                    <w:adjustRightInd w:val="0"/>
                    <w:snapToGrid w:val="0"/>
                    <w:jc w:val="center"/>
                    <w:rPr>
                      <w:color w:val="auto"/>
                      <w:kern w:val="0"/>
                      <w:szCs w:val="21"/>
                    </w:rPr>
                  </w:pPr>
                  <w:r>
                    <w:rPr>
                      <w:rFonts w:hint="eastAsia"/>
                      <w:color w:val="auto"/>
                      <w:kern w:val="0"/>
                      <w:szCs w:val="21"/>
                      <w:lang w:val="en-US" w:eastAsia="zh-CN"/>
                    </w:rPr>
                    <w:t>已</w:t>
                  </w:r>
                  <w:r>
                    <w:rPr>
                      <w:rFonts w:hint="eastAsia"/>
                      <w:color w:val="auto"/>
                      <w:kern w:val="0"/>
                      <w:szCs w:val="21"/>
                    </w:rPr>
                    <w:t>建立了矿山长期开采规划和短期开采规划，并按照规划</w:t>
                  </w:r>
                  <w:r>
                    <w:rPr>
                      <w:rFonts w:hint="eastAsia"/>
                      <w:color w:val="auto"/>
                      <w:kern w:val="0"/>
                      <w:szCs w:val="21"/>
                      <w:lang w:val="en-US" w:eastAsia="zh-CN"/>
                    </w:rPr>
                    <w:t>进行开采，</w:t>
                  </w:r>
                  <w:r>
                    <w:rPr>
                      <w:rFonts w:hint="eastAsia"/>
                      <w:color w:val="auto"/>
                      <w:kern w:val="0"/>
                      <w:szCs w:val="21"/>
                    </w:rPr>
                    <w:t>使工作面开采均衡有序。</w:t>
                  </w:r>
                </w:p>
              </w:tc>
              <w:tc>
                <w:tcPr>
                  <w:tcW w:w="377" w:type="pct"/>
                  <w:tcBorders>
                    <w:tl2br w:val="nil"/>
                    <w:tr2bl w:val="nil"/>
                  </w:tcBorders>
                  <w:vAlign w:val="center"/>
                </w:tcPr>
                <w:p w14:paraId="300037A3">
                  <w:pPr>
                    <w:autoSpaceDE w:val="0"/>
                    <w:autoSpaceDN w:val="0"/>
                    <w:adjustRightInd w:val="0"/>
                    <w:snapToGrid w:val="0"/>
                    <w:ind w:left="-105" w:leftChars="-50" w:right="-105" w:rightChars="-50"/>
                    <w:jc w:val="center"/>
                    <w:rPr>
                      <w:color w:val="auto"/>
                      <w:kern w:val="0"/>
                      <w:szCs w:val="21"/>
                    </w:rPr>
                  </w:pPr>
                  <w:r>
                    <w:rPr>
                      <w:rFonts w:hint="eastAsia"/>
                      <w:color w:val="auto"/>
                      <w:kern w:val="0"/>
                      <w:szCs w:val="21"/>
                    </w:rPr>
                    <w:t>符合</w:t>
                  </w:r>
                </w:p>
              </w:tc>
            </w:tr>
            <w:tr w14:paraId="06FB9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71" w:type="pct"/>
                  <w:vMerge w:val="continue"/>
                  <w:tcBorders>
                    <w:tl2br w:val="nil"/>
                    <w:tr2bl w:val="nil"/>
                  </w:tcBorders>
                  <w:vAlign w:val="center"/>
                </w:tcPr>
                <w:p w14:paraId="0E623886">
                  <w:pPr>
                    <w:autoSpaceDE w:val="0"/>
                    <w:autoSpaceDN w:val="0"/>
                    <w:adjustRightInd w:val="0"/>
                    <w:snapToGrid w:val="0"/>
                    <w:jc w:val="center"/>
                    <w:rPr>
                      <w:color w:val="auto"/>
                      <w:kern w:val="0"/>
                      <w:szCs w:val="21"/>
                    </w:rPr>
                  </w:pPr>
                </w:p>
              </w:tc>
              <w:tc>
                <w:tcPr>
                  <w:tcW w:w="365" w:type="pct"/>
                  <w:vMerge w:val="continue"/>
                  <w:tcBorders>
                    <w:tl2br w:val="nil"/>
                    <w:tr2bl w:val="nil"/>
                  </w:tcBorders>
                  <w:vAlign w:val="center"/>
                </w:tcPr>
                <w:p w14:paraId="31034029">
                  <w:pPr>
                    <w:autoSpaceDE w:val="0"/>
                    <w:autoSpaceDN w:val="0"/>
                    <w:adjustRightInd w:val="0"/>
                    <w:snapToGrid w:val="0"/>
                    <w:jc w:val="center"/>
                    <w:rPr>
                      <w:color w:val="auto"/>
                      <w:kern w:val="0"/>
                      <w:szCs w:val="21"/>
                    </w:rPr>
                  </w:pPr>
                </w:p>
              </w:tc>
              <w:tc>
                <w:tcPr>
                  <w:tcW w:w="2094" w:type="pct"/>
                  <w:tcBorders>
                    <w:tl2br w:val="nil"/>
                    <w:tr2bl w:val="nil"/>
                  </w:tcBorders>
                  <w:vAlign w:val="center"/>
                </w:tcPr>
                <w:p w14:paraId="1262A779">
                  <w:pPr>
                    <w:autoSpaceDE w:val="0"/>
                    <w:autoSpaceDN w:val="0"/>
                    <w:adjustRightInd w:val="0"/>
                    <w:snapToGrid w:val="0"/>
                    <w:ind w:left="-105" w:leftChars="-50" w:right="-105" w:rightChars="-50"/>
                    <w:jc w:val="center"/>
                    <w:rPr>
                      <w:color w:val="auto"/>
                      <w:kern w:val="0"/>
                      <w:szCs w:val="21"/>
                    </w:rPr>
                  </w:pPr>
                  <w:r>
                    <w:rPr>
                      <w:rFonts w:hint="eastAsia"/>
                      <w:color w:val="auto"/>
                      <w:kern w:val="0"/>
                      <w:szCs w:val="21"/>
                    </w:rPr>
                    <w:t>采场准备应遵循采剥并举、剥离先行的原则，最大限度地保留原生自然环境，减少环境扰动。</w:t>
                  </w:r>
                </w:p>
              </w:tc>
              <w:tc>
                <w:tcPr>
                  <w:tcW w:w="1891" w:type="pct"/>
                  <w:tcBorders>
                    <w:tl2br w:val="nil"/>
                    <w:tr2bl w:val="nil"/>
                  </w:tcBorders>
                  <w:vAlign w:val="center"/>
                </w:tcPr>
                <w:p w14:paraId="19832B45">
                  <w:pPr>
                    <w:autoSpaceDE w:val="0"/>
                    <w:autoSpaceDN w:val="0"/>
                    <w:adjustRightInd w:val="0"/>
                    <w:snapToGrid w:val="0"/>
                    <w:ind w:left="-105" w:leftChars="-50" w:right="-105" w:rightChars="-50"/>
                    <w:jc w:val="center"/>
                    <w:rPr>
                      <w:color w:val="auto"/>
                      <w:kern w:val="0"/>
                      <w:szCs w:val="21"/>
                    </w:rPr>
                  </w:pPr>
                  <w:r>
                    <w:rPr>
                      <w:rFonts w:hint="eastAsia"/>
                      <w:color w:val="auto"/>
                      <w:kern w:val="0"/>
                      <w:szCs w:val="21"/>
                      <w:lang w:val="en-US" w:eastAsia="zh-CN"/>
                    </w:rPr>
                    <w:t>本项目</w:t>
                  </w:r>
                  <w:r>
                    <w:rPr>
                      <w:rFonts w:hint="eastAsia"/>
                      <w:color w:val="auto"/>
                      <w:kern w:val="0"/>
                      <w:szCs w:val="21"/>
                    </w:rPr>
                    <w:t>采场遵循采剥并举、剥离先行的原则。</w:t>
                  </w:r>
                </w:p>
              </w:tc>
              <w:tc>
                <w:tcPr>
                  <w:tcW w:w="377" w:type="pct"/>
                  <w:tcBorders>
                    <w:tl2br w:val="nil"/>
                    <w:tr2bl w:val="nil"/>
                  </w:tcBorders>
                  <w:vAlign w:val="center"/>
                </w:tcPr>
                <w:p w14:paraId="0AD175D4">
                  <w:pPr>
                    <w:autoSpaceDE w:val="0"/>
                    <w:autoSpaceDN w:val="0"/>
                    <w:adjustRightInd w:val="0"/>
                    <w:snapToGrid w:val="0"/>
                    <w:ind w:left="-105" w:leftChars="-50" w:right="-105" w:rightChars="-50"/>
                    <w:jc w:val="center"/>
                    <w:rPr>
                      <w:color w:val="auto"/>
                      <w:kern w:val="0"/>
                      <w:szCs w:val="21"/>
                    </w:rPr>
                  </w:pPr>
                  <w:r>
                    <w:rPr>
                      <w:rFonts w:hint="eastAsia"/>
                      <w:color w:val="auto"/>
                      <w:kern w:val="0"/>
                      <w:szCs w:val="21"/>
                    </w:rPr>
                    <w:t>符合</w:t>
                  </w:r>
                </w:p>
              </w:tc>
            </w:tr>
            <w:tr w14:paraId="1DEBE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71" w:type="pct"/>
                  <w:vMerge w:val="continue"/>
                  <w:tcBorders>
                    <w:tl2br w:val="nil"/>
                    <w:tr2bl w:val="nil"/>
                  </w:tcBorders>
                  <w:vAlign w:val="center"/>
                </w:tcPr>
                <w:p w14:paraId="1776F481">
                  <w:pPr>
                    <w:autoSpaceDE w:val="0"/>
                    <w:autoSpaceDN w:val="0"/>
                    <w:adjustRightInd w:val="0"/>
                    <w:snapToGrid w:val="0"/>
                    <w:jc w:val="center"/>
                    <w:rPr>
                      <w:color w:val="auto"/>
                      <w:kern w:val="0"/>
                      <w:szCs w:val="21"/>
                    </w:rPr>
                  </w:pPr>
                </w:p>
              </w:tc>
              <w:tc>
                <w:tcPr>
                  <w:tcW w:w="365" w:type="pct"/>
                  <w:vMerge w:val="continue"/>
                  <w:tcBorders>
                    <w:tl2br w:val="nil"/>
                    <w:tr2bl w:val="nil"/>
                  </w:tcBorders>
                  <w:vAlign w:val="center"/>
                </w:tcPr>
                <w:p w14:paraId="378B62BC">
                  <w:pPr>
                    <w:autoSpaceDE w:val="0"/>
                    <w:autoSpaceDN w:val="0"/>
                    <w:adjustRightInd w:val="0"/>
                    <w:snapToGrid w:val="0"/>
                    <w:jc w:val="center"/>
                    <w:rPr>
                      <w:color w:val="auto"/>
                      <w:kern w:val="0"/>
                      <w:szCs w:val="21"/>
                    </w:rPr>
                  </w:pPr>
                </w:p>
              </w:tc>
              <w:tc>
                <w:tcPr>
                  <w:tcW w:w="2094" w:type="pct"/>
                  <w:tcBorders>
                    <w:tl2br w:val="nil"/>
                    <w:tr2bl w:val="nil"/>
                  </w:tcBorders>
                  <w:vAlign w:val="center"/>
                </w:tcPr>
                <w:p w14:paraId="61E3C035">
                  <w:pPr>
                    <w:autoSpaceDE w:val="0"/>
                    <w:autoSpaceDN w:val="0"/>
                    <w:adjustRightInd w:val="0"/>
                    <w:snapToGrid w:val="0"/>
                    <w:ind w:left="-105" w:leftChars="-50" w:right="-105" w:rightChars="-50"/>
                    <w:jc w:val="center"/>
                    <w:rPr>
                      <w:color w:val="auto"/>
                      <w:kern w:val="0"/>
                      <w:szCs w:val="21"/>
                    </w:rPr>
                  </w:pPr>
                  <w:r>
                    <w:rPr>
                      <w:rFonts w:hint="eastAsia"/>
                      <w:color w:val="auto"/>
                      <w:kern w:val="0"/>
                      <w:szCs w:val="21"/>
                    </w:rPr>
                    <w:t>排土场应通过勘测选择地质条件稳定的场所，避免占压可采矿量，并方便未来矿区进行环境恢复治理和土地复垦时使用</w:t>
                  </w:r>
                </w:p>
              </w:tc>
              <w:tc>
                <w:tcPr>
                  <w:tcW w:w="1891" w:type="pct"/>
                  <w:tcBorders>
                    <w:tl2br w:val="nil"/>
                    <w:tr2bl w:val="nil"/>
                  </w:tcBorders>
                  <w:vAlign w:val="center"/>
                </w:tcPr>
                <w:p w14:paraId="0AE42E9D">
                  <w:pPr>
                    <w:autoSpaceDE w:val="0"/>
                    <w:autoSpaceDN w:val="0"/>
                    <w:adjustRightInd w:val="0"/>
                    <w:snapToGrid w:val="0"/>
                    <w:jc w:val="center"/>
                    <w:rPr>
                      <w:color w:val="auto"/>
                      <w:kern w:val="0"/>
                      <w:szCs w:val="21"/>
                    </w:rPr>
                  </w:pPr>
                  <w:r>
                    <w:rPr>
                      <w:rFonts w:hint="eastAsia"/>
                      <w:color w:val="auto"/>
                      <w:kern w:val="0"/>
                      <w:szCs w:val="21"/>
                      <w:lang w:val="en-US" w:eastAsia="zh-CN"/>
                    </w:rPr>
                    <w:t>本项目为扩建项目，现有</w:t>
                  </w:r>
                  <w:r>
                    <w:rPr>
                      <w:rFonts w:hint="eastAsia"/>
                      <w:color w:val="auto"/>
                      <w:kern w:val="0"/>
                      <w:szCs w:val="21"/>
                    </w:rPr>
                    <w:t>排土场</w:t>
                  </w:r>
                  <w:r>
                    <w:rPr>
                      <w:rFonts w:hint="eastAsia"/>
                      <w:color w:val="auto"/>
                      <w:kern w:val="0"/>
                      <w:szCs w:val="21"/>
                      <w:lang w:val="en-US" w:eastAsia="zh-CN"/>
                    </w:rPr>
                    <w:t>未</w:t>
                  </w:r>
                  <w:r>
                    <w:rPr>
                      <w:rFonts w:hint="eastAsia"/>
                      <w:color w:val="auto"/>
                      <w:kern w:val="0"/>
                      <w:szCs w:val="21"/>
                    </w:rPr>
                    <w:t>占压可采矿量，地质条件稳定，剥离的废土暂存在排土场内，用于后期的生态恢复。</w:t>
                  </w:r>
                </w:p>
              </w:tc>
              <w:tc>
                <w:tcPr>
                  <w:tcW w:w="377" w:type="pct"/>
                  <w:tcBorders>
                    <w:tl2br w:val="nil"/>
                    <w:tr2bl w:val="nil"/>
                  </w:tcBorders>
                  <w:vAlign w:val="center"/>
                </w:tcPr>
                <w:p w14:paraId="3A2EAA58">
                  <w:pPr>
                    <w:autoSpaceDE w:val="0"/>
                    <w:autoSpaceDN w:val="0"/>
                    <w:adjustRightInd w:val="0"/>
                    <w:snapToGrid w:val="0"/>
                    <w:ind w:left="-105" w:leftChars="-50" w:right="-105" w:rightChars="-50"/>
                    <w:jc w:val="center"/>
                    <w:rPr>
                      <w:color w:val="auto"/>
                      <w:kern w:val="0"/>
                      <w:szCs w:val="21"/>
                    </w:rPr>
                  </w:pPr>
                  <w:r>
                    <w:rPr>
                      <w:rFonts w:hint="eastAsia"/>
                      <w:color w:val="auto"/>
                      <w:kern w:val="0"/>
                      <w:szCs w:val="21"/>
                    </w:rPr>
                    <w:t>符合</w:t>
                  </w:r>
                </w:p>
              </w:tc>
            </w:tr>
            <w:tr w14:paraId="3585D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71" w:type="pct"/>
                  <w:vMerge w:val="continue"/>
                  <w:tcBorders>
                    <w:tl2br w:val="nil"/>
                    <w:tr2bl w:val="nil"/>
                  </w:tcBorders>
                  <w:vAlign w:val="center"/>
                </w:tcPr>
                <w:p w14:paraId="46F3A5C9">
                  <w:pPr>
                    <w:autoSpaceDE w:val="0"/>
                    <w:autoSpaceDN w:val="0"/>
                    <w:adjustRightInd w:val="0"/>
                    <w:snapToGrid w:val="0"/>
                    <w:jc w:val="center"/>
                    <w:rPr>
                      <w:color w:val="auto"/>
                      <w:kern w:val="0"/>
                      <w:szCs w:val="21"/>
                    </w:rPr>
                  </w:pPr>
                </w:p>
              </w:tc>
              <w:tc>
                <w:tcPr>
                  <w:tcW w:w="365" w:type="pct"/>
                  <w:vMerge w:val="restart"/>
                  <w:tcBorders>
                    <w:tl2br w:val="nil"/>
                    <w:tr2bl w:val="nil"/>
                  </w:tcBorders>
                  <w:vAlign w:val="center"/>
                </w:tcPr>
                <w:p w14:paraId="3EFC2F64">
                  <w:pPr>
                    <w:autoSpaceDE w:val="0"/>
                    <w:autoSpaceDN w:val="0"/>
                    <w:adjustRightInd w:val="0"/>
                    <w:snapToGrid w:val="0"/>
                    <w:ind w:left="-105" w:leftChars="-50" w:right="-105" w:rightChars="-50"/>
                    <w:jc w:val="center"/>
                    <w:rPr>
                      <w:color w:val="auto"/>
                      <w:kern w:val="0"/>
                      <w:szCs w:val="21"/>
                    </w:rPr>
                  </w:pPr>
                  <w:r>
                    <w:rPr>
                      <w:rFonts w:hint="eastAsia"/>
                      <w:color w:val="auto"/>
                      <w:kern w:val="0"/>
                      <w:szCs w:val="21"/>
                    </w:rPr>
                    <w:t>绿色生产</w:t>
                  </w:r>
                </w:p>
              </w:tc>
              <w:tc>
                <w:tcPr>
                  <w:tcW w:w="2094" w:type="pct"/>
                  <w:tcBorders>
                    <w:tl2br w:val="nil"/>
                    <w:tr2bl w:val="nil"/>
                  </w:tcBorders>
                  <w:vAlign w:val="center"/>
                </w:tcPr>
                <w:p w14:paraId="504FC95D">
                  <w:pPr>
                    <w:autoSpaceDE w:val="0"/>
                    <w:autoSpaceDN w:val="0"/>
                    <w:adjustRightInd w:val="0"/>
                    <w:snapToGrid w:val="0"/>
                    <w:ind w:left="-105" w:leftChars="-50" w:right="-105" w:rightChars="-50"/>
                    <w:jc w:val="center"/>
                    <w:rPr>
                      <w:color w:val="auto"/>
                      <w:kern w:val="0"/>
                      <w:szCs w:val="21"/>
                    </w:rPr>
                  </w:pPr>
                  <w:r>
                    <w:rPr>
                      <w:rFonts w:hint="eastAsia"/>
                      <w:color w:val="auto"/>
                      <w:kern w:val="0"/>
                      <w:szCs w:val="21"/>
                    </w:rPr>
                    <w:t>生产线设计应符合GB51186的要求</w:t>
                  </w:r>
                </w:p>
              </w:tc>
              <w:tc>
                <w:tcPr>
                  <w:tcW w:w="1891" w:type="pct"/>
                  <w:tcBorders>
                    <w:tl2br w:val="nil"/>
                    <w:tr2bl w:val="nil"/>
                  </w:tcBorders>
                  <w:vAlign w:val="center"/>
                </w:tcPr>
                <w:p w14:paraId="798F30D8">
                  <w:pPr>
                    <w:autoSpaceDE w:val="0"/>
                    <w:autoSpaceDN w:val="0"/>
                    <w:adjustRightInd w:val="0"/>
                    <w:snapToGrid w:val="0"/>
                    <w:ind w:left="-105" w:leftChars="-50" w:right="-105" w:rightChars="-50"/>
                    <w:jc w:val="center"/>
                    <w:rPr>
                      <w:color w:val="auto"/>
                      <w:kern w:val="0"/>
                      <w:szCs w:val="21"/>
                    </w:rPr>
                  </w:pPr>
                  <w:r>
                    <w:rPr>
                      <w:rFonts w:hint="eastAsia"/>
                      <w:color w:val="auto"/>
                      <w:kern w:val="0"/>
                      <w:szCs w:val="21"/>
                    </w:rPr>
                    <w:t>不涉及。</w:t>
                  </w:r>
                </w:p>
              </w:tc>
              <w:tc>
                <w:tcPr>
                  <w:tcW w:w="377" w:type="pct"/>
                  <w:tcBorders>
                    <w:tl2br w:val="nil"/>
                    <w:tr2bl w:val="nil"/>
                  </w:tcBorders>
                  <w:vAlign w:val="center"/>
                </w:tcPr>
                <w:p w14:paraId="10F1E1D4">
                  <w:pPr>
                    <w:autoSpaceDE w:val="0"/>
                    <w:autoSpaceDN w:val="0"/>
                    <w:adjustRightInd w:val="0"/>
                    <w:snapToGrid w:val="0"/>
                    <w:ind w:left="-105" w:leftChars="-50" w:right="-105" w:rightChars="-50"/>
                    <w:jc w:val="center"/>
                    <w:rPr>
                      <w:color w:val="auto"/>
                      <w:kern w:val="0"/>
                      <w:szCs w:val="21"/>
                    </w:rPr>
                  </w:pPr>
                  <w:r>
                    <w:rPr>
                      <w:rFonts w:hint="eastAsia"/>
                      <w:color w:val="auto"/>
                      <w:kern w:val="0"/>
                      <w:szCs w:val="21"/>
                    </w:rPr>
                    <w:t>符合</w:t>
                  </w:r>
                </w:p>
              </w:tc>
            </w:tr>
            <w:tr w14:paraId="66384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71" w:type="pct"/>
                  <w:vMerge w:val="continue"/>
                  <w:tcBorders>
                    <w:tl2br w:val="nil"/>
                    <w:tr2bl w:val="nil"/>
                  </w:tcBorders>
                  <w:vAlign w:val="center"/>
                </w:tcPr>
                <w:p w14:paraId="6E982EB8">
                  <w:pPr>
                    <w:autoSpaceDE w:val="0"/>
                    <w:autoSpaceDN w:val="0"/>
                    <w:adjustRightInd w:val="0"/>
                    <w:snapToGrid w:val="0"/>
                    <w:jc w:val="center"/>
                    <w:rPr>
                      <w:color w:val="auto"/>
                      <w:kern w:val="0"/>
                      <w:szCs w:val="21"/>
                    </w:rPr>
                  </w:pPr>
                </w:p>
              </w:tc>
              <w:tc>
                <w:tcPr>
                  <w:tcW w:w="365" w:type="pct"/>
                  <w:vMerge w:val="continue"/>
                  <w:tcBorders>
                    <w:tl2br w:val="nil"/>
                    <w:tr2bl w:val="nil"/>
                  </w:tcBorders>
                  <w:vAlign w:val="center"/>
                </w:tcPr>
                <w:p w14:paraId="77F29977">
                  <w:pPr>
                    <w:autoSpaceDE w:val="0"/>
                    <w:autoSpaceDN w:val="0"/>
                    <w:adjustRightInd w:val="0"/>
                    <w:snapToGrid w:val="0"/>
                    <w:ind w:left="-105" w:leftChars="-50" w:right="-105" w:rightChars="-50"/>
                    <w:jc w:val="center"/>
                    <w:rPr>
                      <w:color w:val="auto"/>
                      <w:kern w:val="0"/>
                      <w:szCs w:val="21"/>
                    </w:rPr>
                  </w:pPr>
                </w:p>
              </w:tc>
              <w:tc>
                <w:tcPr>
                  <w:tcW w:w="2094" w:type="pct"/>
                  <w:tcBorders>
                    <w:tl2br w:val="nil"/>
                    <w:tr2bl w:val="nil"/>
                  </w:tcBorders>
                  <w:vAlign w:val="center"/>
                </w:tcPr>
                <w:p w14:paraId="472E3261">
                  <w:pPr>
                    <w:autoSpaceDE w:val="0"/>
                    <w:autoSpaceDN w:val="0"/>
                    <w:adjustRightInd w:val="0"/>
                    <w:snapToGrid w:val="0"/>
                    <w:jc w:val="center"/>
                    <w:rPr>
                      <w:color w:val="auto"/>
                      <w:kern w:val="0"/>
                      <w:szCs w:val="21"/>
                    </w:rPr>
                  </w:pPr>
                  <w:r>
                    <w:rPr>
                      <w:rFonts w:hint="eastAsia"/>
                      <w:color w:val="auto"/>
                      <w:kern w:val="0"/>
                      <w:szCs w:val="21"/>
                    </w:rPr>
                    <w:t>应根据母岩材质性能、产品结构、产能要求等因素选择先进工艺和设备，配置与生产规模和工艺相符的辅助设施，合理规划堆料、装卸以及设备检修维护场地</w:t>
                  </w:r>
                </w:p>
              </w:tc>
              <w:tc>
                <w:tcPr>
                  <w:tcW w:w="1891" w:type="pct"/>
                  <w:tcBorders>
                    <w:tl2br w:val="nil"/>
                    <w:tr2bl w:val="nil"/>
                  </w:tcBorders>
                  <w:vAlign w:val="center"/>
                </w:tcPr>
                <w:p w14:paraId="395C5E5E">
                  <w:pPr>
                    <w:autoSpaceDE w:val="0"/>
                    <w:autoSpaceDN w:val="0"/>
                    <w:adjustRightInd w:val="0"/>
                    <w:snapToGrid w:val="0"/>
                    <w:jc w:val="center"/>
                    <w:rPr>
                      <w:color w:val="auto"/>
                      <w:kern w:val="0"/>
                      <w:szCs w:val="21"/>
                    </w:rPr>
                  </w:pPr>
                  <w:r>
                    <w:rPr>
                      <w:rFonts w:hint="eastAsia"/>
                      <w:color w:val="auto"/>
                      <w:kern w:val="0"/>
                      <w:szCs w:val="21"/>
                    </w:rPr>
                    <w:t>不涉及。</w:t>
                  </w:r>
                </w:p>
              </w:tc>
              <w:tc>
                <w:tcPr>
                  <w:tcW w:w="377" w:type="pct"/>
                  <w:tcBorders>
                    <w:tl2br w:val="nil"/>
                    <w:tr2bl w:val="nil"/>
                  </w:tcBorders>
                  <w:vAlign w:val="center"/>
                </w:tcPr>
                <w:p w14:paraId="41B93E55">
                  <w:pPr>
                    <w:autoSpaceDE w:val="0"/>
                    <w:autoSpaceDN w:val="0"/>
                    <w:adjustRightInd w:val="0"/>
                    <w:snapToGrid w:val="0"/>
                    <w:ind w:left="-105" w:leftChars="-50" w:right="-105" w:rightChars="-50"/>
                    <w:jc w:val="center"/>
                    <w:rPr>
                      <w:color w:val="auto"/>
                      <w:kern w:val="0"/>
                      <w:szCs w:val="21"/>
                    </w:rPr>
                  </w:pPr>
                  <w:r>
                    <w:rPr>
                      <w:rFonts w:hint="eastAsia"/>
                      <w:color w:val="auto"/>
                      <w:kern w:val="0"/>
                      <w:szCs w:val="21"/>
                    </w:rPr>
                    <w:t>符合</w:t>
                  </w:r>
                </w:p>
              </w:tc>
            </w:tr>
            <w:tr w14:paraId="648A7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71" w:type="pct"/>
                  <w:vMerge w:val="continue"/>
                  <w:tcBorders>
                    <w:tl2br w:val="nil"/>
                    <w:tr2bl w:val="nil"/>
                  </w:tcBorders>
                  <w:vAlign w:val="center"/>
                </w:tcPr>
                <w:p w14:paraId="53443019">
                  <w:pPr>
                    <w:autoSpaceDE w:val="0"/>
                    <w:autoSpaceDN w:val="0"/>
                    <w:adjustRightInd w:val="0"/>
                    <w:snapToGrid w:val="0"/>
                    <w:jc w:val="center"/>
                    <w:rPr>
                      <w:color w:val="auto"/>
                      <w:kern w:val="0"/>
                      <w:szCs w:val="21"/>
                    </w:rPr>
                  </w:pPr>
                </w:p>
              </w:tc>
              <w:tc>
                <w:tcPr>
                  <w:tcW w:w="365" w:type="pct"/>
                  <w:vMerge w:val="continue"/>
                  <w:tcBorders>
                    <w:tl2br w:val="nil"/>
                    <w:tr2bl w:val="nil"/>
                  </w:tcBorders>
                  <w:vAlign w:val="center"/>
                </w:tcPr>
                <w:p w14:paraId="3B609CB7">
                  <w:pPr>
                    <w:autoSpaceDE w:val="0"/>
                    <w:autoSpaceDN w:val="0"/>
                    <w:adjustRightInd w:val="0"/>
                    <w:snapToGrid w:val="0"/>
                    <w:ind w:left="-105" w:leftChars="-50" w:right="-105" w:rightChars="-50"/>
                    <w:jc w:val="center"/>
                    <w:rPr>
                      <w:color w:val="auto"/>
                      <w:kern w:val="0"/>
                      <w:szCs w:val="21"/>
                    </w:rPr>
                  </w:pPr>
                </w:p>
              </w:tc>
              <w:tc>
                <w:tcPr>
                  <w:tcW w:w="2094" w:type="pct"/>
                  <w:tcBorders>
                    <w:tl2br w:val="nil"/>
                    <w:tr2bl w:val="nil"/>
                  </w:tcBorders>
                  <w:vAlign w:val="center"/>
                </w:tcPr>
                <w:p w14:paraId="4DE38D12">
                  <w:pPr>
                    <w:autoSpaceDE w:val="0"/>
                    <w:autoSpaceDN w:val="0"/>
                    <w:adjustRightInd w:val="0"/>
                    <w:snapToGrid w:val="0"/>
                    <w:jc w:val="center"/>
                    <w:rPr>
                      <w:color w:val="auto"/>
                      <w:kern w:val="0"/>
                      <w:szCs w:val="21"/>
                    </w:rPr>
                  </w:pPr>
                  <w:r>
                    <w:rPr>
                      <w:rFonts w:hint="eastAsia"/>
                      <w:color w:val="auto"/>
                      <w:kern w:val="0"/>
                      <w:szCs w:val="21"/>
                    </w:rPr>
                    <w:t>根据原料品质分级利用砂石资源，做到优质优用，提高砂石产品的成品率</w:t>
                  </w:r>
                </w:p>
              </w:tc>
              <w:tc>
                <w:tcPr>
                  <w:tcW w:w="1891" w:type="pct"/>
                  <w:tcBorders>
                    <w:tl2br w:val="nil"/>
                    <w:tr2bl w:val="nil"/>
                  </w:tcBorders>
                  <w:vAlign w:val="center"/>
                </w:tcPr>
                <w:p w14:paraId="032F023A">
                  <w:pPr>
                    <w:autoSpaceDE w:val="0"/>
                    <w:autoSpaceDN w:val="0"/>
                    <w:adjustRightInd w:val="0"/>
                    <w:snapToGrid w:val="0"/>
                    <w:jc w:val="center"/>
                    <w:rPr>
                      <w:color w:val="auto"/>
                      <w:kern w:val="0"/>
                      <w:szCs w:val="21"/>
                    </w:rPr>
                  </w:pPr>
                  <w:r>
                    <w:rPr>
                      <w:rFonts w:hint="eastAsia"/>
                      <w:color w:val="auto"/>
                      <w:kern w:val="0"/>
                      <w:szCs w:val="21"/>
                    </w:rPr>
                    <w:t>不涉及。</w:t>
                  </w:r>
                </w:p>
              </w:tc>
              <w:tc>
                <w:tcPr>
                  <w:tcW w:w="377" w:type="pct"/>
                  <w:tcBorders>
                    <w:tl2br w:val="nil"/>
                    <w:tr2bl w:val="nil"/>
                  </w:tcBorders>
                  <w:vAlign w:val="center"/>
                </w:tcPr>
                <w:p w14:paraId="542EAC5F">
                  <w:pPr>
                    <w:autoSpaceDE w:val="0"/>
                    <w:autoSpaceDN w:val="0"/>
                    <w:adjustRightInd w:val="0"/>
                    <w:snapToGrid w:val="0"/>
                    <w:ind w:left="-105" w:leftChars="-50" w:right="-105" w:rightChars="-50"/>
                    <w:jc w:val="center"/>
                    <w:rPr>
                      <w:color w:val="auto"/>
                      <w:kern w:val="0"/>
                      <w:szCs w:val="21"/>
                    </w:rPr>
                  </w:pPr>
                  <w:r>
                    <w:rPr>
                      <w:rFonts w:hint="eastAsia"/>
                      <w:color w:val="auto"/>
                      <w:kern w:val="0"/>
                      <w:szCs w:val="21"/>
                    </w:rPr>
                    <w:t>符合</w:t>
                  </w:r>
                </w:p>
              </w:tc>
            </w:tr>
            <w:tr w14:paraId="538B4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71" w:type="pct"/>
                  <w:vMerge w:val="continue"/>
                  <w:tcBorders>
                    <w:tl2br w:val="nil"/>
                    <w:tr2bl w:val="nil"/>
                  </w:tcBorders>
                  <w:vAlign w:val="center"/>
                </w:tcPr>
                <w:p w14:paraId="474C80CB">
                  <w:pPr>
                    <w:autoSpaceDE w:val="0"/>
                    <w:autoSpaceDN w:val="0"/>
                    <w:adjustRightInd w:val="0"/>
                    <w:snapToGrid w:val="0"/>
                    <w:jc w:val="center"/>
                    <w:rPr>
                      <w:color w:val="auto"/>
                      <w:kern w:val="0"/>
                      <w:szCs w:val="21"/>
                    </w:rPr>
                  </w:pPr>
                </w:p>
              </w:tc>
              <w:tc>
                <w:tcPr>
                  <w:tcW w:w="365" w:type="pct"/>
                  <w:vMerge w:val="continue"/>
                  <w:tcBorders>
                    <w:tl2br w:val="nil"/>
                    <w:tr2bl w:val="nil"/>
                  </w:tcBorders>
                  <w:vAlign w:val="center"/>
                </w:tcPr>
                <w:p w14:paraId="7933BCB5">
                  <w:pPr>
                    <w:autoSpaceDE w:val="0"/>
                    <w:autoSpaceDN w:val="0"/>
                    <w:adjustRightInd w:val="0"/>
                    <w:snapToGrid w:val="0"/>
                    <w:ind w:left="-105" w:leftChars="-50" w:right="-105" w:rightChars="-50"/>
                    <w:jc w:val="center"/>
                    <w:rPr>
                      <w:color w:val="auto"/>
                      <w:kern w:val="0"/>
                      <w:szCs w:val="21"/>
                    </w:rPr>
                  </w:pPr>
                </w:p>
              </w:tc>
              <w:tc>
                <w:tcPr>
                  <w:tcW w:w="2094" w:type="pct"/>
                  <w:tcBorders>
                    <w:tl2br w:val="nil"/>
                    <w:tr2bl w:val="nil"/>
                  </w:tcBorders>
                  <w:vAlign w:val="center"/>
                </w:tcPr>
                <w:p w14:paraId="541C4500">
                  <w:pPr>
                    <w:autoSpaceDE w:val="0"/>
                    <w:autoSpaceDN w:val="0"/>
                    <w:adjustRightInd w:val="0"/>
                    <w:snapToGrid w:val="0"/>
                    <w:ind w:left="-105" w:leftChars="-50" w:right="-105" w:rightChars="-50"/>
                    <w:jc w:val="center"/>
                    <w:rPr>
                      <w:color w:val="auto"/>
                      <w:kern w:val="0"/>
                      <w:szCs w:val="21"/>
                    </w:rPr>
                  </w:pPr>
                  <w:r>
                    <w:rPr>
                      <w:rFonts w:hint="eastAsia"/>
                      <w:color w:val="auto"/>
                      <w:kern w:val="0"/>
                      <w:szCs w:val="21"/>
                    </w:rPr>
                    <w:t>干法生产应配备高效除尘设备，并保持与生产设备同步运行。湿法生产应配置泥粉与水分离、废水处理和循环使用系统</w:t>
                  </w:r>
                </w:p>
              </w:tc>
              <w:tc>
                <w:tcPr>
                  <w:tcW w:w="1891" w:type="pct"/>
                  <w:tcBorders>
                    <w:tl2br w:val="nil"/>
                    <w:tr2bl w:val="nil"/>
                  </w:tcBorders>
                  <w:vAlign w:val="center"/>
                </w:tcPr>
                <w:p w14:paraId="436F10FE">
                  <w:pPr>
                    <w:autoSpaceDE w:val="0"/>
                    <w:autoSpaceDN w:val="0"/>
                    <w:adjustRightInd w:val="0"/>
                    <w:snapToGrid w:val="0"/>
                    <w:jc w:val="center"/>
                    <w:rPr>
                      <w:color w:val="auto"/>
                      <w:kern w:val="0"/>
                      <w:szCs w:val="21"/>
                    </w:rPr>
                  </w:pPr>
                  <w:r>
                    <w:rPr>
                      <w:rFonts w:hint="eastAsia"/>
                      <w:color w:val="auto"/>
                      <w:kern w:val="0"/>
                      <w:szCs w:val="21"/>
                    </w:rPr>
                    <w:t>不涉及。</w:t>
                  </w:r>
                </w:p>
              </w:tc>
              <w:tc>
                <w:tcPr>
                  <w:tcW w:w="377" w:type="pct"/>
                  <w:tcBorders>
                    <w:tl2br w:val="nil"/>
                    <w:tr2bl w:val="nil"/>
                  </w:tcBorders>
                  <w:vAlign w:val="center"/>
                </w:tcPr>
                <w:p w14:paraId="7B1790B4">
                  <w:pPr>
                    <w:autoSpaceDE w:val="0"/>
                    <w:autoSpaceDN w:val="0"/>
                    <w:adjustRightInd w:val="0"/>
                    <w:snapToGrid w:val="0"/>
                    <w:ind w:left="-105" w:leftChars="-50" w:right="-105" w:rightChars="-50"/>
                    <w:jc w:val="center"/>
                    <w:rPr>
                      <w:color w:val="auto"/>
                      <w:kern w:val="0"/>
                      <w:szCs w:val="21"/>
                    </w:rPr>
                  </w:pPr>
                  <w:r>
                    <w:rPr>
                      <w:rFonts w:hint="eastAsia"/>
                      <w:color w:val="auto"/>
                      <w:kern w:val="0"/>
                      <w:szCs w:val="21"/>
                    </w:rPr>
                    <w:t>符合</w:t>
                  </w:r>
                </w:p>
              </w:tc>
            </w:tr>
            <w:tr w14:paraId="5DA16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71" w:type="pct"/>
                  <w:vMerge w:val="continue"/>
                  <w:tcBorders>
                    <w:tl2br w:val="nil"/>
                    <w:tr2bl w:val="nil"/>
                  </w:tcBorders>
                  <w:vAlign w:val="center"/>
                </w:tcPr>
                <w:p w14:paraId="23A300D3">
                  <w:pPr>
                    <w:autoSpaceDE w:val="0"/>
                    <w:autoSpaceDN w:val="0"/>
                    <w:adjustRightInd w:val="0"/>
                    <w:snapToGrid w:val="0"/>
                    <w:jc w:val="center"/>
                    <w:rPr>
                      <w:color w:val="auto"/>
                      <w:kern w:val="0"/>
                      <w:szCs w:val="21"/>
                    </w:rPr>
                  </w:pPr>
                </w:p>
              </w:tc>
              <w:tc>
                <w:tcPr>
                  <w:tcW w:w="365" w:type="pct"/>
                  <w:vMerge w:val="continue"/>
                  <w:tcBorders>
                    <w:tl2br w:val="nil"/>
                    <w:tr2bl w:val="nil"/>
                  </w:tcBorders>
                  <w:vAlign w:val="center"/>
                </w:tcPr>
                <w:p w14:paraId="3997DF6A">
                  <w:pPr>
                    <w:autoSpaceDE w:val="0"/>
                    <w:autoSpaceDN w:val="0"/>
                    <w:adjustRightInd w:val="0"/>
                    <w:snapToGrid w:val="0"/>
                    <w:ind w:left="-105" w:leftChars="-50" w:right="-105" w:rightChars="-50"/>
                    <w:jc w:val="center"/>
                    <w:rPr>
                      <w:color w:val="auto"/>
                      <w:kern w:val="0"/>
                      <w:szCs w:val="21"/>
                    </w:rPr>
                  </w:pPr>
                </w:p>
              </w:tc>
              <w:tc>
                <w:tcPr>
                  <w:tcW w:w="2094" w:type="pct"/>
                  <w:tcBorders>
                    <w:tl2br w:val="nil"/>
                    <w:tr2bl w:val="nil"/>
                  </w:tcBorders>
                  <w:vAlign w:val="center"/>
                </w:tcPr>
                <w:p w14:paraId="04F63B38">
                  <w:pPr>
                    <w:autoSpaceDE w:val="0"/>
                    <w:autoSpaceDN w:val="0"/>
                    <w:adjustRightInd w:val="0"/>
                    <w:snapToGrid w:val="0"/>
                    <w:ind w:left="-105" w:leftChars="-50" w:right="-105" w:rightChars="-50"/>
                    <w:jc w:val="center"/>
                    <w:rPr>
                      <w:color w:val="auto"/>
                      <w:kern w:val="0"/>
                      <w:szCs w:val="21"/>
                    </w:rPr>
                  </w:pPr>
                  <w:r>
                    <w:rPr>
                      <w:rFonts w:hint="eastAsia"/>
                      <w:color w:val="auto"/>
                      <w:kern w:val="0"/>
                      <w:szCs w:val="21"/>
                    </w:rPr>
                    <w:t>生产加工车间的产尘点应封闭</w:t>
                  </w:r>
                </w:p>
              </w:tc>
              <w:tc>
                <w:tcPr>
                  <w:tcW w:w="1891" w:type="pct"/>
                  <w:tcBorders>
                    <w:tl2br w:val="nil"/>
                    <w:tr2bl w:val="nil"/>
                  </w:tcBorders>
                  <w:vAlign w:val="center"/>
                </w:tcPr>
                <w:p w14:paraId="1F2B8DDB">
                  <w:pPr>
                    <w:autoSpaceDE w:val="0"/>
                    <w:autoSpaceDN w:val="0"/>
                    <w:adjustRightInd w:val="0"/>
                    <w:snapToGrid w:val="0"/>
                    <w:jc w:val="center"/>
                    <w:rPr>
                      <w:color w:val="auto"/>
                      <w:kern w:val="0"/>
                      <w:szCs w:val="21"/>
                    </w:rPr>
                  </w:pPr>
                  <w:r>
                    <w:rPr>
                      <w:rFonts w:hint="eastAsia"/>
                      <w:color w:val="auto"/>
                      <w:kern w:val="0"/>
                      <w:szCs w:val="21"/>
                    </w:rPr>
                    <w:t>不涉及。</w:t>
                  </w:r>
                </w:p>
              </w:tc>
              <w:tc>
                <w:tcPr>
                  <w:tcW w:w="377" w:type="pct"/>
                  <w:tcBorders>
                    <w:tl2br w:val="nil"/>
                    <w:tr2bl w:val="nil"/>
                  </w:tcBorders>
                  <w:vAlign w:val="center"/>
                </w:tcPr>
                <w:p w14:paraId="1FE583EE">
                  <w:pPr>
                    <w:autoSpaceDE w:val="0"/>
                    <w:autoSpaceDN w:val="0"/>
                    <w:adjustRightInd w:val="0"/>
                    <w:snapToGrid w:val="0"/>
                    <w:ind w:left="-105" w:leftChars="-50" w:right="-105" w:rightChars="-50"/>
                    <w:jc w:val="center"/>
                    <w:rPr>
                      <w:color w:val="auto"/>
                      <w:kern w:val="0"/>
                      <w:szCs w:val="21"/>
                    </w:rPr>
                  </w:pPr>
                  <w:r>
                    <w:rPr>
                      <w:rFonts w:hint="eastAsia"/>
                      <w:color w:val="auto"/>
                      <w:kern w:val="0"/>
                      <w:szCs w:val="21"/>
                    </w:rPr>
                    <w:t>符合</w:t>
                  </w:r>
                </w:p>
              </w:tc>
            </w:tr>
            <w:tr w14:paraId="70949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71" w:type="pct"/>
                  <w:vMerge w:val="continue"/>
                  <w:tcBorders>
                    <w:tl2br w:val="nil"/>
                    <w:tr2bl w:val="nil"/>
                  </w:tcBorders>
                  <w:vAlign w:val="center"/>
                </w:tcPr>
                <w:p w14:paraId="56257A51">
                  <w:pPr>
                    <w:autoSpaceDE w:val="0"/>
                    <w:autoSpaceDN w:val="0"/>
                    <w:adjustRightInd w:val="0"/>
                    <w:snapToGrid w:val="0"/>
                    <w:jc w:val="center"/>
                    <w:rPr>
                      <w:color w:val="auto"/>
                      <w:kern w:val="0"/>
                      <w:szCs w:val="21"/>
                    </w:rPr>
                  </w:pPr>
                </w:p>
              </w:tc>
              <w:tc>
                <w:tcPr>
                  <w:tcW w:w="365" w:type="pct"/>
                  <w:vMerge w:val="continue"/>
                  <w:tcBorders>
                    <w:tl2br w:val="nil"/>
                    <w:tr2bl w:val="nil"/>
                  </w:tcBorders>
                  <w:vAlign w:val="center"/>
                </w:tcPr>
                <w:p w14:paraId="672C327E">
                  <w:pPr>
                    <w:autoSpaceDE w:val="0"/>
                    <w:autoSpaceDN w:val="0"/>
                    <w:adjustRightInd w:val="0"/>
                    <w:snapToGrid w:val="0"/>
                    <w:ind w:left="-105" w:leftChars="-50" w:right="-105" w:rightChars="-50"/>
                    <w:jc w:val="center"/>
                    <w:rPr>
                      <w:color w:val="auto"/>
                      <w:kern w:val="0"/>
                      <w:szCs w:val="21"/>
                    </w:rPr>
                  </w:pPr>
                </w:p>
              </w:tc>
              <w:tc>
                <w:tcPr>
                  <w:tcW w:w="2094" w:type="pct"/>
                  <w:tcBorders>
                    <w:tl2br w:val="nil"/>
                    <w:tr2bl w:val="nil"/>
                  </w:tcBorders>
                  <w:vAlign w:val="center"/>
                </w:tcPr>
                <w:p w14:paraId="0C267266">
                  <w:pPr>
                    <w:autoSpaceDE w:val="0"/>
                    <w:autoSpaceDN w:val="0"/>
                    <w:adjustRightInd w:val="0"/>
                    <w:snapToGrid w:val="0"/>
                    <w:ind w:left="-105" w:leftChars="-50" w:right="-105" w:rightChars="-50"/>
                    <w:jc w:val="center"/>
                    <w:rPr>
                      <w:color w:val="auto"/>
                      <w:kern w:val="0"/>
                      <w:szCs w:val="21"/>
                    </w:rPr>
                  </w:pPr>
                  <w:r>
                    <w:rPr>
                      <w:rFonts w:hint="eastAsia"/>
                      <w:color w:val="auto"/>
                      <w:kern w:val="0"/>
                      <w:szCs w:val="21"/>
                    </w:rPr>
                    <w:t>合理设计工艺布置，控制噪声传播</w:t>
                  </w:r>
                </w:p>
              </w:tc>
              <w:tc>
                <w:tcPr>
                  <w:tcW w:w="1891" w:type="pct"/>
                  <w:tcBorders>
                    <w:tl2br w:val="nil"/>
                    <w:tr2bl w:val="nil"/>
                  </w:tcBorders>
                  <w:vAlign w:val="center"/>
                </w:tcPr>
                <w:p w14:paraId="42DB6206">
                  <w:pPr>
                    <w:autoSpaceDE w:val="0"/>
                    <w:autoSpaceDN w:val="0"/>
                    <w:adjustRightInd w:val="0"/>
                    <w:snapToGrid w:val="0"/>
                    <w:ind w:left="-105" w:leftChars="-50" w:right="-105" w:rightChars="-50"/>
                    <w:jc w:val="center"/>
                    <w:rPr>
                      <w:color w:val="auto"/>
                      <w:kern w:val="0"/>
                      <w:szCs w:val="21"/>
                    </w:rPr>
                  </w:pPr>
                  <w:r>
                    <w:rPr>
                      <w:rFonts w:hint="eastAsia"/>
                      <w:color w:val="auto"/>
                      <w:kern w:val="0"/>
                      <w:szCs w:val="21"/>
                    </w:rPr>
                    <w:t>不涉及。</w:t>
                  </w:r>
                </w:p>
              </w:tc>
              <w:tc>
                <w:tcPr>
                  <w:tcW w:w="377" w:type="pct"/>
                  <w:tcBorders>
                    <w:tl2br w:val="nil"/>
                    <w:tr2bl w:val="nil"/>
                  </w:tcBorders>
                  <w:vAlign w:val="center"/>
                </w:tcPr>
                <w:p w14:paraId="32EE7ACA">
                  <w:pPr>
                    <w:autoSpaceDE w:val="0"/>
                    <w:autoSpaceDN w:val="0"/>
                    <w:adjustRightInd w:val="0"/>
                    <w:snapToGrid w:val="0"/>
                    <w:ind w:left="-105" w:leftChars="-50" w:right="-105" w:rightChars="-50"/>
                    <w:jc w:val="center"/>
                    <w:rPr>
                      <w:color w:val="auto"/>
                      <w:kern w:val="0"/>
                      <w:szCs w:val="21"/>
                    </w:rPr>
                  </w:pPr>
                  <w:r>
                    <w:rPr>
                      <w:rFonts w:hint="eastAsia"/>
                      <w:color w:val="auto"/>
                      <w:kern w:val="0"/>
                      <w:szCs w:val="21"/>
                    </w:rPr>
                    <w:t>符合</w:t>
                  </w:r>
                </w:p>
              </w:tc>
            </w:tr>
            <w:tr w14:paraId="3D7D6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71" w:type="pct"/>
                  <w:vMerge w:val="continue"/>
                  <w:tcBorders>
                    <w:tl2br w:val="nil"/>
                    <w:tr2bl w:val="nil"/>
                  </w:tcBorders>
                  <w:vAlign w:val="center"/>
                </w:tcPr>
                <w:p w14:paraId="76B81C25">
                  <w:pPr>
                    <w:autoSpaceDE w:val="0"/>
                    <w:autoSpaceDN w:val="0"/>
                    <w:adjustRightInd w:val="0"/>
                    <w:snapToGrid w:val="0"/>
                    <w:jc w:val="center"/>
                    <w:rPr>
                      <w:color w:val="auto"/>
                      <w:kern w:val="0"/>
                      <w:szCs w:val="21"/>
                    </w:rPr>
                  </w:pPr>
                </w:p>
              </w:tc>
              <w:tc>
                <w:tcPr>
                  <w:tcW w:w="365" w:type="pct"/>
                  <w:vMerge w:val="continue"/>
                  <w:tcBorders>
                    <w:tl2br w:val="nil"/>
                    <w:tr2bl w:val="nil"/>
                  </w:tcBorders>
                  <w:vAlign w:val="center"/>
                </w:tcPr>
                <w:p w14:paraId="07A691B0">
                  <w:pPr>
                    <w:autoSpaceDE w:val="0"/>
                    <w:autoSpaceDN w:val="0"/>
                    <w:adjustRightInd w:val="0"/>
                    <w:snapToGrid w:val="0"/>
                    <w:ind w:left="-105" w:leftChars="-50" w:right="-105" w:rightChars="-50"/>
                    <w:jc w:val="center"/>
                    <w:rPr>
                      <w:color w:val="auto"/>
                      <w:kern w:val="0"/>
                      <w:szCs w:val="21"/>
                    </w:rPr>
                  </w:pPr>
                </w:p>
              </w:tc>
              <w:tc>
                <w:tcPr>
                  <w:tcW w:w="2094" w:type="pct"/>
                  <w:tcBorders>
                    <w:tl2br w:val="nil"/>
                    <w:tr2bl w:val="nil"/>
                  </w:tcBorders>
                  <w:vAlign w:val="center"/>
                </w:tcPr>
                <w:p w14:paraId="28473CBC">
                  <w:pPr>
                    <w:autoSpaceDE w:val="0"/>
                    <w:autoSpaceDN w:val="0"/>
                    <w:adjustRightInd w:val="0"/>
                    <w:snapToGrid w:val="0"/>
                    <w:jc w:val="center"/>
                    <w:rPr>
                      <w:color w:val="auto"/>
                      <w:kern w:val="0"/>
                      <w:szCs w:val="21"/>
                    </w:rPr>
                  </w:pPr>
                  <w:r>
                    <w:rPr>
                      <w:rFonts w:hint="eastAsia"/>
                      <w:color w:val="auto"/>
                      <w:kern w:val="0"/>
                      <w:szCs w:val="21"/>
                    </w:rPr>
                    <w:t>砂石骨料成品堆场（库）应地面硬化，分类或分仓储存</w:t>
                  </w:r>
                </w:p>
              </w:tc>
              <w:tc>
                <w:tcPr>
                  <w:tcW w:w="1891" w:type="pct"/>
                  <w:tcBorders>
                    <w:tl2br w:val="nil"/>
                    <w:tr2bl w:val="nil"/>
                  </w:tcBorders>
                  <w:vAlign w:val="center"/>
                </w:tcPr>
                <w:p w14:paraId="53561EDE">
                  <w:pPr>
                    <w:autoSpaceDE w:val="0"/>
                    <w:autoSpaceDN w:val="0"/>
                    <w:adjustRightInd w:val="0"/>
                    <w:snapToGrid w:val="0"/>
                    <w:jc w:val="center"/>
                    <w:rPr>
                      <w:color w:val="auto"/>
                      <w:kern w:val="0"/>
                      <w:szCs w:val="21"/>
                    </w:rPr>
                  </w:pPr>
                  <w:r>
                    <w:rPr>
                      <w:rFonts w:hint="eastAsia"/>
                      <w:color w:val="auto"/>
                      <w:kern w:val="0"/>
                      <w:szCs w:val="21"/>
                    </w:rPr>
                    <w:t>不涉及。</w:t>
                  </w:r>
                </w:p>
              </w:tc>
              <w:tc>
                <w:tcPr>
                  <w:tcW w:w="377" w:type="pct"/>
                  <w:tcBorders>
                    <w:tl2br w:val="nil"/>
                    <w:tr2bl w:val="nil"/>
                  </w:tcBorders>
                  <w:vAlign w:val="center"/>
                </w:tcPr>
                <w:p w14:paraId="4F91DAA1">
                  <w:pPr>
                    <w:autoSpaceDE w:val="0"/>
                    <w:autoSpaceDN w:val="0"/>
                    <w:adjustRightInd w:val="0"/>
                    <w:snapToGrid w:val="0"/>
                    <w:ind w:left="-105" w:leftChars="-50" w:right="-105" w:rightChars="-50"/>
                    <w:jc w:val="center"/>
                    <w:rPr>
                      <w:color w:val="auto"/>
                      <w:kern w:val="0"/>
                      <w:szCs w:val="21"/>
                    </w:rPr>
                  </w:pPr>
                  <w:r>
                    <w:rPr>
                      <w:rFonts w:hint="eastAsia"/>
                      <w:color w:val="auto"/>
                      <w:kern w:val="0"/>
                      <w:szCs w:val="21"/>
                    </w:rPr>
                    <w:t>符合</w:t>
                  </w:r>
                </w:p>
              </w:tc>
            </w:tr>
            <w:tr w14:paraId="33571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71" w:type="pct"/>
                  <w:vMerge w:val="continue"/>
                  <w:tcBorders>
                    <w:tl2br w:val="nil"/>
                    <w:tr2bl w:val="nil"/>
                  </w:tcBorders>
                  <w:vAlign w:val="center"/>
                </w:tcPr>
                <w:p w14:paraId="4644AC6D">
                  <w:pPr>
                    <w:autoSpaceDE w:val="0"/>
                    <w:autoSpaceDN w:val="0"/>
                    <w:adjustRightInd w:val="0"/>
                    <w:snapToGrid w:val="0"/>
                    <w:jc w:val="center"/>
                    <w:rPr>
                      <w:color w:val="auto"/>
                      <w:kern w:val="0"/>
                      <w:szCs w:val="21"/>
                    </w:rPr>
                  </w:pPr>
                </w:p>
              </w:tc>
              <w:tc>
                <w:tcPr>
                  <w:tcW w:w="365" w:type="pct"/>
                  <w:tcBorders>
                    <w:tl2br w:val="nil"/>
                    <w:tr2bl w:val="nil"/>
                  </w:tcBorders>
                  <w:vAlign w:val="center"/>
                </w:tcPr>
                <w:p w14:paraId="6CDE1EB8">
                  <w:pPr>
                    <w:autoSpaceDE w:val="0"/>
                    <w:autoSpaceDN w:val="0"/>
                    <w:adjustRightInd w:val="0"/>
                    <w:snapToGrid w:val="0"/>
                    <w:ind w:left="-105" w:leftChars="-50" w:right="-105" w:rightChars="-50"/>
                    <w:jc w:val="center"/>
                    <w:rPr>
                      <w:color w:val="auto"/>
                      <w:kern w:val="0"/>
                      <w:szCs w:val="21"/>
                    </w:rPr>
                  </w:pPr>
                  <w:r>
                    <w:rPr>
                      <w:rFonts w:hint="eastAsia"/>
                      <w:color w:val="auto"/>
                      <w:kern w:val="0"/>
                      <w:szCs w:val="21"/>
                    </w:rPr>
                    <w:t>绿色运输</w:t>
                  </w:r>
                </w:p>
              </w:tc>
              <w:tc>
                <w:tcPr>
                  <w:tcW w:w="2094" w:type="pct"/>
                  <w:tcBorders>
                    <w:tl2br w:val="nil"/>
                    <w:tr2bl w:val="nil"/>
                  </w:tcBorders>
                  <w:vAlign w:val="center"/>
                </w:tcPr>
                <w:p w14:paraId="1026D015">
                  <w:pPr>
                    <w:autoSpaceDE w:val="0"/>
                    <w:autoSpaceDN w:val="0"/>
                    <w:adjustRightInd w:val="0"/>
                    <w:snapToGrid w:val="0"/>
                    <w:ind w:left="-105" w:leftChars="-50" w:right="-105" w:rightChars="-50"/>
                    <w:jc w:val="center"/>
                    <w:rPr>
                      <w:color w:val="auto"/>
                      <w:kern w:val="0"/>
                      <w:szCs w:val="21"/>
                    </w:rPr>
                  </w:pPr>
                  <w:r>
                    <w:rPr>
                      <w:rFonts w:hint="eastAsia"/>
                      <w:color w:val="auto"/>
                      <w:kern w:val="0"/>
                      <w:szCs w:val="21"/>
                    </w:rPr>
                    <w:t>矿石的运输方式应结合地形地质条件、岩石特性、开采方案、运输强度等因素选择运输方案，宜推进清洁能源和新能源运输工具在矿山运输中的应用。</w:t>
                  </w:r>
                </w:p>
              </w:tc>
              <w:tc>
                <w:tcPr>
                  <w:tcW w:w="1891" w:type="pct"/>
                  <w:tcBorders>
                    <w:tl2br w:val="nil"/>
                    <w:tr2bl w:val="nil"/>
                  </w:tcBorders>
                  <w:vAlign w:val="center"/>
                </w:tcPr>
                <w:p w14:paraId="10C9DBA6">
                  <w:pPr>
                    <w:autoSpaceDE w:val="0"/>
                    <w:autoSpaceDN w:val="0"/>
                    <w:adjustRightInd w:val="0"/>
                    <w:snapToGrid w:val="0"/>
                    <w:jc w:val="center"/>
                    <w:rPr>
                      <w:color w:val="auto"/>
                      <w:kern w:val="0"/>
                      <w:szCs w:val="21"/>
                    </w:rPr>
                  </w:pPr>
                  <w:r>
                    <w:rPr>
                      <w:rFonts w:hint="eastAsia"/>
                      <w:color w:val="auto"/>
                      <w:kern w:val="0"/>
                      <w:szCs w:val="21"/>
                    </w:rPr>
                    <w:t>本项目采用汽车运输，</w:t>
                  </w:r>
                  <w:r>
                    <w:rPr>
                      <w:rFonts w:hint="eastAsia"/>
                      <w:color w:val="auto"/>
                      <w:kern w:val="0"/>
                      <w:szCs w:val="21"/>
                      <w:lang w:val="en-US" w:eastAsia="zh-CN"/>
                    </w:rPr>
                    <w:t>本次评价要求，</w:t>
                  </w:r>
                  <w:r>
                    <w:rPr>
                      <w:rFonts w:hint="eastAsia"/>
                      <w:color w:val="auto"/>
                      <w:kern w:val="0"/>
                      <w:szCs w:val="21"/>
                    </w:rPr>
                    <w:t>运输车辆采用国六及以上燃油货车或新能源运输车辆。</w:t>
                  </w:r>
                </w:p>
              </w:tc>
              <w:tc>
                <w:tcPr>
                  <w:tcW w:w="377" w:type="pct"/>
                  <w:tcBorders>
                    <w:tl2br w:val="nil"/>
                    <w:tr2bl w:val="nil"/>
                  </w:tcBorders>
                  <w:vAlign w:val="center"/>
                </w:tcPr>
                <w:p w14:paraId="10DEAE63">
                  <w:pPr>
                    <w:autoSpaceDE w:val="0"/>
                    <w:autoSpaceDN w:val="0"/>
                    <w:adjustRightInd w:val="0"/>
                    <w:snapToGrid w:val="0"/>
                    <w:ind w:left="-105" w:leftChars="-50" w:right="-105" w:rightChars="-50"/>
                    <w:jc w:val="center"/>
                    <w:rPr>
                      <w:color w:val="auto"/>
                      <w:kern w:val="0"/>
                      <w:szCs w:val="21"/>
                    </w:rPr>
                  </w:pPr>
                  <w:r>
                    <w:rPr>
                      <w:rFonts w:hint="eastAsia"/>
                      <w:color w:val="auto"/>
                      <w:kern w:val="0"/>
                      <w:szCs w:val="21"/>
                    </w:rPr>
                    <w:t>符合</w:t>
                  </w:r>
                </w:p>
              </w:tc>
            </w:tr>
            <w:tr w14:paraId="37BBA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71" w:type="pct"/>
                  <w:vMerge w:val="continue"/>
                  <w:tcBorders>
                    <w:tl2br w:val="nil"/>
                    <w:tr2bl w:val="nil"/>
                  </w:tcBorders>
                  <w:vAlign w:val="center"/>
                </w:tcPr>
                <w:p w14:paraId="421E7329">
                  <w:pPr>
                    <w:autoSpaceDE w:val="0"/>
                    <w:autoSpaceDN w:val="0"/>
                    <w:adjustRightInd w:val="0"/>
                    <w:snapToGrid w:val="0"/>
                    <w:jc w:val="center"/>
                    <w:rPr>
                      <w:color w:val="auto"/>
                      <w:kern w:val="0"/>
                      <w:szCs w:val="21"/>
                    </w:rPr>
                  </w:pPr>
                </w:p>
              </w:tc>
              <w:tc>
                <w:tcPr>
                  <w:tcW w:w="365" w:type="pct"/>
                  <w:vMerge w:val="restart"/>
                  <w:tcBorders>
                    <w:tl2br w:val="nil"/>
                    <w:tr2bl w:val="nil"/>
                  </w:tcBorders>
                  <w:vAlign w:val="center"/>
                </w:tcPr>
                <w:p w14:paraId="34FD5F8C">
                  <w:pPr>
                    <w:autoSpaceDE w:val="0"/>
                    <w:autoSpaceDN w:val="0"/>
                    <w:adjustRightInd w:val="0"/>
                    <w:snapToGrid w:val="0"/>
                    <w:ind w:left="-105" w:leftChars="-50" w:right="-105" w:rightChars="-50"/>
                    <w:jc w:val="center"/>
                    <w:rPr>
                      <w:color w:val="auto"/>
                      <w:kern w:val="0"/>
                      <w:szCs w:val="21"/>
                    </w:rPr>
                  </w:pPr>
                  <w:r>
                    <w:rPr>
                      <w:rFonts w:hint="eastAsia"/>
                      <w:color w:val="auto"/>
                      <w:kern w:val="0"/>
                      <w:szCs w:val="21"/>
                    </w:rPr>
                    <w:t>矿区生态环境保护</w:t>
                  </w:r>
                </w:p>
              </w:tc>
              <w:tc>
                <w:tcPr>
                  <w:tcW w:w="2094" w:type="pct"/>
                  <w:tcBorders>
                    <w:tl2br w:val="nil"/>
                    <w:tr2bl w:val="nil"/>
                  </w:tcBorders>
                  <w:vAlign w:val="center"/>
                </w:tcPr>
                <w:p w14:paraId="0A4D133A">
                  <w:pPr>
                    <w:autoSpaceDE w:val="0"/>
                    <w:autoSpaceDN w:val="0"/>
                    <w:adjustRightInd w:val="0"/>
                    <w:snapToGrid w:val="0"/>
                    <w:jc w:val="center"/>
                    <w:rPr>
                      <w:color w:val="auto"/>
                      <w:kern w:val="0"/>
                      <w:szCs w:val="21"/>
                    </w:rPr>
                  </w:pPr>
                  <w:r>
                    <w:rPr>
                      <w:rFonts w:hint="eastAsia"/>
                      <w:color w:val="auto"/>
                      <w:kern w:val="0"/>
                      <w:szCs w:val="21"/>
                    </w:rPr>
                    <w:t>认真落实矿山地质环境保护与土地复垦方案的要求：a）露天采场、矿区专用道路、矿山工业场地、排土场等生态环境保护与恢复治理，应符合相关规定；b）土地复垦质量应符合TD/T1036的规定；c）恢复治理后的各类场地应与周边自然环境和景观相协调；恢复土地基本功能，因地制宜实现土地可持续利用；区域整体生态功能得到保护和恢复。</w:t>
                  </w:r>
                </w:p>
              </w:tc>
              <w:tc>
                <w:tcPr>
                  <w:tcW w:w="1891" w:type="pct"/>
                  <w:tcBorders>
                    <w:tl2br w:val="nil"/>
                    <w:tr2bl w:val="nil"/>
                  </w:tcBorders>
                  <w:vAlign w:val="center"/>
                </w:tcPr>
                <w:p w14:paraId="0A79CA2D">
                  <w:pPr>
                    <w:autoSpaceDE w:val="0"/>
                    <w:autoSpaceDN w:val="0"/>
                    <w:adjustRightInd w:val="0"/>
                    <w:snapToGrid w:val="0"/>
                    <w:jc w:val="center"/>
                    <w:rPr>
                      <w:color w:val="auto"/>
                      <w:kern w:val="0"/>
                      <w:szCs w:val="21"/>
                    </w:rPr>
                  </w:pPr>
                  <w:r>
                    <w:rPr>
                      <w:rFonts w:hint="eastAsia" w:ascii="Times New Roman" w:hAnsi="Times New Roman" w:eastAsia="宋体" w:cs="Times New Roman"/>
                      <w:b w:val="0"/>
                      <w:bCs w:val="0"/>
                      <w:color w:val="auto"/>
                      <w:kern w:val="0"/>
                      <w:sz w:val="21"/>
                      <w:szCs w:val="21"/>
                      <w:highlight w:val="none"/>
                      <w:lang w:val="en-US" w:eastAsia="zh-CN"/>
                    </w:rPr>
                    <w:t>建设单位将认真落实矿山地质环境保护与土地复垦方案的要求。</w:t>
                  </w:r>
                </w:p>
              </w:tc>
              <w:tc>
                <w:tcPr>
                  <w:tcW w:w="377" w:type="pct"/>
                  <w:tcBorders>
                    <w:tl2br w:val="nil"/>
                    <w:tr2bl w:val="nil"/>
                  </w:tcBorders>
                  <w:vAlign w:val="center"/>
                </w:tcPr>
                <w:p w14:paraId="3124531D">
                  <w:pPr>
                    <w:autoSpaceDE w:val="0"/>
                    <w:autoSpaceDN w:val="0"/>
                    <w:adjustRightInd w:val="0"/>
                    <w:snapToGrid w:val="0"/>
                    <w:ind w:left="-105" w:leftChars="-50" w:right="-105" w:rightChars="-50"/>
                    <w:jc w:val="center"/>
                    <w:rPr>
                      <w:color w:val="auto"/>
                      <w:kern w:val="0"/>
                      <w:szCs w:val="21"/>
                    </w:rPr>
                  </w:pPr>
                  <w:r>
                    <w:rPr>
                      <w:rFonts w:hint="eastAsia"/>
                      <w:color w:val="auto"/>
                      <w:kern w:val="0"/>
                      <w:szCs w:val="21"/>
                    </w:rPr>
                    <w:t>符合</w:t>
                  </w:r>
                </w:p>
              </w:tc>
            </w:tr>
            <w:tr w14:paraId="39198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71" w:type="pct"/>
                  <w:vMerge w:val="continue"/>
                  <w:tcBorders>
                    <w:tl2br w:val="nil"/>
                    <w:tr2bl w:val="nil"/>
                  </w:tcBorders>
                  <w:vAlign w:val="center"/>
                </w:tcPr>
                <w:p w14:paraId="488004ED">
                  <w:pPr>
                    <w:autoSpaceDE w:val="0"/>
                    <w:autoSpaceDN w:val="0"/>
                    <w:adjustRightInd w:val="0"/>
                    <w:snapToGrid w:val="0"/>
                    <w:jc w:val="center"/>
                    <w:rPr>
                      <w:color w:val="auto"/>
                      <w:kern w:val="0"/>
                      <w:szCs w:val="21"/>
                    </w:rPr>
                  </w:pPr>
                </w:p>
              </w:tc>
              <w:tc>
                <w:tcPr>
                  <w:tcW w:w="365" w:type="pct"/>
                  <w:vMerge w:val="continue"/>
                  <w:tcBorders>
                    <w:tl2br w:val="nil"/>
                    <w:tr2bl w:val="nil"/>
                  </w:tcBorders>
                  <w:vAlign w:val="center"/>
                </w:tcPr>
                <w:p w14:paraId="642D9F94">
                  <w:pPr>
                    <w:autoSpaceDE w:val="0"/>
                    <w:autoSpaceDN w:val="0"/>
                    <w:adjustRightInd w:val="0"/>
                    <w:snapToGrid w:val="0"/>
                    <w:jc w:val="center"/>
                    <w:rPr>
                      <w:color w:val="auto"/>
                      <w:kern w:val="0"/>
                      <w:szCs w:val="21"/>
                    </w:rPr>
                  </w:pPr>
                </w:p>
              </w:tc>
              <w:tc>
                <w:tcPr>
                  <w:tcW w:w="2094" w:type="pct"/>
                  <w:tcBorders>
                    <w:tl2br w:val="nil"/>
                    <w:tr2bl w:val="nil"/>
                  </w:tcBorders>
                  <w:vAlign w:val="center"/>
                </w:tcPr>
                <w:p w14:paraId="148683D5">
                  <w:pPr>
                    <w:autoSpaceDE w:val="0"/>
                    <w:autoSpaceDN w:val="0"/>
                    <w:adjustRightInd w:val="0"/>
                    <w:snapToGrid w:val="0"/>
                    <w:jc w:val="center"/>
                    <w:rPr>
                      <w:color w:val="auto"/>
                      <w:kern w:val="0"/>
                      <w:szCs w:val="21"/>
                    </w:rPr>
                  </w:pPr>
                  <w:r>
                    <w:rPr>
                      <w:rFonts w:hint="eastAsia"/>
                      <w:color w:val="auto"/>
                      <w:kern w:val="0"/>
                      <w:szCs w:val="21"/>
                    </w:rPr>
                    <w:t>应建立环境监测机制，配备专职管理人员和监测人员</w:t>
                  </w:r>
                </w:p>
              </w:tc>
              <w:tc>
                <w:tcPr>
                  <w:tcW w:w="1891" w:type="pct"/>
                  <w:tcBorders>
                    <w:tl2br w:val="nil"/>
                    <w:tr2bl w:val="nil"/>
                  </w:tcBorders>
                  <w:vAlign w:val="center"/>
                </w:tcPr>
                <w:p w14:paraId="4A316E9F">
                  <w:pPr>
                    <w:autoSpaceDE w:val="0"/>
                    <w:autoSpaceDN w:val="0"/>
                    <w:adjustRightInd w:val="0"/>
                    <w:snapToGrid w:val="0"/>
                    <w:jc w:val="center"/>
                    <w:rPr>
                      <w:color w:val="auto"/>
                      <w:kern w:val="0"/>
                      <w:szCs w:val="21"/>
                    </w:rPr>
                  </w:pPr>
                  <w:r>
                    <w:rPr>
                      <w:rFonts w:hint="eastAsia"/>
                      <w:color w:val="auto"/>
                      <w:kern w:val="0"/>
                      <w:szCs w:val="21"/>
                      <w:lang w:val="en-US" w:eastAsia="zh-CN"/>
                    </w:rPr>
                    <w:t>本次评价要求，</w:t>
                  </w:r>
                  <w:r>
                    <w:rPr>
                      <w:rFonts w:hint="eastAsia"/>
                      <w:color w:val="auto"/>
                      <w:kern w:val="0"/>
                      <w:szCs w:val="21"/>
                    </w:rPr>
                    <w:t>建立环境监测机制，并委托有资质的第三方进行自行监测。</w:t>
                  </w:r>
                </w:p>
              </w:tc>
              <w:tc>
                <w:tcPr>
                  <w:tcW w:w="377" w:type="pct"/>
                  <w:tcBorders>
                    <w:tl2br w:val="nil"/>
                    <w:tr2bl w:val="nil"/>
                  </w:tcBorders>
                  <w:vAlign w:val="center"/>
                </w:tcPr>
                <w:p w14:paraId="58A218B4">
                  <w:pPr>
                    <w:autoSpaceDE w:val="0"/>
                    <w:autoSpaceDN w:val="0"/>
                    <w:adjustRightInd w:val="0"/>
                    <w:snapToGrid w:val="0"/>
                    <w:ind w:left="-105" w:leftChars="-50" w:right="-105" w:rightChars="-50"/>
                    <w:jc w:val="center"/>
                    <w:rPr>
                      <w:color w:val="auto"/>
                      <w:kern w:val="0"/>
                      <w:szCs w:val="21"/>
                    </w:rPr>
                  </w:pPr>
                  <w:r>
                    <w:rPr>
                      <w:rFonts w:hint="eastAsia"/>
                      <w:color w:val="auto"/>
                      <w:kern w:val="0"/>
                      <w:szCs w:val="21"/>
                    </w:rPr>
                    <w:t>符合</w:t>
                  </w:r>
                </w:p>
              </w:tc>
            </w:tr>
            <w:tr w14:paraId="7B991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71" w:type="pct"/>
                  <w:vMerge w:val="restart"/>
                  <w:tcBorders>
                    <w:tl2br w:val="nil"/>
                    <w:tr2bl w:val="nil"/>
                  </w:tcBorders>
                  <w:vAlign w:val="center"/>
                </w:tcPr>
                <w:p w14:paraId="35FCD6BB">
                  <w:pPr>
                    <w:autoSpaceDE w:val="0"/>
                    <w:autoSpaceDN w:val="0"/>
                    <w:adjustRightInd w:val="0"/>
                    <w:snapToGrid w:val="0"/>
                    <w:jc w:val="center"/>
                    <w:rPr>
                      <w:color w:val="auto"/>
                      <w:kern w:val="0"/>
                      <w:szCs w:val="21"/>
                    </w:rPr>
                  </w:pPr>
                  <w:r>
                    <w:rPr>
                      <w:rFonts w:hint="eastAsia"/>
                      <w:color w:val="auto"/>
                      <w:kern w:val="0"/>
                      <w:szCs w:val="21"/>
                    </w:rPr>
                    <w:t>资源综合利用</w:t>
                  </w:r>
                </w:p>
              </w:tc>
              <w:tc>
                <w:tcPr>
                  <w:tcW w:w="365" w:type="pct"/>
                  <w:tcBorders>
                    <w:tl2br w:val="nil"/>
                    <w:tr2bl w:val="nil"/>
                  </w:tcBorders>
                  <w:vAlign w:val="center"/>
                </w:tcPr>
                <w:p w14:paraId="4FBDC651">
                  <w:pPr>
                    <w:autoSpaceDE w:val="0"/>
                    <w:autoSpaceDN w:val="0"/>
                    <w:adjustRightInd w:val="0"/>
                    <w:snapToGrid w:val="0"/>
                    <w:ind w:left="-105" w:leftChars="-50" w:right="-105" w:rightChars="-50"/>
                    <w:jc w:val="center"/>
                    <w:rPr>
                      <w:color w:val="auto"/>
                      <w:kern w:val="0"/>
                      <w:szCs w:val="21"/>
                    </w:rPr>
                  </w:pPr>
                  <w:r>
                    <w:rPr>
                      <w:rFonts w:hint="eastAsia"/>
                      <w:color w:val="auto"/>
                      <w:kern w:val="0"/>
                      <w:szCs w:val="21"/>
                    </w:rPr>
                    <w:t>石粉利用</w:t>
                  </w:r>
                </w:p>
              </w:tc>
              <w:tc>
                <w:tcPr>
                  <w:tcW w:w="2094" w:type="pct"/>
                  <w:tcBorders>
                    <w:tl2br w:val="nil"/>
                    <w:tr2bl w:val="nil"/>
                  </w:tcBorders>
                  <w:vAlign w:val="center"/>
                </w:tcPr>
                <w:p w14:paraId="4E91D603">
                  <w:pPr>
                    <w:autoSpaceDE w:val="0"/>
                    <w:autoSpaceDN w:val="0"/>
                    <w:adjustRightInd w:val="0"/>
                    <w:snapToGrid w:val="0"/>
                    <w:jc w:val="center"/>
                    <w:rPr>
                      <w:color w:val="auto"/>
                      <w:kern w:val="0"/>
                      <w:szCs w:val="21"/>
                    </w:rPr>
                  </w:pPr>
                  <w:r>
                    <w:rPr>
                      <w:rFonts w:hint="eastAsia"/>
                      <w:color w:val="auto"/>
                      <w:kern w:val="0"/>
                      <w:szCs w:val="21"/>
                    </w:rPr>
                    <w:t>石粉收集后应充分合理利用：钙质石粉和吸附性较低的硅质石粉可用于生产水泥、混凝土和砂浆，或进行产品深加工，提高产品附加值；吸附性较高的硅质石粉可用于生产砂浆、环保砖、新型墙体材料、陶瓷、水泥用硅质原料等。</w:t>
                  </w:r>
                </w:p>
              </w:tc>
              <w:tc>
                <w:tcPr>
                  <w:tcW w:w="1891" w:type="pct"/>
                  <w:tcBorders>
                    <w:tl2br w:val="nil"/>
                    <w:tr2bl w:val="nil"/>
                  </w:tcBorders>
                  <w:vAlign w:val="center"/>
                </w:tcPr>
                <w:p w14:paraId="774C9770">
                  <w:pPr>
                    <w:autoSpaceDE w:val="0"/>
                    <w:autoSpaceDN w:val="0"/>
                    <w:adjustRightInd w:val="0"/>
                    <w:snapToGrid w:val="0"/>
                    <w:ind w:left="-105" w:leftChars="-50" w:right="-105" w:rightChars="-50"/>
                    <w:jc w:val="center"/>
                    <w:rPr>
                      <w:color w:val="auto"/>
                      <w:kern w:val="0"/>
                      <w:szCs w:val="21"/>
                    </w:rPr>
                  </w:pPr>
                  <w:r>
                    <w:rPr>
                      <w:rFonts w:hint="eastAsia"/>
                      <w:color w:val="auto"/>
                      <w:kern w:val="0"/>
                      <w:szCs w:val="21"/>
                    </w:rPr>
                    <w:t>不涉及。</w:t>
                  </w:r>
                </w:p>
              </w:tc>
              <w:tc>
                <w:tcPr>
                  <w:tcW w:w="377" w:type="pct"/>
                  <w:tcBorders>
                    <w:tl2br w:val="nil"/>
                    <w:tr2bl w:val="nil"/>
                  </w:tcBorders>
                  <w:vAlign w:val="center"/>
                </w:tcPr>
                <w:p w14:paraId="7E860489">
                  <w:pPr>
                    <w:autoSpaceDE w:val="0"/>
                    <w:autoSpaceDN w:val="0"/>
                    <w:adjustRightInd w:val="0"/>
                    <w:snapToGrid w:val="0"/>
                    <w:ind w:left="-105" w:leftChars="-50" w:right="-105" w:rightChars="-50"/>
                    <w:jc w:val="center"/>
                    <w:rPr>
                      <w:color w:val="auto"/>
                      <w:kern w:val="0"/>
                      <w:szCs w:val="21"/>
                    </w:rPr>
                  </w:pPr>
                  <w:r>
                    <w:rPr>
                      <w:rFonts w:hint="eastAsia"/>
                      <w:color w:val="auto"/>
                      <w:kern w:val="0"/>
                      <w:szCs w:val="21"/>
                    </w:rPr>
                    <w:t>符合</w:t>
                  </w:r>
                </w:p>
              </w:tc>
            </w:tr>
            <w:tr w14:paraId="37555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71" w:type="pct"/>
                  <w:vMerge w:val="continue"/>
                  <w:tcBorders>
                    <w:tl2br w:val="nil"/>
                    <w:tr2bl w:val="nil"/>
                  </w:tcBorders>
                  <w:vAlign w:val="center"/>
                </w:tcPr>
                <w:p w14:paraId="6F90C6D9">
                  <w:pPr>
                    <w:autoSpaceDE w:val="0"/>
                    <w:autoSpaceDN w:val="0"/>
                    <w:adjustRightInd w:val="0"/>
                    <w:snapToGrid w:val="0"/>
                    <w:jc w:val="center"/>
                    <w:rPr>
                      <w:color w:val="auto"/>
                      <w:kern w:val="0"/>
                      <w:szCs w:val="21"/>
                    </w:rPr>
                  </w:pPr>
                </w:p>
              </w:tc>
              <w:tc>
                <w:tcPr>
                  <w:tcW w:w="365" w:type="pct"/>
                  <w:tcBorders>
                    <w:tl2br w:val="nil"/>
                    <w:tr2bl w:val="nil"/>
                  </w:tcBorders>
                  <w:vAlign w:val="center"/>
                </w:tcPr>
                <w:p w14:paraId="3121538C">
                  <w:pPr>
                    <w:autoSpaceDE w:val="0"/>
                    <w:autoSpaceDN w:val="0"/>
                    <w:adjustRightInd w:val="0"/>
                    <w:snapToGrid w:val="0"/>
                    <w:ind w:left="-105" w:leftChars="-50" w:right="-105" w:rightChars="-50"/>
                    <w:jc w:val="center"/>
                    <w:rPr>
                      <w:color w:val="auto"/>
                      <w:kern w:val="0"/>
                      <w:szCs w:val="21"/>
                    </w:rPr>
                  </w:pPr>
                  <w:r>
                    <w:rPr>
                      <w:rFonts w:hint="eastAsia"/>
                      <w:color w:val="auto"/>
                      <w:kern w:val="0"/>
                      <w:szCs w:val="21"/>
                    </w:rPr>
                    <w:t>泥粉利用</w:t>
                  </w:r>
                </w:p>
              </w:tc>
              <w:tc>
                <w:tcPr>
                  <w:tcW w:w="2094" w:type="pct"/>
                  <w:tcBorders>
                    <w:tl2br w:val="nil"/>
                    <w:tr2bl w:val="nil"/>
                  </w:tcBorders>
                  <w:vAlign w:val="center"/>
                </w:tcPr>
                <w:p w14:paraId="1469014A">
                  <w:pPr>
                    <w:autoSpaceDE w:val="0"/>
                    <w:autoSpaceDN w:val="0"/>
                    <w:adjustRightInd w:val="0"/>
                    <w:snapToGrid w:val="0"/>
                    <w:jc w:val="center"/>
                    <w:rPr>
                      <w:color w:val="auto"/>
                      <w:kern w:val="0"/>
                      <w:szCs w:val="21"/>
                    </w:rPr>
                  </w:pPr>
                  <w:r>
                    <w:rPr>
                      <w:rFonts w:hint="eastAsia"/>
                      <w:color w:val="auto"/>
                      <w:kern w:val="0"/>
                      <w:szCs w:val="21"/>
                    </w:rPr>
                    <w:t>湿法生产中的沉淀泥浆经脱水矸化后形成的泥粉或泥饼，可用于新型墙体材料、土地复垦和土壤改良等。</w:t>
                  </w:r>
                </w:p>
              </w:tc>
              <w:tc>
                <w:tcPr>
                  <w:tcW w:w="1891" w:type="pct"/>
                  <w:tcBorders>
                    <w:tl2br w:val="nil"/>
                    <w:tr2bl w:val="nil"/>
                  </w:tcBorders>
                  <w:vAlign w:val="center"/>
                </w:tcPr>
                <w:p w14:paraId="2B715744">
                  <w:pPr>
                    <w:autoSpaceDE w:val="0"/>
                    <w:autoSpaceDN w:val="0"/>
                    <w:adjustRightInd w:val="0"/>
                    <w:snapToGrid w:val="0"/>
                    <w:jc w:val="center"/>
                    <w:rPr>
                      <w:color w:val="auto"/>
                      <w:kern w:val="0"/>
                      <w:szCs w:val="21"/>
                    </w:rPr>
                  </w:pPr>
                  <w:r>
                    <w:rPr>
                      <w:rFonts w:hint="eastAsia"/>
                      <w:color w:val="auto"/>
                      <w:kern w:val="0"/>
                      <w:szCs w:val="21"/>
                    </w:rPr>
                    <w:t>不涉及。</w:t>
                  </w:r>
                </w:p>
              </w:tc>
              <w:tc>
                <w:tcPr>
                  <w:tcW w:w="377" w:type="pct"/>
                  <w:tcBorders>
                    <w:tl2br w:val="nil"/>
                    <w:tr2bl w:val="nil"/>
                  </w:tcBorders>
                  <w:vAlign w:val="center"/>
                </w:tcPr>
                <w:p w14:paraId="2993895A">
                  <w:pPr>
                    <w:autoSpaceDE w:val="0"/>
                    <w:autoSpaceDN w:val="0"/>
                    <w:adjustRightInd w:val="0"/>
                    <w:snapToGrid w:val="0"/>
                    <w:ind w:left="-105" w:leftChars="-50" w:right="-105" w:rightChars="-50"/>
                    <w:jc w:val="center"/>
                    <w:rPr>
                      <w:color w:val="auto"/>
                      <w:kern w:val="0"/>
                      <w:szCs w:val="21"/>
                    </w:rPr>
                  </w:pPr>
                  <w:r>
                    <w:rPr>
                      <w:rFonts w:hint="eastAsia"/>
                      <w:color w:val="auto"/>
                      <w:kern w:val="0"/>
                      <w:szCs w:val="21"/>
                    </w:rPr>
                    <w:t>符合</w:t>
                  </w:r>
                </w:p>
              </w:tc>
            </w:tr>
            <w:tr w14:paraId="1B4E6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71" w:type="pct"/>
                  <w:vMerge w:val="continue"/>
                  <w:tcBorders>
                    <w:tl2br w:val="nil"/>
                    <w:tr2bl w:val="nil"/>
                  </w:tcBorders>
                  <w:vAlign w:val="center"/>
                </w:tcPr>
                <w:p w14:paraId="211AC274">
                  <w:pPr>
                    <w:autoSpaceDE w:val="0"/>
                    <w:autoSpaceDN w:val="0"/>
                    <w:adjustRightInd w:val="0"/>
                    <w:snapToGrid w:val="0"/>
                    <w:jc w:val="center"/>
                    <w:rPr>
                      <w:color w:val="auto"/>
                      <w:kern w:val="0"/>
                      <w:szCs w:val="21"/>
                    </w:rPr>
                  </w:pPr>
                </w:p>
              </w:tc>
              <w:tc>
                <w:tcPr>
                  <w:tcW w:w="365" w:type="pct"/>
                  <w:tcBorders>
                    <w:tl2br w:val="nil"/>
                    <w:tr2bl w:val="nil"/>
                  </w:tcBorders>
                  <w:vAlign w:val="center"/>
                </w:tcPr>
                <w:p w14:paraId="07B59D1E">
                  <w:pPr>
                    <w:autoSpaceDE w:val="0"/>
                    <w:autoSpaceDN w:val="0"/>
                    <w:adjustRightInd w:val="0"/>
                    <w:snapToGrid w:val="0"/>
                    <w:ind w:left="-105" w:leftChars="-50" w:right="-105" w:rightChars="-50"/>
                    <w:jc w:val="center"/>
                    <w:rPr>
                      <w:color w:val="auto"/>
                      <w:kern w:val="0"/>
                      <w:szCs w:val="21"/>
                    </w:rPr>
                  </w:pPr>
                  <w:r>
                    <w:rPr>
                      <w:rFonts w:hint="eastAsia"/>
                      <w:color w:val="auto"/>
                      <w:kern w:val="0"/>
                      <w:szCs w:val="21"/>
                    </w:rPr>
                    <w:t>表土和渣土利用</w:t>
                  </w:r>
                </w:p>
              </w:tc>
              <w:tc>
                <w:tcPr>
                  <w:tcW w:w="2094" w:type="pct"/>
                  <w:tcBorders>
                    <w:tl2br w:val="nil"/>
                    <w:tr2bl w:val="nil"/>
                  </w:tcBorders>
                  <w:vAlign w:val="center"/>
                </w:tcPr>
                <w:p w14:paraId="46CD52E1">
                  <w:pPr>
                    <w:autoSpaceDE w:val="0"/>
                    <w:autoSpaceDN w:val="0"/>
                    <w:adjustRightInd w:val="0"/>
                    <w:snapToGrid w:val="0"/>
                    <w:jc w:val="center"/>
                    <w:rPr>
                      <w:color w:val="auto"/>
                      <w:kern w:val="0"/>
                      <w:szCs w:val="21"/>
                    </w:rPr>
                  </w:pPr>
                  <w:r>
                    <w:rPr>
                      <w:rFonts w:hint="eastAsia"/>
                      <w:color w:val="auto"/>
                      <w:kern w:val="0"/>
                      <w:szCs w:val="21"/>
                    </w:rPr>
                    <w:t>排土场堆放的剥离表土或筛分后的渣土，宜用于环境治理、土地复垦和生态修复。</w:t>
                  </w:r>
                </w:p>
              </w:tc>
              <w:tc>
                <w:tcPr>
                  <w:tcW w:w="1891" w:type="pct"/>
                  <w:tcBorders>
                    <w:tl2br w:val="nil"/>
                    <w:tr2bl w:val="nil"/>
                  </w:tcBorders>
                  <w:vAlign w:val="center"/>
                </w:tcPr>
                <w:p w14:paraId="76F78452">
                  <w:pPr>
                    <w:autoSpaceDE w:val="0"/>
                    <w:autoSpaceDN w:val="0"/>
                    <w:adjustRightInd w:val="0"/>
                    <w:snapToGrid w:val="0"/>
                    <w:jc w:val="center"/>
                    <w:rPr>
                      <w:color w:val="auto"/>
                      <w:kern w:val="0"/>
                      <w:szCs w:val="21"/>
                    </w:rPr>
                  </w:pPr>
                  <w:r>
                    <w:rPr>
                      <w:rFonts w:hint="eastAsia"/>
                      <w:color w:val="auto"/>
                      <w:kern w:val="0"/>
                      <w:szCs w:val="21"/>
                    </w:rPr>
                    <w:t>本项目剥离的表土堆放于</w:t>
                  </w:r>
                </w:p>
                <w:p w14:paraId="730D8745">
                  <w:pPr>
                    <w:autoSpaceDE w:val="0"/>
                    <w:autoSpaceDN w:val="0"/>
                    <w:adjustRightInd w:val="0"/>
                    <w:snapToGrid w:val="0"/>
                    <w:jc w:val="center"/>
                    <w:rPr>
                      <w:color w:val="auto"/>
                      <w:kern w:val="0"/>
                      <w:szCs w:val="21"/>
                    </w:rPr>
                  </w:pPr>
                  <w:r>
                    <w:rPr>
                      <w:rFonts w:hint="eastAsia"/>
                      <w:color w:val="auto"/>
                      <w:kern w:val="0"/>
                      <w:szCs w:val="21"/>
                    </w:rPr>
                    <w:t>排土场，后期用于土地复垦。</w:t>
                  </w:r>
                </w:p>
              </w:tc>
              <w:tc>
                <w:tcPr>
                  <w:tcW w:w="377" w:type="pct"/>
                  <w:tcBorders>
                    <w:tl2br w:val="nil"/>
                    <w:tr2bl w:val="nil"/>
                  </w:tcBorders>
                  <w:vAlign w:val="center"/>
                </w:tcPr>
                <w:p w14:paraId="3FEC6C91">
                  <w:pPr>
                    <w:autoSpaceDE w:val="0"/>
                    <w:autoSpaceDN w:val="0"/>
                    <w:adjustRightInd w:val="0"/>
                    <w:snapToGrid w:val="0"/>
                    <w:ind w:left="-105" w:leftChars="-50" w:right="-105" w:rightChars="-50"/>
                    <w:jc w:val="center"/>
                    <w:rPr>
                      <w:color w:val="auto"/>
                      <w:kern w:val="0"/>
                      <w:szCs w:val="21"/>
                    </w:rPr>
                  </w:pPr>
                  <w:r>
                    <w:rPr>
                      <w:rFonts w:hint="eastAsia"/>
                      <w:color w:val="auto"/>
                      <w:kern w:val="0"/>
                      <w:szCs w:val="21"/>
                    </w:rPr>
                    <w:t>符合</w:t>
                  </w:r>
                </w:p>
              </w:tc>
            </w:tr>
            <w:tr w14:paraId="74F4A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71" w:type="pct"/>
                  <w:vMerge w:val="restart"/>
                  <w:tcBorders>
                    <w:tl2br w:val="nil"/>
                    <w:tr2bl w:val="nil"/>
                  </w:tcBorders>
                  <w:vAlign w:val="center"/>
                </w:tcPr>
                <w:p w14:paraId="1C65BF6A">
                  <w:pPr>
                    <w:autoSpaceDE w:val="0"/>
                    <w:autoSpaceDN w:val="0"/>
                    <w:adjustRightInd w:val="0"/>
                    <w:snapToGrid w:val="0"/>
                    <w:jc w:val="center"/>
                    <w:rPr>
                      <w:color w:val="auto"/>
                      <w:kern w:val="0"/>
                      <w:szCs w:val="21"/>
                    </w:rPr>
                  </w:pPr>
                  <w:r>
                    <w:rPr>
                      <w:rFonts w:hint="eastAsia"/>
                      <w:color w:val="auto"/>
                      <w:kern w:val="0"/>
                      <w:szCs w:val="21"/>
                    </w:rPr>
                    <w:t>节能降耗</w:t>
                  </w:r>
                </w:p>
              </w:tc>
              <w:tc>
                <w:tcPr>
                  <w:tcW w:w="365" w:type="pct"/>
                  <w:vMerge w:val="restart"/>
                  <w:tcBorders>
                    <w:tl2br w:val="nil"/>
                    <w:tr2bl w:val="nil"/>
                  </w:tcBorders>
                  <w:vAlign w:val="center"/>
                </w:tcPr>
                <w:p w14:paraId="34EA5785">
                  <w:pPr>
                    <w:autoSpaceDE w:val="0"/>
                    <w:autoSpaceDN w:val="0"/>
                    <w:adjustRightInd w:val="0"/>
                    <w:snapToGrid w:val="0"/>
                    <w:ind w:left="-105" w:leftChars="-50" w:right="-105" w:rightChars="-50"/>
                    <w:jc w:val="center"/>
                    <w:rPr>
                      <w:color w:val="auto"/>
                      <w:kern w:val="0"/>
                      <w:szCs w:val="21"/>
                    </w:rPr>
                  </w:pPr>
                  <w:r>
                    <w:rPr>
                      <w:rFonts w:hint="eastAsia"/>
                      <w:color w:val="auto"/>
                      <w:kern w:val="0"/>
                      <w:szCs w:val="21"/>
                    </w:rPr>
                    <w:t>节能降耗</w:t>
                  </w:r>
                </w:p>
              </w:tc>
              <w:tc>
                <w:tcPr>
                  <w:tcW w:w="2094" w:type="pct"/>
                  <w:tcBorders>
                    <w:tl2br w:val="nil"/>
                    <w:tr2bl w:val="nil"/>
                  </w:tcBorders>
                  <w:vAlign w:val="center"/>
                </w:tcPr>
                <w:p w14:paraId="1FA3A2A3">
                  <w:pPr>
                    <w:autoSpaceDE w:val="0"/>
                    <w:autoSpaceDN w:val="0"/>
                    <w:adjustRightInd w:val="0"/>
                    <w:snapToGrid w:val="0"/>
                    <w:ind w:left="-105" w:leftChars="-50" w:right="-105" w:rightChars="-50"/>
                    <w:jc w:val="center"/>
                    <w:rPr>
                      <w:color w:val="auto"/>
                      <w:kern w:val="0"/>
                      <w:szCs w:val="21"/>
                    </w:rPr>
                  </w:pPr>
                  <w:r>
                    <w:rPr>
                      <w:rFonts w:hint="eastAsia"/>
                      <w:color w:val="auto"/>
                      <w:kern w:val="0"/>
                      <w:szCs w:val="21"/>
                    </w:rPr>
                    <w:t>应建立矿山开采、砂石生产、产品运输全过程能耗核算体系，各工艺电力消耗、油（气）消耗、水消耗宜进行单独核算。</w:t>
                  </w:r>
                </w:p>
              </w:tc>
              <w:tc>
                <w:tcPr>
                  <w:tcW w:w="1891" w:type="pct"/>
                  <w:tcBorders>
                    <w:tl2br w:val="nil"/>
                    <w:tr2bl w:val="nil"/>
                  </w:tcBorders>
                  <w:vAlign w:val="center"/>
                </w:tcPr>
                <w:p w14:paraId="1A318A49">
                  <w:pPr>
                    <w:autoSpaceDE w:val="0"/>
                    <w:autoSpaceDN w:val="0"/>
                    <w:adjustRightInd w:val="0"/>
                    <w:snapToGrid w:val="0"/>
                    <w:jc w:val="center"/>
                    <w:rPr>
                      <w:color w:val="auto"/>
                      <w:kern w:val="0"/>
                      <w:szCs w:val="21"/>
                    </w:rPr>
                  </w:pPr>
                  <w:r>
                    <w:rPr>
                      <w:rFonts w:hint="eastAsia" w:ascii="Times New Roman" w:hAnsi="Times New Roman" w:eastAsia="宋体" w:cs="Times New Roman"/>
                      <w:b w:val="0"/>
                      <w:bCs w:val="0"/>
                      <w:color w:val="auto"/>
                      <w:kern w:val="0"/>
                      <w:sz w:val="21"/>
                      <w:szCs w:val="21"/>
                      <w:highlight w:val="none"/>
                      <w:lang w:val="en-US" w:eastAsia="zh-CN"/>
                    </w:rPr>
                    <w:t>建立了矿山开采</w:t>
                  </w:r>
                  <w:r>
                    <w:rPr>
                      <w:rFonts w:hint="eastAsia" w:cs="Times New Roman"/>
                      <w:b w:val="0"/>
                      <w:bCs w:val="0"/>
                      <w:color w:val="auto"/>
                      <w:kern w:val="0"/>
                      <w:sz w:val="21"/>
                      <w:szCs w:val="21"/>
                      <w:highlight w:val="none"/>
                      <w:lang w:val="en-US" w:eastAsia="zh-CN"/>
                    </w:rPr>
                    <w:t>等</w:t>
                  </w:r>
                  <w:r>
                    <w:rPr>
                      <w:rFonts w:hint="eastAsia" w:ascii="Times New Roman" w:hAnsi="Times New Roman" w:eastAsia="宋体" w:cs="Times New Roman"/>
                      <w:b w:val="0"/>
                      <w:bCs w:val="0"/>
                      <w:color w:val="auto"/>
                      <w:kern w:val="0"/>
                      <w:sz w:val="21"/>
                      <w:szCs w:val="21"/>
                      <w:highlight w:val="none"/>
                      <w:lang w:val="en-US" w:eastAsia="zh-CN"/>
                    </w:rPr>
                    <w:t>全过程能耗核算体系，各工艺电力消耗、油（气）消耗、水消耗进行单独核算</w:t>
                  </w:r>
                  <w:r>
                    <w:rPr>
                      <w:rFonts w:hint="eastAsia"/>
                      <w:color w:val="auto"/>
                      <w:kern w:val="0"/>
                      <w:szCs w:val="21"/>
                    </w:rPr>
                    <w:t>。</w:t>
                  </w:r>
                </w:p>
              </w:tc>
              <w:tc>
                <w:tcPr>
                  <w:tcW w:w="377" w:type="pct"/>
                  <w:tcBorders>
                    <w:tl2br w:val="nil"/>
                    <w:tr2bl w:val="nil"/>
                  </w:tcBorders>
                  <w:vAlign w:val="center"/>
                </w:tcPr>
                <w:p w14:paraId="08035FDB">
                  <w:pPr>
                    <w:autoSpaceDE w:val="0"/>
                    <w:autoSpaceDN w:val="0"/>
                    <w:adjustRightInd w:val="0"/>
                    <w:snapToGrid w:val="0"/>
                    <w:ind w:left="-105" w:leftChars="-50" w:right="-105" w:rightChars="-50"/>
                    <w:jc w:val="center"/>
                    <w:rPr>
                      <w:color w:val="auto"/>
                      <w:kern w:val="0"/>
                      <w:szCs w:val="21"/>
                    </w:rPr>
                  </w:pPr>
                  <w:r>
                    <w:rPr>
                      <w:rFonts w:hint="eastAsia"/>
                      <w:color w:val="auto"/>
                      <w:kern w:val="0"/>
                      <w:szCs w:val="21"/>
                    </w:rPr>
                    <w:t>符合</w:t>
                  </w:r>
                </w:p>
              </w:tc>
            </w:tr>
            <w:tr w14:paraId="2FA2B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71" w:type="pct"/>
                  <w:vMerge w:val="continue"/>
                  <w:tcBorders>
                    <w:tl2br w:val="nil"/>
                    <w:tr2bl w:val="nil"/>
                  </w:tcBorders>
                  <w:vAlign w:val="center"/>
                </w:tcPr>
                <w:p w14:paraId="19BA6CD5">
                  <w:pPr>
                    <w:autoSpaceDE w:val="0"/>
                    <w:autoSpaceDN w:val="0"/>
                    <w:adjustRightInd w:val="0"/>
                    <w:snapToGrid w:val="0"/>
                    <w:jc w:val="center"/>
                    <w:rPr>
                      <w:color w:val="auto"/>
                      <w:kern w:val="0"/>
                      <w:szCs w:val="21"/>
                    </w:rPr>
                  </w:pPr>
                </w:p>
              </w:tc>
              <w:tc>
                <w:tcPr>
                  <w:tcW w:w="365" w:type="pct"/>
                  <w:vMerge w:val="continue"/>
                  <w:tcBorders>
                    <w:tl2br w:val="nil"/>
                    <w:tr2bl w:val="nil"/>
                  </w:tcBorders>
                  <w:vAlign w:val="center"/>
                </w:tcPr>
                <w:p w14:paraId="34010AEB">
                  <w:pPr>
                    <w:autoSpaceDE w:val="0"/>
                    <w:autoSpaceDN w:val="0"/>
                    <w:adjustRightInd w:val="0"/>
                    <w:snapToGrid w:val="0"/>
                    <w:ind w:left="-105" w:leftChars="-50" w:right="-105" w:rightChars="-50"/>
                    <w:jc w:val="center"/>
                    <w:rPr>
                      <w:color w:val="auto"/>
                      <w:kern w:val="0"/>
                      <w:szCs w:val="21"/>
                    </w:rPr>
                  </w:pPr>
                </w:p>
              </w:tc>
              <w:tc>
                <w:tcPr>
                  <w:tcW w:w="2094" w:type="pct"/>
                  <w:tcBorders>
                    <w:tl2br w:val="nil"/>
                    <w:tr2bl w:val="nil"/>
                  </w:tcBorders>
                  <w:vAlign w:val="center"/>
                </w:tcPr>
                <w:p w14:paraId="45710AA7">
                  <w:pPr>
                    <w:autoSpaceDE w:val="0"/>
                    <w:autoSpaceDN w:val="0"/>
                    <w:adjustRightInd w:val="0"/>
                    <w:snapToGrid w:val="0"/>
                    <w:ind w:left="-105" w:leftChars="-50" w:right="-105" w:rightChars="-50"/>
                    <w:jc w:val="center"/>
                    <w:rPr>
                      <w:color w:val="auto"/>
                      <w:kern w:val="0"/>
                      <w:szCs w:val="21"/>
                    </w:rPr>
                  </w:pPr>
                  <w:r>
                    <w:rPr>
                      <w:rFonts w:hint="eastAsia"/>
                      <w:color w:val="auto"/>
                      <w:kern w:val="0"/>
                      <w:szCs w:val="21"/>
                    </w:rPr>
                    <w:t>宜选用高效、智能、绿色、环保的技术和设备，降低单位电耗。</w:t>
                  </w:r>
                </w:p>
              </w:tc>
              <w:tc>
                <w:tcPr>
                  <w:tcW w:w="1891" w:type="pct"/>
                  <w:tcBorders>
                    <w:tl2br w:val="nil"/>
                    <w:tr2bl w:val="nil"/>
                  </w:tcBorders>
                  <w:vAlign w:val="center"/>
                </w:tcPr>
                <w:p w14:paraId="644B17C2">
                  <w:pPr>
                    <w:autoSpaceDE w:val="0"/>
                    <w:autoSpaceDN w:val="0"/>
                    <w:adjustRightInd w:val="0"/>
                    <w:snapToGrid w:val="0"/>
                    <w:ind w:left="-105" w:leftChars="-50" w:right="-105" w:rightChars="-50"/>
                    <w:jc w:val="center"/>
                    <w:rPr>
                      <w:color w:val="auto"/>
                      <w:kern w:val="0"/>
                      <w:szCs w:val="21"/>
                    </w:rPr>
                  </w:pPr>
                  <w:r>
                    <w:rPr>
                      <w:rFonts w:hint="eastAsia"/>
                      <w:color w:val="auto"/>
                      <w:kern w:val="0"/>
                      <w:szCs w:val="21"/>
                    </w:rPr>
                    <w:t>本项目生产设备实现全自动化控制，达到了很好的节能效果。</w:t>
                  </w:r>
                </w:p>
              </w:tc>
              <w:tc>
                <w:tcPr>
                  <w:tcW w:w="377" w:type="pct"/>
                  <w:tcBorders>
                    <w:tl2br w:val="nil"/>
                    <w:tr2bl w:val="nil"/>
                  </w:tcBorders>
                  <w:vAlign w:val="center"/>
                </w:tcPr>
                <w:p w14:paraId="477AB273">
                  <w:pPr>
                    <w:autoSpaceDE w:val="0"/>
                    <w:autoSpaceDN w:val="0"/>
                    <w:adjustRightInd w:val="0"/>
                    <w:snapToGrid w:val="0"/>
                    <w:ind w:left="-105" w:leftChars="-50" w:right="-105" w:rightChars="-50"/>
                    <w:jc w:val="center"/>
                    <w:rPr>
                      <w:color w:val="auto"/>
                      <w:kern w:val="0"/>
                      <w:szCs w:val="21"/>
                    </w:rPr>
                  </w:pPr>
                  <w:r>
                    <w:rPr>
                      <w:rFonts w:hint="eastAsia"/>
                      <w:color w:val="auto"/>
                      <w:kern w:val="0"/>
                      <w:szCs w:val="21"/>
                    </w:rPr>
                    <w:t>符合</w:t>
                  </w:r>
                </w:p>
              </w:tc>
            </w:tr>
            <w:tr w14:paraId="4E1DE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71" w:type="pct"/>
                  <w:vMerge w:val="continue"/>
                  <w:tcBorders>
                    <w:tl2br w:val="nil"/>
                    <w:tr2bl w:val="nil"/>
                  </w:tcBorders>
                  <w:vAlign w:val="center"/>
                </w:tcPr>
                <w:p w14:paraId="1A8481A1">
                  <w:pPr>
                    <w:autoSpaceDE w:val="0"/>
                    <w:autoSpaceDN w:val="0"/>
                    <w:adjustRightInd w:val="0"/>
                    <w:snapToGrid w:val="0"/>
                    <w:jc w:val="center"/>
                    <w:rPr>
                      <w:color w:val="auto"/>
                      <w:kern w:val="0"/>
                      <w:szCs w:val="21"/>
                    </w:rPr>
                  </w:pPr>
                </w:p>
              </w:tc>
              <w:tc>
                <w:tcPr>
                  <w:tcW w:w="365" w:type="pct"/>
                  <w:vMerge w:val="continue"/>
                  <w:tcBorders>
                    <w:tl2br w:val="nil"/>
                    <w:tr2bl w:val="nil"/>
                  </w:tcBorders>
                  <w:vAlign w:val="center"/>
                </w:tcPr>
                <w:p w14:paraId="5D3ABE27">
                  <w:pPr>
                    <w:autoSpaceDE w:val="0"/>
                    <w:autoSpaceDN w:val="0"/>
                    <w:adjustRightInd w:val="0"/>
                    <w:snapToGrid w:val="0"/>
                    <w:ind w:left="-105" w:leftChars="-50" w:right="-105" w:rightChars="-50"/>
                    <w:jc w:val="center"/>
                    <w:rPr>
                      <w:color w:val="auto"/>
                      <w:kern w:val="0"/>
                      <w:szCs w:val="21"/>
                    </w:rPr>
                  </w:pPr>
                </w:p>
              </w:tc>
              <w:tc>
                <w:tcPr>
                  <w:tcW w:w="2094" w:type="pct"/>
                  <w:tcBorders>
                    <w:tl2br w:val="nil"/>
                    <w:tr2bl w:val="nil"/>
                  </w:tcBorders>
                  <w:vAlign w:val="center"/>
                </w:tcPr>
                <w:p w14:paraId="3517ECF9">
                  <w:pPr>
                    <w:autoSpaceDE w:val="0"/>
                    <w:autoSpaceDN w:val="0"/>
                    <w:adjustRightInd w:val="0"/>
                    <w:snapToGrid w:val="0"/>
                    <w:jc w:val="center"/>
                    <w:rPr>
                      <w:color w:val="auto"/>
                      <w:kern w:val="0"/>
                      <w:szCs w:val="21"/>
                    </w:rPr>
                  </w:pPr>
                  <w:r>
                    <w:rPr>
                      <w:rFonts w:hint="eastAsia"/>
                      <w:color w:val="auto"/>
                      <w:kern w:val="0"/>
                      <w:szCs w:val="21"/>
                    </w:rPr>
                    <w:t>应推广使用矿山凿岩穿孔新工艺，降低能耗。</w:t>
                  </w:r>
                </w:p>
              </w:tc>
              <w:tc>
                <w:tcPr>
                  <w:tcW w:w="1891" w:type="pct"/>
                  <w:tcBorders>
                    <w:tl2br w:val="nil"/>
                    <w:tr2bl w:val="nil"/>
                  </w:tcBorders>
                  <w:vAlign w:val="center"/>
                </w:tcPr>
                <w:p w14:paraId="310585E0">
                  <w:pPr>
                    <w:autoSpaceDE w:val="0"/>
                    <w:autoSpaceDN w:val="0"/>
                    <w:adjustRightInd w:val="0"/>
                    <w:snapToGrid w:val="0"/>
                    <w:jc w:val="center"/>
                    <w:rPr>
                      <w:color w:val="auto"/>
                      <w:kern w:val="0"/>
                      <w:szCs w:val="21"/>
                    </w:rPr>
                  </w:pPr>
                  <w:r>
                    <w:rPr>
                      <w:rFonts w:hint="eastAsia"/>
                      <w:color w:val="auto"/>
                      <w:kern w:val="0"/>
                      <w:szCs w:val="21"/>
                    </w:rPr>
                    <w:t>本项目采用矿山凿岩穿孔新工艺，降低了生产能耗。</w:t>
                  </w:r>
                </w:p>
              </w:tc>
              <w:tc>
                <w:tcPr>
                  <w:tcW w:w="377" w:type="pct"/>
                  <w:tcBorders>
                    <w:tl2br w:val="nil"/>
                    <w:tr2bl w:val="nil"/>
                  </w:tcBorders>
                  <w:vAlign w:val="center"/>
                </w:tcPr>
                <w:p w14:paraId="53D05B9E">
                  <w:pPr>
                    <w:autoSpaceDE w:val="0"/>
                    <w:autoSpaceDN w:val="0"/>
                    <w:adjustRightInd w:val="0"/>
                    <w:snapToGrid w:val="0"/>
                    <w:ind w:left="-105" w:leftChars="-50" w:right="-105" w:rightChars="-50"/>
                    <w:jc w:val="center"/>
                    <w:rPr>
                      <w:color w:val="auto"/>
                      <w:kern w:val="0"/>
                      <w:szCs w:val="21"/>
                    </w:rPr>
                  </w:pPr>
                  <w:r>
                    <w:rPr>
                      <w:rFonts w:hint="eastAsia"/>
                      <w:color w:val="auto"/>
                      <w:kern w:val="0"/>
                      <w:szCs w:val="21"/>
                    </w:rPr>
                    <w:t>符合</w:t>
                  </w:r>
                </w:p>
              </w:tc>
            </w:tr>
            <w:tr w14:paraId="7B071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71" w:type="pct"/>
                  <w:vMerge w:val="continue"/>
                  <w:tcBorders>
                    <w:tl2br w:val="nil"/>
                    <w:tr2bl w:val="nil"/>
                  </w:tcBorders>
                  <w:vAlign w:val="center"/>
                </w:tcPr>
                <w:p w14:paraId="5F5DD5F2">
                  <w:pPr>
                    <w:autoSpaceDE w:val="0"/>
                    <w:autoSpaceDN w:val="0"/>
                    <w:adjustRightInd w:val="0"/>
                    <w:snapToGrid w:val="0"/>
                    <w:jc w:val="center"/>
                    <w:rPr>
                      <w:color w:val="auto"/>
                      <w:kern w:val="0"/>
                      <w:szCs w:val="21"/>
                    </w:rPr>
                  </w:pPr>
                </w:p>
              </w:tc>
              <w:tc>
                <w:tcPr>
                  <w:tcW w:w="365" w:type="pct"/>
                  <w:vMerge w:val="continue"/>
                  <w:tcBorders>
                    <w:tl2br w:val="nil"/>
                    <w:tr2bl w:val="nil"/>
                  </w:tcBorders>
                  <w:vAlign w:val="center"/>
                </w:tcPr>
                <w:p w14:paraId="7962C54C">
                  <w:pPr>
                    <w:autoSpaceDE w:val="0"/>
                    <w:autoSpaceDN w:val="0"/>
                    <w:adjustRightInd w:val="0"/>
                    <w:snapToGrid w:val="0"/>
                    <w:ind w:left="-105" w:leftChars="-50" w:right="-105" w:rightChars="-50"/>
                    <w:jc w:val="center"/>
                    <w:rPr>
                      <w:color w:val="auto"/>
                      <w:kern w:val="0"/>
                      <w:szCs w:val="21"/>
                    </w:rPr>
                  </w:pPr>
                </w:p>
              </w:tc>
              <w:tc>
                <w:tcPr>
                  <w:tcW w:w="2094" w:type="pct"/>
                  <w:tcBorders>
                    <w:tl2br w:val="nil"/>
                    <w:tr2bl w:val="nil"/>
                  </w:tcBorders>
                  <w:vAlign w:val="center"/>
                </w:tcPr>
                <w:p w14:paraId="04BEF3DE">
                  <w:pPr>
                    <w:autoSpaceDE w:val="0"/>
                    <w:autoSpaceDN w:val="0"/>
                    <w:adjustRightInd w:val="0"/>
                    <w:snapToGrid w:val="0"/>
                    <w:jc w:val="center"/>
                    <w:rPr>
                      <w:color w:val="auto"/>
                      <w:kern w:val="0"/>
                      <w:szCs w:val="21"/>
                    </w:rPr>
                  </w:pPr>
                  <w:r>
                    <w:rPr>
                      <w:rFonts w:hint="eastAsia"/>
                      <w:color w:val="auto"/>
                      <w:kern w:val="0"/>
                      <w:szCs w:val="21"/>
                    </w:rPr>
                    <w:t>利用新技术、新工艺、新设备和新材料，减少破碎设备磨损件单位损耗</w:t>
                  </w:r>
                </w:p>
              </w:tc>
              <w:tc>
                <w:tcPr>
                  <w:tcW w:w="1891" w:type="pct"/>
                  <w:tcBorders>
                    <w:tl2br w:val="nil"/>
                    <w:tr2bl w:val="nil"/>
                  </w:tcBorders>
                  <w:vAlign w:val="center"/>
                </w:tcPr>
                <w:p w14:paraId="6FECC648">
                  <w:pPr>
                    <w:autoSpaceDE w:val="0"/>
                    <w:autoSpaceDN w:val="0"/>
                    <w:adjustRightInd w:val="0"/>
                    <w:snapToGrid w:val="0"/>
                    <w:ind w:left="-105" w:leftChars="-50" w:right="-105" w:rightChars="-50"/>
                    <w:jc w:val="center"/>
                    <w:rPr>
                      <w:color w:val="auto"/>
                      <w:kern w:val="0"/>
                      <w:szCs w:val="21"/>
                    </w:rPr>
                  </w:pPr>
                  <w:r>
                    <w:rPr>
                      <w:rFonts w:hint="eastAsia"/>
                      <w:color w:val="auto"/>
                      <w:kern w:val="0"/>
                      <w:szCs w:val="21"/>
                    </w:rPr>
                    <w:t>本项目生产过程中采用新技术、新工艺、新设备和新材料。</w:t>
                  </w:r>
                </w:p>
              </w:tc>
              <w:tc>
                <w:tcPr>
                  <w:tcW w:w="377" w:type="pct"/>
                  <w:tcBorders>
                    <w:tl2br w:val="nil"/>
                    <w:tr2bl w:val="nil"/>
                  </w:tcBorders>
                  <w:vAlign w:val="center"/>
                </w:tcPr>
                <w:p w14:paraId="3DA2E589">
                  <w:pPr>
                    <w:autoSpaceDE w:val="0"/>
                    <w:autoSpaceDN w:val="0"/>
                    <w:adjustRightInd w:val="0"/>
                    <w:snapToGrid w:val="0"/>
                    <w:ind w:left="-105" w:leftChars="-50" w:right="-105" w:rightChars="-50"/>
                    <w:jc w:val="center"/>
                    <w:rPr>
                      <w:color w:val="auto"/>
                      <w:kern w:val="0"/>
                      <w:szCs w:val="21"/>
                    </w:rPr>
                  </w:pPr>
                  <w:r>
                    <w:rPr>
                      <w:rFonts w:hint="eastAsia"/>
                      <w:color w:val="auto"/>
                      <w:kern w:val="0"/>
                      <w:szCs w:val="21"/>
                    </w:rPr>
                    <w:t>符合</w:t>
                  </w:r>
                </w:p>
              </w:tc>
            </w:tr>
            <w:tr w14:paraId="703C0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71" w:type="pct"/>
                  <w:vMerge w:val="continue"/>
                  <w:tcBorders>
                    <w:tl2br w:val="nil"/>
                    <w:tr2bl w:val="nil"/>
                  </w:tcBorders>
                  <w:vAlign w:val="center"/>
                </w:tcPr>
                <w:p w14:paraId="568440A3">
                  <w:pPr>
                    <w:autoSpaceDE w:val="0"/>
                    <w:autoSpaceDN w:val="0"/>
                    <w:adjustRightInd w:val="0"/>
                    <w:snapToGrid w:val="0"/>
                    <w:jc w:val="center"/>
                    <w:rPr>
                      <w:color w:val="auto"/>
                      <w:kern w:val="0"/>
                      <w:szCs w:val="21"/>
                    </w:rPr>
                  </w:pPr>
                </w:p>
              </w:tc>
              <w:tc>
                <w:tcPr>
                  <w:tcW w:w="365" w:type="pct"/>
                  <w:vMerge w:val="continue"/>
                  <w:tcBorders>
                    <w:tl2br w:val="nil"/>
                    <w:tr2bl w:val="nil"/>
                  </w:tcBorders>
                  <w:vAlign w:val="center"/>
                </w:tcPr>
                <w:p w14:paraId="635A4A10">
                  <w:pPr>
                    <w:autoSpaceDE w:val="0"/>
                    <w:autoSpaceDN w:val="0"/>
                    <w:adjustRightInd w:val="0"/>
                    <w:snapToGrid w:val="0"/>
                    <w:ind w:left="-105" w:leftChars="-50" w:right="-105" w:rightChars="-50"/>
                    <w:jc w:val="center"/>
                    <w:rPr>
                      <w:color w:val="auto"/>
                      <w:kern w:val="0"/>
                      <w:szCs w:val="21"/>
                    </w:rPr>
                  </w:pPr>
                </w:p>
              </w:tc>
              <w:tc>
                <w:tcPr>
                  <w:tcW w:w="2094" w:type="pct"/>
                  <w:tcBorders>
                    <w:tl2br w:val="nil"/>
                    <w:tr2bl w:val="nil"/>
                  </w:tcBorders>
                  <w:vAlign w:val="center"/>
                </w:tcPr>
                <w:p w14:paraId="49CF26CC">
                  <w:pPr>
                    <w:autoSpaceDE w:val="0"/>
                    <w:autoSpaceDN w:val="0"/>
                    <w:adjustRightInd w:val="0"/>
                    <w:snapToGrid w:val="0"/>
                    <w:jc w:val="center"/>
                    <w:rPr>
                      <w:color w:val="auto"/>
                      <w:kern w:val="0"/>
                      <w:szCs w:val="21"/>
                    </w:rPr>
                  </w:pPr>
                  <w:r>
                    <w:rPr>
                      <w:rFonts w:hint="eastAsia"/>
                      <w:color w:val="auto"/>
                      <w:kern w:val="0"/>
                      <w:szCs w:val="21"/>
                    </w:rPr>
                    <w:t>宜采用长距离皮带运输方式，促进节能减排</w:t>
                  </w:r>
                </w:p>
              </w:tc>
              <w:tc>
                <w:tcPr>
                  <w:tcW w:w="1891" w:type="pct"/>
                  <w:tcBorders>
                    <w:tl2br w:val="nil"/>
                    <w:tr2bl w:val="nil"/>
                  </w:tcBorders>
                  <w:vAlign w:val="center"/>
                </w:tcPr>
                <w:p w14:paraId="6FADDC12">
                  <w:pPr>
                    <w:autoSpaceDE w:val="0"/>
                    <w:autoSpaceDN w:val="0"/>
                    <w:adjustRightInd w:val="0"/>
                    <w:snapToGrid w:val="0"/>
                    <w:jc w:val="center"/>
                    <w:rPr>
                      <w:color w:val="auto"/>
                      <w:kern w:val="0"/>
                      <w:szCs w:val="21"/>
                    </w:rPr>
                  </w:pPr>
                  <w:r>
                    <w:rPr>
                      <w:rFonts w:hint="eastAsia"/>
                      <w:color w:val="auto"/>
                      <w:kern w:val="0"/>
                      <w:szCs w:val="21"/>
                    </w:rPr>
                    <w:t>本项目采用新能源车辆实现物料的运输。</w:t>
                  </w:r>
                </w:p>
              </w:tc>
              <w:tc>
                <w:tcPr>
                  <w:tcW w:w="377" w:type="pct"/>
                  <w:tcBorders>
                    <w:tl2br w:val="nil"/>
                    <w:tr2bl w:val="nil"/>
                  </w:tcBorders>
                  <w:vAlign w:val="center"/>
                </w:tcPr>
                <w:p w14:paraId="62BC7AC0">
                  <w:pPr>
                    <w:autoSpaceDE w:val="0"/>
                    <w:autoSpaceDN w:val="0"/>
                    <w:adjustRightInd w:val="0"/>
                    <w:snapToGrid w:val="0"/>
                    <w:ind w:left="-105" w:leftChars="-50" w:right="-105" w:rightChars="-50"/>
                    <w:jc w:val="center"/>
                    <w:rPr>
                      <w:color w:val="auto"/>
                      <w:kern w:val="0"/>
                      <w:szCs w:val="21"/>
                    </w:rPr>
                  </w:pPr>
                  <w:r>
                    <w:rPr>
                      <w:rFonts w:hint="eastAsia"/>
                      <w:color w:val="auto"/>
                      <w:kern w:val="0"/>
                      <w:szCs w:val="21"/>
                    </w:rPr>
                    <w:t>符合</w:t>
                  </w:r>
                </w:p>
              </w:tc>
            </w:tr>
            <w:tr w14:paraId="5085C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71" w:type="pct"/>
                  <w:vMerge w:val="continue"/>
                  <w:tcBorders>
                    <w:tl2br w:val="nil"/>
                    <w:tr2bl w:val="nil"/>
                  </w:tcBorders>
                  <w:vAlign w:val="center"/>
                </w:tcPr>
                <w:p w14:paraId="4F8D08F1">
                  <w:pPr>
                    <w:autoSpaceDE w:val="0"/>
                    <w:autoSpaceDN w:val="0"/>
                    <w:adjustRightInd w:val="0"/>
                    <w:snapToGrid w:val="0"/>
                    <w:jc w:val="center"/>
                    <w:rPr>
                      <w:color w:val="auto"/>
                      <w:kern w:val="0"/>
                      <w:szCs w:val="21"/>
                    </w:rPr>
                  </w:pPr>
                </w:p>
              </w:tc>
              <w:tc>
                <w:tcPr>
                  <w:tcW w:w="365" w:type="pct"/>
                  <w:vMerge w:val="continue"/>
                  <w:tcBorders>
                    <w:tl2br w:val="nil"/>
                    <w:tr2bl w:val="nil"/>
                  </w:tcBorders>
                  <w:vAlign w:val="center"/>
                </w:tcPr>
                <w:p w14:paraId="09D01352">
                  <w:pPr>
                    <w:autoSpaceDE w:val="0"/>
                    <w:autoSpaceDN w:val="0"/>
                    <w:adjustRightInd w:val="0"/>
                    <w:snapToGrid w:val="0"/>
                    <w:ind w:left="-105" w:leftChars="-50" w:right="-105" w:rightChars="-50"/>
                    <w:jc w:val="center"/>
                    <w:rPr>
                      <w:color w:val="auto"/>
                      <w:kern w:val="0"/>
                      <w:szCs w:val="21"/>
                    </w:rPr>
                  </w:pPr>
                </w:p>
              </w:tc>
              <w:tc>
                <w:tcPr>
                  <w:tcW w:w="2094" w:type="pct"/>
                  <w:tcBorders>
                    <w:tl2br w:val="nil"/>
                    <w:tr2bl w:val="nil"/>
                  </w:tcBorders>
                  <w:vAlign w:val="center"/>
                </w:tcPr>
                <w:p w14:paraId="0773341C">
                  <w:pPr>
                    <w:autoSpaceDE w:val="0"/>
                    <w:autoSpaceDN w:val="0"/>
                    <w:adjustRightInd w:val="0"/>
                    <w:snapToGrid w:val="0"/>
                    <w:jc w:val="center"/>
                    <w:rPr>
                      <w:color w:val="auto"/>
                      <w:kern w:val="0"/>
                      <w:szCs w:val="21"/>
                    </w:rPr>
                  </w:pPr>
                  <w:r>
                    <w:rPr>
                      <w:rFonts w:hint="eastAsia"/>
                      <w:color w:val="auto"/>
                      <w:kern w:val="0"/>
                      <w:szCs w:val="21"/>
                    </w:rPr>
                    <w:t>对于落差较大的矿区，宜使用下行皮带势能发电技术</w:t>
                  </w:r>
                </w:p>
              </w:tc>
              <w:tc>
                <w:tcPr>
                  <w:tcW w:w="1891" w:type="pct"/>
                  <w:tcBorders>
                    <w:tl2br w:val="nil"/>
                    <w:tr2bl w:val="nil"/>
                  </w:tcBorders>
                  <w:vAlign w:val="center"/>
                </w:tcPr>
                <w:p w14:paraId="0ED34474">
                  <w:pPr>
                    <w:autoSpaceDE w:val="0"/>
                    <w:autoSpaceDN w:val="0"/>
                    <w:adjustRightInd w:val="0"/>
                    <w:snapToGrid w:val="0"/>
                    <w:jc w:val="center"/>
                    <w:rPr>
                      <w:color w:val="auto"/>
                      <w:kern w:val="0"/>
                      <w:szCs w:val="21"/>
                    </w:rPr>
                  </w:pPr>
                  <w:r>
                    <w:rPr>
                      <w:rFonts w:hint="eastAsia"/>
                      <w:color w:val="auto"/>
                      <w:kern w:val="0"/>
                      <w:szCs w:val="21"/>
                    </w:rPr>
                    <w:t>本项目矿区落差较小。</w:t>
                  </w:r>
                </w:p>
              </w:tc>
              <w:tc>
                <w:tcPr>
                  <w:tcW w:w="377" w:type="pct"/>
                  <w:tcBorders>
                    <w:tl2br w:val="nil"/>
                    <w:tr2bl w:val="nil"/>
                  </w:tcBorders>
                  <w:vAlign w:val="center"/>
                </w:tcPr>
                <w:p w14:paraId="7E3F6945">
                  <w:pPr>
                    <w:autoSpaceDE w:val="0"/>
                    <w:autoSpaceDN w:val="0"/>
                    <w:adjustRightInd w:val="0"/>
                    <w:snapToGrid w:val="0"/>
                    <w:ind w:left="-105" w:leftChars="-50" w:right="-105" w:rightChars="-50"/>
                    <w:jc w:val="center"/>
                    <w:rPr>
                      <w:color w:val="auto"/>
                      <w:kern w:val="0"/>
                      <w:szCs w:val="21"/>
                    </w:rPr>
                  </w:pPr>
                  <w:r>
                    <w:rPr>
                      <w:rFonts w:hint="eastAsia"/>
                      <w:color w:val="auto"/>
                      <w:kern w:val="0"/>
                      <w:szCs w:val="21"/>
                    </w:rPr>
                    <w:t>符合</w:t>
                  </w:r>
                </w:p>
              </w:tc>
            </w:tr>
            <w:tr w14:paraId="55EA2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71" w:type="pct"/>
                  <w:vMerge w:val="continue"/>
                  <w:tcBorders>
                    <w:tl2br w:val="nil"/>
                    <w:tr2bl w:val="nil"/>
                  </w:tcBorders>
                  <w:vAlign w:val="center"/>
                </w:tcPr>
                <w:p w14:paraId="2ED3623D">
                  <w:pPr>
                    <w:autoSpaceDE w:val="0"/>
                    <w:autoSpaceDN w:val="0"/>
                    <w:adjustRightInd w:val="0"/>
                    <w:snapToGrid w:val="0"/>
                    <w:jc w:val="center"/>
                    <w:rPr>
                      <w:color w:val="auto"/>
                      <w:kern w:val="0"/>
                      <w:szCs w:val="21"/>
                    </w:rPr>
                  </w:pPr>
                </w:p>
              </w:tc>
              <w:tc>
                <w:tcPr>
                  <w:tcW w:w="365" w:type="pct"/>
                  <w:vMerge w:val="continue"/>
                  <w:tcBorders>
                    <w:tl2br w:val="nil"/>
                    <w:tr2bl w:val="nil"/>
                  </w:tcBorders>
                  <w:vAlign w:val="center"/>
                </w:tcPr>
                <w:p w14:paraId="38B47B28">
                  <w:pPr>
                    <w:autoSpaceDE w:val="0"/>
                    <w:autoSpaceDN w:val="0"/>
                    <w:adjustRightInd w:val="0"/>
                    <w:snapToGrid w:val="0"/>
                    <w:ind w:left="-105" w:leftChars="-50" w:right="-105" w:rightChars="-50"/>
                    <w:jc w:val="center"/>
                    <w:rPr>
                      <w:color w:val="auto"/>
                      <w:kern w:val="0"/>
                      <w:szCs w:val="21"/>
                    </w:rPr>
                  </w:pPr>
                </w:p>
              </w:tc>
              <w:tc>
                <w:tcPr>
                  <w:tcW w:w="2094" w:type="pct"/>
                  <w:tcBorders>
                    <w:tl2br w:val="nil"/>
                    <w:tr2bl w:val="nil"/>
                  </w:tcBorders>
                  <w:vAlign w:val="center"/>
                </w:tcPr>
                <w:p w14:paraId="686EF05D">
                  <w:pPr>
                    <w:autoSpaceDE w:val="0"/>
                    <w:autoSpaceDN w:val="0"/>
                    <w:adjustRightInd w:val="0"/>
                    <w:snapToGrid w:val="0"/>
                    <w:jc w:val="center"/>
                    <w:rPr>
                      <w:color w:val="auto"/>
                      <w:kern w:val="0"/>
                      <w:szCs w:val="21"/>
                    </w:rPr>
                  </w:pPr>
                  <w:r>
                    <w:rPr>
                      <w:rFonts w:hint="eastAsia"/>
                      <w:color w:val="auto"/>
                      <w:kern w:val="0"/>
                      <w:szCs w:val="21"/>
                    </w:rPr>
                    <w:t>单位产品能耗指标处于行业先进水平</w:t>
                  </w:r>
                </w:p>
              </w:tc>
              <w:tc>
                <w:tcPr>
                  <w:tcW w:w="1891" w:type="pct"/>
                  <w:tcBorders>
                    <w:tl2br w:val="nil"/>
                    <w:tr2bl w:val="nil"/>
                  </w:tcBorders>
                  <w:vAlign w:val="center"/>
                </w:tcPr>
                <w:p w14:paraId="0AA760D6">
                  <w:pPr>
                    <w:autoSpaceDE w:val="0"/>
                    <w:autoSpaceDN w:val="0"/>
                    <w:adjustRightInd w:val="0"/>
                    <w:snapToGrid w:val="0"/>
                    <w:jc w:val="center"/>
                    <w:rPr>
                      <w:color w:val="auto"/>
                      <w:kern w:val="0"/>
                      <w:szCs w:val="21"/>
                    </w:rPr>
                  </w:pPr>
                  <w:r>
                    <w:rPr>
                      <w:rFonts w:hint="eastAsia"/>
                      <w:color w:val="auto"/>
                      <w:kern w:val="0"/>
                      <w:szCs w:val="21"/>
                    </w:rPr>
                    <w:t>本项目的生产设备采用全自动化生产运营，单位产品能耗指标处于行业先进水平。</w:t>
                  </w:r>
                </w:p>
              </w:tc>
              <w:tc>
                <w:tcPr>
                  <w:tcW w:w="377" w:type="pct"/>
                  <w:tcBorders>
                    <w:tl2br w:val="nil"/>
                    <w:tr2bl w:val="nil"/>
                  </w:tcBorders>
                  <w:vAlign w:val="center"/>
                </w:tcPr>
                <w:p w14:paraId="2D397BBE">
                  <w:pPr>
                    <w:autoSpaceDE w:val="0"/>
                    <w:autoSpaceDN w:val="0"/>
                    <w:adjustRightInd w:val="0"/>
                    <w:snapToGrid w:val="0"/>
                    <w:ind w:left="-105" w:leftChars="-50" w:right="-105" w:rightChars="-50"/>
                    <w:jc w:val="center"/>
                    <w:rPr>
                      <w:color w:val="auto"/>
                      <w:kern w:val="0"/>
                      <w:szCs w:val="21"/>
                    </w:rPr>
                  </w:pPr>
                  <w:r>
                    <w:rPr>
                      <w:rFonts w:hint="eastAsia"/>
                      <w:color w:val="auto"/>
                      <w:kern w:val="0"/>
                      <w:szCs w:val="21"/>
                    </w:rPr>
                    <w:t>符合</w:t>
                  </w:r>
                </w:p>
              </w:tc>
            </w:tr>
            <w:tr w14:paraId="4B5B3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71" w:type="pct"/>
                  <w:vMerge w:val="continue"/>
                  <w:tcBorders>
                    <w:tl2br w:val="nil"/>
                    <w:tr2bl w:val="nil"/>
                  </w:tcBorders>
                  <w:vAlign w:val="center"/>
                </w:tcPr>
                <w:p w14:paraId="58819836">
                  <w:pPr>
                    <w:autoSpaceDE w:val="0"/>
                    <w:autoSpaceDN w:val="0"/>
                    <w:adjustRightInd w:val="0"/>
                    <w:snapToGrid w:val="0"/>
                    <w:jc w:val="center"/>
                    <w:rPr>
                      <w:color w:val="auto"/>
                      <w:kern w:val="0"/>
                      <w:szCs w:val="21"/>
                    </w:rPr>
                  </w:pPr>
                </w:p>
              </w:tc>
              <w:tc>
                <w:tcPr>
                  <w:tcW w:w="575" w:type="dxa"/>
                  <w:vMerge w:val="restart"/>
                  <w:tcBorders>
                    <w:tl2br w:val="nil"/>
                    <w:tr2bl w:val="nil"/>
                  </w:tcBorders>
                  <w:vAlign w:val="center"/>
                </w:tcPr>
                <w:p w14:paraId="4820CD3C">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kern w:val="0"/>
                      <w:szCs w:val="21"/>
                    </w:rPr>
                  </w:pPr>
                  <w:r>
                    <w:rPr>
                      <w:rFonts w:hint="eastAsia" w:ascii="Times New Roman" w:hAnsi="Times New Roman" w:eastAsia="宋体" w:cs="Times New Roman"/>
                      <w:b w:val="0"/>
                      <w:bCs w:val="0"/>
                      <w:color w:val="auto"/>
                      <w:kern w:val="0"/>
                      <w:sz w:val="21"/>
                      <w:szCs w:val="21"/>
                      <w:highlight w:val="none"/>
                      <w:lang w:val="en-US" w:eastAsia="zh-CN"/>
                    </w:rPr>
                    <w:t>粉尘排放</w:t>
                  </w:r>
                </w:p>
              </w:tc>
              <w:tc>
                <w:tcPr>
                  <w:tcW w:w="3299" w:type="dxa"/>
                  <w:tcBorders>
                    <w:tl2br w:val="nil"/>
                    <w:tr2bl w:val="nil"/>
                  </w:tcBorders>
                  <w:vAlign w:val="center"/>
                </w:tcPr>
                <w:p w14:paraId="5C5EDA2C">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color w:val="auto"/>
                      <w:kern w:val="0"/>
                      <w:szCs w:val="21"/>
                    </w:rPr>
                  </w:pPr>
                  <w:r>
                    <w:rPr>
                      <w:rFonts w:hint="eastAsia" w:ascii="Times New Roman" w:hAnsi="Times New Roman" w:eastAsia="宋体" w:cs="Times New Roman"/>
                      <w:b w:val="0"/>
                      <w:bCs w:val="0"/>
                      <w:color w:val="auto"/>
                      <w:kern w:val="0"/>
                      <w:sz w:val="21"/>
                      <w:szCs w:val="21"/>
                      <w:highlight w:val="none"/>
                      <w:lang w:val="en-US" w:eastAsia="zh-CN"/>
                    </w:rPr>
                    <w:t>矿石开采和砂石生产过程中的粉尘控制应遵循源头抑制、过程协同控制、末端监控、系统联动集成的治理思路，达到环保节能和清洁生产的目的。</w:t>
                  </w:r>
                </w:p>
              </w:tc>
              <w:tc>
                <w:tcPr>
                  <w:tcW w:w="2978" w:type="dxa"/>
                  <w:tcBorders>
                    <w:tl2br w:val="nil"/>
                    <w:tr2bl w:val="nil"/>
                  </w:tcBorders>
                  <w:vAlign w:val="center"/>
                </w:tcPr>
                <w:p w14:paraId="1D2322D8">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color w:val="auto"/>
                      <w:kern w:val="0"/>
                      <w:szCs w:val="21"/>
                    </w:rPr>
                  </w:pPr>
                  <w:r>
                    <w:rPr>
                      <w:rFonts w:hint="eastAsia" w:ascii="Times New Roman" w:hAnsi="Times New Roman" w:eastAsia="宋体" w:cs="Times New Roman"/>
                      <w:b w:val="0"/>
                      <w:bCs w:val="0"/>
                      <w:color w:val="auto"/>
                      <w:kern w:val="0"/>
                      <w:sz w:val="21"/>
                      <w:szCs w:val="21"/>
                      <w:highlight w:val="none"/>
                      <w:lang w:val="en-US" w:eastAsia="zh-CN"/>
                    </w:rPr>
                    <w:t>矿石开采过程中采用洒水抑尘，所有生产设备实现自动化控制，达到了环保节能和清洁生产的目的</w:t>
                  </w:r>
                </w:p>
              </w:tc>
              <w:tc>
                <w:tcPr>
                  <w:tcW w:w="377" w:type="pct"/>
                  <w:tcBorders>
                    <w:tl2br w:val="nil"/>
                    <w:tr2bl w:val="nil"/>
                  </w:tcBorders>
                  <w:vAlign w:val="center"/>
                </w:tcPr>
                <w:p w14:paraId="017821F2">
                  <w:pPr>
                    <w:autoSpaceDE w:val="0"/>
                    <w:autoSpaceDN w:val="0"/>
                    <w:adjustRightInd w:val="0"/>
                    <w:snapToGrid w:val="0"/>
                    <w:ind w:left="-105" w:leftChars="-50" w:right="-105" w:rightChars="-50"/>
                    <w:jc w:val="center"/>
                    <w:rPr>
                      <w:rFonts w:hint="eastAsia" w:eastAsia="宋体"/>
                      <w:color w:val="auto"/>
                      <w:kern w:val="0"/>
                      <w:szCs w:val="21"/>
                      <w:lang w:val="en-US" w:eastAsia="zh-CN"/>
                    </w:rPr>
                  </w:pPr>
                  <w:r>
                    <w:rPr>
                      <w:rFonts w:hint="eastAsia"/>
                      <w:color w:val="auto"/>
                      <w:kern w:val="0"/>
                      <w:szCs w:val="21"/>
                      <w:lang w:val="en-US" w:eastAsia="zh-CN"/>
                    </w:rPr>
                    <w:t>符合</w:t>
                  </w:r>
                </w:p>
              </w:tc>
            </w:tr>
            <w:tr w14:paraId="46CA6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71" w:type="pct"/>
                  <w:vMerge w:val="continue"/>
                  <w:tcBorders>
                    <w:tl2br w:val="nil"/>
                    <w:tr2bl w:val="nil"/>
                  </w:tcBorders>
                  <w:vAlign w:val="center"/>
                </w:tcPr>
                <w:p w14:paraId="3309E17E">
                  <w:pPr>
                    <w:autoSpaceDE w:val="0"/>
                    <w:autoSpaceDN w:val="0"/>
                    <w:adjustRightInd w:val="0"/>
                    <w:snapToGrid w:val="0"/>
                    <w:jc w:val="center"/>
                    <w:rPr>
                      <w:color w:val="auto"/>
                      <w:kern w:val="0"/>
                      <w:szCs w:val="21"/>
                    </w:rPr>
                  </w:pPr>
                </w:p>
              </w:tc>
              <w:tc>
                <w:tcPr>
                  <w:tcW w:w="575" w:type="dxa"/>
                  <w:vMerge w:val="continue"/>
                  <w:tcBorders>
                    <w:tl2br w:val="nil"/>
                    <w:tr2bl w:val="nil"/>
                  </w:tcBorders>
                  <w:vAlign w:val="center"/>
                </w:tcPr>
                <w:p w14:paraId="496A81BB">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kern w:val="0"/>
                      <w:szCs w:val="21"/>
                    </w:rPr>
                  </w:pPr>
                </w:p>
              </w:tc>
              <w:tc>
                <w:tcPr>
                  <w:tcW w:w="3299" w:type="dxa"/>
                  <w:tcBorders>
                    <w:tl2br w:val="nil"/>
                    <w:tr2bl w:val="nil"/>
                  </w:tcBorders>
                  <w:vAlign w:val="center"/>
                </w:tcPr>
                <w:p w14:paraId="065F9FE1">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color w:val="auto"/>
                      <w:kern w:val="0"/>
                      <w:szCs w:val="21"/>
                    </w:rPr>
                  </w:pPr>
                  <w:r>
                    <w:rPr>
                      <w:rFonts w:hint="eastAsia" w:ascii="Times New Roman" w:hAnsi="Times New Roman" w:eastAsia="宋体" w:cs="Times New Roman"/>
                      <w:b w:val="0"/>
                      <w:bCs w:val="0"/>
                      <w:color w:val="auto"/>
                      <w:kern w:val="0"/>
                      <w:sz w:val="21"/>
                      <w:szCs w:val="21"/>
                      <w:highlight w:val="none"/>
                      <w:lang w:val="en-US" w:eastAsia="zh-CN"/>
                    </w:rPr>
                    <w:t>矿区应配置洒水车、高压喷雾车等设备</w:t>
                  </w:r>
                </w:p>
              </w:tc>
              <w:tc>
                <w:tcPr>
                  <w:tcW w:w="2978" w:type="dxa"/>
                  <w:tcBorders>
                    <w:tl2br w:val="nil"/>
                    <w:tr2bl w:val="nil"/>
                  </w:tcBorders>
                  <w:vAlign w:val="center"/>
                </w:tcPr>
                <w:p w14:paraId="2189FB57">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color w:val="auto"/>
                      <w:kern w:val="0"/>
                      <w:szCs w:val="21"/>
                    </w:rPr>
                  </w:pPr>
                  <w:r>
                    <w:rPr>
                      <w:rFonts w:hint="eastAsia" w:ascii="Times New Roman" w:hAnsi="Times New Roman" w:eastAsia="宋体" w:cs="Times New Roman"/>
                      <w:b w:val="0"/>
                      <w:bCs w:val="0"/>
                      <w:color w:val="auto"/>
                      <w:kern w:val="0"/>
                      <w:sz w:val="21"/>
                      <w:szCs w:val="21"/>
                      <w:highlight w:val="none"/>
                      <w:lang w:val="en-US" w:eastAsia="zh-CN"/>
                    </w:rPr>
                    <w:t>开采区设置有洒水车、高压喷雾车等设备</w:t>
                  </w:r>
                </w:p>
              </w:tc>
              <w:tc>
                <w:tcPr>
                  <w:tcW w:w="377" w:type="pct"/>
                  <w:tcBorders>
                    <w:tl2br w:val="nil"/>
                    <w:tr2bl w:val="nil"/>
                  </w:tcBorders>
                  <w:vAlign w:val="center"/>
                </w:tcPr>
                <w:p w14:paraId="3075B13D">
                  <w:pPr>
                    <w:autoSpaceDE w:val="0"/>
                    <w:autoSpaceDN w:val="0"/>
                    <w:adjustRightInd w:val="0"/>
                    <w:snapToGrid w:val="0"/>
                    <w:ind w:left="-105" w:leftChars="-50" w:right="-105" w:rightChars="-50"/>
                    <w:jc w:val="center"/>
                    <w:rPr>
                      <w:rFonts w:hint="eastAsia" w:eastAsia="宋体"/>
                      <w:color w:val="auto"/>
                      <w:kern w:val="0"/>
                      <w:szCs w:val="21"/>
                      <w:lang w:val="en-US" w:eastAsia="zh-CN"/>
                    </w:rPr>
                  </w:pPr>
                  <w:r>
                    <w:rPr>
                      <w:rFonts w:hint="eastAsia"/>
                      <w:color w:val="auto"/>
                      <w:kern w:val="0"/>
                      <w:szCs w:val="21"/>
                      <w:lang w:val="en-US" w:eastAsia="zh-CN"/>
                    </w:rPr>
                    <w:t>符合</w:t>
                  </w:r>
                </w:p>
              </w:tc>
            </w:tr>
            <w:tr w14:paraId="4E30E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71" w:type="pct"/>
                  <w:vMerge w:val="continue"/>
                  <w:tcBorders>
                    <w:tl2br w:val="nil"/>
                    <w:tr2bl w:val="nil"/>
                  </w:tcBorders>
                  <w:vAlign w:val="center"/>
                </w:tcPr>
                <w:p w14:paraId="3B2117E6">
                  <w:pPr>
                    <w:autoSpaceDE w:val="0"/>
                    <w:autoSpaceDN w:val="0"/>
                    <w:adjustRightInd w:val="0"/>
                    <w:snapToGrid w:val="0"/>
                    <w:jc w:val="center"/>
                    <w:rPr>
                      <w:color w:val="auto"/>
                      <w:kern w:val="0"/>
                      <w:szCs w:val="21"/>
                    </w:rPr>
                  </w:pPr>
                </w:p>
              </w:tc>
              <w:tc>
                <w:tcPr>
                  <w:tcW w:w="575" w:type="dxa"/>
                  <w:vMerge w:val="continue"/>
                  <w:tcBorders>
                    <w:tl2br w:val="nil"/>
                    <w:tr2bl w:val="nil"/>
                  </w:tcBorders>
                  <w:vAlign w:val="center"/>
                </w:tcPr>
                <w:p w14:paraId="7C8D46CC">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kern w:val="0"/>
                      <w:szCs w:val="21"/>
                    </w:rPr>
                  </w:pPr>
                </w:p>
              </w:tc>
              <w:tc>
                <w:tcPr>
                  <w:tcW w:w="3299" w:type="dxa"/>
                  <w:tcBorders>
                    <w:tl2br w:val="nil"/>
                    <w:tr2bl w:val="nil"/>
                  </w:tcBorders>
                  <w:vAlign w:val="center"/>
                </w:tcPr>
                <w:p w14:paraId="57C0E8E6">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color w:val="auto"/>
                      <w:kern w:val="0"/>
                      <w:szCs w:val="21"/>
                    </w:rPr>
                  </w:pPr>
                  <w:r>
                    <w:rPr>
                      <w:rFonts w:hint="eastAsia" w:ascii="Times New Roman" w:hAnsi="Times New Roman" w:eastAsia="宋体" w:cs="Times New Roman"/>
                      <w:b w:val="0"/>
                      <w:bCs w:val="0"/>
                      <w:color w:val="auto"/>
                      <w:kern w:val="0"/>
                      <w:sz w:val="21"/>
                      <w:szCs w:val="21"/>
                      <w:highlight w:val="none"/>
                      <w:lang w:val="en-US" w:eastAsia="zh-CN"/>
                    </w:rPr>
                    <w:t>应在装载机、破碎机、筛分机、整形机、制砂机、输送机端口等连续产生粉尘部位安装高效除尘装置。</w:t>
                  </w:r>
                </w:p>
              </w:tc>
              <w:tc>
                <w:tcPr>
                  <w:tcW w:w="2978" w:type="dxa"/>
                  <w:tcBorders>
                    <w:tl2br w:val="nil"/>
                    <w:tr2bl w:val="nil"/>
                  </w:tcBorders>
                  <w:vAlign w:val="center"/>
                </w:tcPr>
                <w:p w14:paraId="5F70E867">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color w:val="auto"/>
                      <w:kern w:val="0"/>
                      <w:szCs w:val="21"/>
                    </w:rPr>
                  </w:pPr>
                  <w:r>
                    <w:rPr>
                      <w:rFonts w:hint="eastAsia"/>
                      <w:color w:val="auto"/>
                      <w:kern w:val="0"/>
                      <w:szCs w:val="21"/>
                    </w:rPr>
                    <w:t>不涉及。</w:t>
                  </w:r>
                </w:p>
              </w:tc>
              <w:tc>
                <w:tcPr>
                  <w:tcW w:w="377" w:type="pct"/>
                  <w:tcBorders>
                    <w:tl2br w:val="nil"/>
                    <w:tr2bl w:val="nil"/>
                  </w:tcBorders>
                  <w:vAlign w:val="center"/>
                </w:tcPr>
                <w:p w14:paraId="7B9BE437">
                  <w:pPr>
                    <w:autoSpaceDE w:val="0"/>
                    <w:autoSpaceDN w:val="0"/>
                    <w:adjustRightInd w:val="0"/>
                    <w:snapToGrid w:val="0"/>
                    <w:ind w:left="-105" w:leftChars="-50" w:right="-105" w:rightChars="-50"/>
                    <w:jc w:val="center"/>
                    <w:rPr>
                      <w:rFonts w:hint="eastAsia" w:eastAsia="宋体"/>
                      <w:color w:val="auto"/>
                      <w:kern w:val="0"/>
                      <w:szCs w:val="21"/>
                      <w:lang w:val="en-US" w:eastAsia="zh-CN"/>
                    </w:rPr>
                  </w:pPr>
                  <w:r>
                    <w:rPr>
                      <w:rFonts w:hint="eastAsia"/>
                      <w:color w:val="auto"/>
                      <w:kern w:val="0"/>
                      <w:szCs w:val="21"/>
                      <w:lang w:val="en-US" w:eastAsia="zh-CN"/>
                    </w:rPr>
                    <w:t>符合</w:t>
                  </w:r>
                </w:p>
              </w:tc>
            </w:tr>
            <w:tr w14:paraId="42EB4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71" w:type="pct"/>
                  <w:vMerge w:val="continue"/>
                  <w:tcBorders>
                    <w:tl2br w:val="nil"/>
                    <w:tr2bl w:val="nil"/>
                  </w:tcBorders>
                  <w:vAlign w:val="center"/>
                </w:tcPr>
                <w:p w14:paraId="7639688B">
                  <w:pPr>
                    <w:autoSpaceDE w:val="0"/>
                    <w:autoSpaceDN w:val="0"/>
                    <w:adjustRightInd w:val="0"/>
                    <w:snapToGrid w:val="0"/>
                    <w:jc w:val="center"/>
                    <w:rPr>
                      <w:color w:val="auto"/>
                      <w:kern w:val="0"/>
                      <w:szCs w:val="21"/>
                    </w:rPr>
                  </w:pPr>
                </w:p>
              </w:tc>
              <w:tc>
                <w:tcPr>
                  <w:tcW w:w="575" w:type="dxa"/>
                  <w:vMerge w:val="restart"/>
                  <w:tcBorders>
                    <w:tl2br w:val="nil"/>
                    <w:tr2bl w:val="nil"/>
                  </w:tcBorders>
                  <w:vAlign w:val="center"/>
                </w:tcPr>
                <w:p w14:paraId="70C785D8">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kern w:val="0"/>
                      <w:szCs w:val="21"/>
                    </w:rPr>
                  </w:pPr>
                  <w:r>
                    <w:rPr>
                      <w:rFonts w:hint="eastAsia" w:ascii="Times New Roman" w:hAnsi="Times New Roman" w:eastAsia="宋体" w:cs="Times New Roman"/>
                      <w:b w:val="0"/>
                      <w:bCs w:val="0"/>
                      <w:color w:val="auto"/>
                      <w:kern w:val="0"/>
                      <w:sz w:val="21"/>
                      <w:szCs w:val="21"/>
                      <w:highlight w:val="none"/>
                      <w:lang w:val="en-US" w:eastAsia="zh-CN"/>
                    </w:rPr>
                    <w:t>污水排放</w:t>
                  </w:r>
                </w:p>
              </w:tc>
              <w:tc>
                <w:tcPr>
                  <w:tcW w:w="3299" w:type="dxa"/>
                  <w:tcBorders>
                    <w:tl2br w:val="nil"/>
                    <w:tr2bl w:val="nil"/>
                  </w:tcBorders>
                  <w:vAlign w:val="center"/>
                </w:tcPr>
                <w:p w14:paraId="6EEF0F12">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color w:val="auto"/>
                      <w:kern w:val="0"/>
                      <w:szCs w:val="21"/>
                    </w:rPr>
                  </w:pPr>
                  <w:r>
                    <w:rPr>
                      <w:rFonts w:hint="eastAsia" w:ascii="Times New Roman" w:hAnsi="Times New Roman" w:eastAsia="宋体" w:cs="Times New Roman"/>
                      <w:b w:val="0"/>
                      <w:bCs w:val="0"/>
                      <w:color w:val="auto"/>
                      <w:kern w:val="0"/>
                      <w:sz w:val="21"/>
                      <w:szCs w:val="21"/>
                      <w:highlight w:val="none"/>
                      <w:lang w:val="en-US" w:eastAsia="zh-CN"/>
                    </w:rPr>
                    <w:t>矿区及厂区应建有雨水截（排）水沟和集水池，地表径流经沉淀处理后达标排放。</w:t>
                  </w:r>
                </w:p>
              </w:tc>
              <w:tc>
                <w:tcPr>
                  <w:tcW w:w="2978" w:type="dxa"/>
                  <w:tcBorders>
                    <w:tl2br w:val="nil"/>
                    <w:tr2bl w:val="nil"/>
                  </w:tcBorders>
                  <w:vAlign w:val="center"/>
                </w:tcPr>
                <w:p w14:paraId="17F3771C">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color w:val="auto"/>
                      <w:kern w:val="0"/>
                      <w:szCs w:val="21"/>
                    </w:rPr>
                  </w:pPr>
                  <w:r>
                    <w:rPr>
                      <w:rFonts w:hint="eastAsia" w:cs="Times New Roman"/>
                      <w:b w:val="0"/>
                      <w:bCs w:val="0"/>
                      <w:color w:val="auto"/>
                      <w:kern w:val="0"/>
                      <w:sz w:val="21"/>
                      <w:szCs w:val="21"/>
                      <w:highlight w:val="none"/>
                      <w:lang w:val="en-US" w:eastAsia="zh-CN"/>
                    </w:rPr>
                    <w:t>本次评价要求采场、排土场</w:t>
                  </w:r>
                  <w:r>
                    <w:rPr>
                      <w:rFonts w:hint="eastAsia" w:ascii="Times New Roman" w:hAnsi="Times New Roman" w:eastAsia="宋体" w:cs="Times New Roman"/>
                      <w:b w:val="0"/>
                      <w:bCs w:val="0"/>
                      <w:color w:val="auto"/>
                      <w:kern w:val="0"/>
                      <w:sz w:val="21"/>
                      <w:szCs w:val="21"/>
                      <w:highlight w:val="none"/>
                      <w:lang w:val="en-US" w:eastAsia="zh-CN"/>
                    </w:rPr>
                    <w:t>建有雨水截（排）水沟和集水池，收集的雨水经沉淀后用于采场洒水抑尘</w:t>
                  </w:r>
                  <w:r>
                    <w:rPr>
                      <w:rFonts w:hint="eastAsia" w:cs="Times New Roman"/>
                      <w:b w:val="0"/>
                      <w:bCs w:val="0"/>
                      <w:color w:val="auto"/>
                      <w:kern w:val="0"/>
                      <w:sz w:val="21"/>
                      <w:szCs w:val="21"/>
                      <w:highlight w:val="none"/>
                      <w:lang w:val="en-US" w:eastAsia="zh-CN"/>
                    </w:rPr>
                    <w:t>。</w:t>
                  </w:r>
                </w:p>
              </w:tc>
              <w:tc>
                <w:tcPr>
                  <w:tcW w:w="377" w:type="pct"/>
                  <w:tcBorders>
                    <w:tl2br w:val="nil"/>
                    <w:tr2bl w:val="nil"/>
                  </w:tcBorders>
                  <w:vAlign w:val="center"/>
                </w:tcPr>
                <w:p w14:paraId="1848B274">
                  <w:pPr>
                    <w:autoSpaceDE w:val="0"/>
                    <w:autoSpaceDN w:val="0"/>
                    <w:adjustRightInd w:val="0"/>
                    <w:snapToGrid w:val="0"/>
                    <w:ind w:left="-105" w:leftChars="-50" w:right="-105" w:rightChars="-50"/>
                    <w:jc w:val="center"/>
                    <w:rPr>
                      <w:rFonts w:hint="eastAsia" w:eastAsia="宋体"/>
                      <w:color w:val="auto"/>
                      <w:kern w:val="0"/>
                      <w:szCs w:val="21"/>
                      <w:lang w:val="en-US" w:eastAsia="zh-CN"/>
                    </w:rPr>
                  </w:pPr>
                  <w:r>
                    <w:rPr>
                      <w:rFonts w:hint="eastAsia"/>
                      <w:color w:val="auto"/>
                      <w:kern w:val="0"/>
                      <w:szCs w:val="21"/>
                      <w:lang w:val="en-US" w:eastAsia="zh-CN"/>
                    </w:rPr>
                    <w:t>符合</w:t>
                  </w:r>
                </w:p>
              </w:tc>
            </w:tr>
            <w:tr w14:paraId="60999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71" w:type="pct"/>
                  <w:vMerge w:val="continue"/>
                  <w:tcBorders>
                    <w:tl2br w:val="nil"/>
                    <w:tr2bl w:val="nil"/>
                  </w:tcBorders>
                  <w:vAlign w:val="center"/>
                </w:tcPr>
                <w:p w14:paraId="03411849">
                  <w:pPr>
                    <w:autoSpaceDE w:val="0"/>
                    <w:autoSpaceDN w:val="0"/>
                    <w:adjustRightInd w:val="0"/>
                    <w:snapToGrid w:val="0"/>
                    <w:jc w:val="center"/>
                    <w:rPr>
                      <w:color w:val="auto"/>
                      <w:kern w:val="0"/>
                      <w:szCs w:val="21"/>
                    </w:rPr>
                  </w:pPr>
                </w:p>
              </w:tc>
              <w:tc>
                <w:tcPr>
                  <w:tcW w:w="575" w:type="dxa"/>
                  <w:vMerge w:val="continue"/>
                  <w:tcBorders>
                    <w:tl2br w:val="nil"/>
                    <w:tr2bl w:val="nil"/>
                  </w:tcBorders>
                  <w:vAlign w:val="center"/>
                </w:tcPr>
                <w:p w14:paraId="52B376CE">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kern w:val="0"/>
                      <w:szCs w:val="21"/>
                    </w:rPr>
                  </w:pPr>
                </w:p>
              </w:tc>
              <w:tc>
                <w:tcPr>
                  <w:tcW w:w="3299" w:type="dxa"/>
                  <w:tcBorders>
                    <w:tl2br w:val="nil"/>
                    <w:tr2bl w:val="nil"/>
                  </w:tcBorders>
                  <w:vAlign w:val="center"/>
                </w:tcPr>
                <w:p w14:paraId="5A12628D">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color w:val="auto"/>
                      <w:kern w:val="0"/>
                      <w:szCs w:val="21"/>
                    </w:rPr>
                  </w:pPr>
                  <w:r>
                    <w:rPr>
                      <w:rFonts w:hint="eastAsia" w:ascii="Times New Roman" w:hAnsi="Times New Roman" w:eastAsia="宋体" w:cs="Times New Roman"/>
                      <w:b w:val="0"/>
                      <w:bCs w:val="0"/>
                      <w:color w:val="auto"/>
                      <w:kern w:val="0"/>
                      <w:sz w:val="21"/>
                      <w:szCs w:val="21"/>
                      <w:highlight w:val="none"/>
                      <w:lang w:val="en-US" w:eastAsia="zh-CN"/>
                    </w:rPr>
                    <w:t>矿区及厂区的生产排水、雨水和生活污水，应实现雨污分流，清污分流。</w:t>
                  </w:r>
                </w:p>
              </w:tc>
              <w:tc>
                <w:tcPr>
                  <w:tcW w:w="2978" w:type="dxa"/>
                  <w:tcBorders>
                    <w:tl2br w:val="nil"/>
                    <w:tr2bl w:val="nil"/>
                  </w:tcBorders>
                  <w:vAlign w:val="center"/>
                </w:tcPr>
                <w:p w14:paraId="21C8AE35">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color w:val="auto"/>
                      <w:kern w:val="0"/>
                      <w:szCs w:val="21"/>
                    </w:rPr>
                  </w:pPr>
                  <w:r>
                    <w:rPr>
                      <w:rFonts w:hint="eastAsia" w:ascii="Times New Roman" w:hAnsi="Times New Roman" w:eastAsia="宋体" w:cs="Times New Roman"/>
                      <w:b w:val="0"/>
                      <w:bCs w:val="0"/>
                      <w:color w:val="auto"/>
                      <w:kern w:val="0"/>
                      <w:sz w:val="21"/>
                      <w:szCs w:val="21"/>
                      <w:highlight w:val="none"/>
                      <w:lang w:val="en-US" w:eastAsia="zh-CN"/>
                    </w:rPr>
                    <w:t>食堂污水经隔油处理后与</w:t>
                  </w:r>
                  <w:r>
                    <w:rPr>
                      <w:rFonts w:hint="eastAsia" w:cs="Times New Roman"/>
                      <w:b w:val="0"/>
                      <w:bCs w:val="0"/>
                      <w:color w:val="auto"/>
                      <w:kern w:val="0"/>
                      <w:sz w:val="21"/>
                      <w:szCs w:val="21"/>
                      <w:highlight w:val="none"/>
                      <w:lang w:val="en-US" w:eastAsia="zh-CN"/>
                    </w:rPr>
                    <w:t>生活污水一起</w:t>
                  </w:r>
                  <w:r>
                    <w:rPr>
                      <w:rFonts w:hint="eastAsia" w:ascii="Times New Roman" w:hAnsi="Times New Roman" w:eastAsia="宋体" w:cs="Times New Roman"/>
                      <w:b w:val="0"/>
                      <w:bCs w:val="0"/>
                      <w:color w:val="auto"/>
                      <w:kern w:val="0"/>
                      <w:sz w:val="21"/>
                      <w:szCs w:val="21"/>
                      <w:highlight w:val="none"/>
                      <w:lang w:val="en-US" w:eastAsia="zh-CN"/>
                    </w:rPr>
                    <w:t>收集至化粪池，定期清掏；采场、排土场建有雨水截（排）水沟和集水池，收集的雨水经沉淀后用于采场洒水抑尘，不外排。</w:t>
                  </w:r>
                </w:p>
              </w:tc>
              <w:tc>
                <w:tcPr>
                  <w:tcW w:w="377" w:type="pct"/>
                  <w:tcBorders>
                    <w:tl2br w:val="nil"/>
                    <w:tr2bl w:val="nil"/>
                  </w:tcBorders>
                  <w:vAlign w:val="center"/>
                </w:tcPr>
                <w:p w14:paraId="4ABAC639">
                  <w:pPr>
                    <w:autoSpaceDE w:val="0"/>
                    <w:autoSpaceDN w:val="0"/>
                    <w:adjustRightInd w:val="0"/>
                    <w:snapToGrid w:val="0"/>
                    <w:ind w:left="-105" w:leftChars="-50" w:right="-105" w:rightChars="-50"/>
                    <w:jc w:val="center"/>
                    <w:rPr>
                      <w:rFonts w:hint="eastAsia" w:eastAsia="宋体"/>
                      <w:color w:val="auto"/>
                      <w:kern w:val="0"/>
                      <w:szCs w:val="21"/>
                      <w:lang w:val="en-US" w:eastAsia="zh-CN"/>
                    </w:rPr>
                  </w:pPr>
                  <w:r>
                    <w:rPr>
                      <w:rFonts w:hint="eastAsia"/>
                      <w:color w:val="auto"/>
                      <w:kern w:val="0"/>
                      <w:szCs w:val="21"/>
                      <w:lang w:val="en-US" w:eastAsia="zh-CN"/>
                    </w:rPr>
                    <w:t>符合</w:t>
                  </w:r>
                </w:p>
              </w:tc>
            </w:tr>
          </w:tbl>
          <w:p w14:paraId="2A0B136D">
            <w:pPr>
              <w:pStyle w:val="57"/>
              <w:spacing w:line="480" w:lineRule="exact"/>
              <w:ind w:firstLine="482"/>
              <w:jc w:val="both"/>
              <w:rPr>
                <w:rFonts w:ascii="Times New Roman" w:hAnsi="Times New Roman"/>
                <w:b/>
                <w:bCs/>
                <w:sz w:val="24"/>
                <w:szCs w:val="24"/>
                <w:lang w:bidi="ar"/>
              </w:rPr>
            </w:pPr>
            <w:r>
              <w:rPr>
                <w:rFonts w:hint="eastAsia" w:ascii="Times New Roman" w:hAnsi="Times New Roman"/>
                <w:b/>
                <w:bCs/>
                <w:sz w:val="24"/>
                <w:szCs w:val="24"/>
                <w:lang w:val="en-US" w:eastAsia="zh-CN" w:bidi="ar"/>
              </w:rPr>
              <w:t>10</w:t>
            </w:r>
            <w:r>
              <w:rPr>
                <w:rFonts w:hint="eastAsia" w:ascii="Times New Roman" w:hAnsi="Times New Roman"/>
                <w:b/>
                <w:bCs/>
                <w:sz w:val="24"/>
                <w:szCs w:val="24"/>
                <w:lang w:bidi="ar"/>
              </w:rPr>
              <w:t>.与《矿山生态环境保护与恢复治理技术规范（试行）》（HJ651-2013）的符合性分析</w:t>
            </w:r>
          </w:p>
          <w:p w14:paraId="37720FDE">
            <w:pPr>
              <w:autoSpaceDE w:val="0"/>
              <w:autoSpaceDN w:val="0"/>
              <w:adjustRightInd w:val="0"/>
              <w:snapToGrid w:val="0"/>
              <w:spacing w:line="480" w:lineRule="exact"/>
              <w:ind w:firstLine="480" w:firstLineChars="200"/>
              <w:jc w:val="left"/>
              <w:rPr>
                <w:kern w:val="0"/>
                <w:sz w:val="24"/>
              </w:rPr>
            </w:pPr>
            <w:r>
              <w:rPr>
                <w:rFonts w:hint="eastAsia"/>
                <w:kern w:val="0"/>
                <w:sz w:val="24"/>
              </w:rPr>
              <w:t>本项目与《矿山生态环境保护与恢复治理技术规范（试行）》符合性分析详见下表。</w:t>
            </w:r>
          </w:p>
          <w:p w14:paraId="642D3035">
            <w:pPr>
              <w:pStyle w:val="15"/>
              <w:spacing w:line="480" w:lineRule="exact"/>
              <w:rPr>
                <w:rFonts w:eastAsia="宋体"/>
                <w:sz w:val="21"/>
                <w:szCs w:val="21"/>
              </w:rPr>
            </w:pPr>
            <w:r>
              <w:rPr>
                <w:rFonts w:hint="eastAsia" w:eastAsia="宋体"/>
                <w:sz w:val="21"/>
                <w:szCs w:val="21"/>
              </w:rPr>
              <w:t>表1-</w:t>
            </w:r>
            <w:r>
              <w:rPr>
                <w:rFonts w:hint="eastAsia" w:eastAsia="宋体"/>
                <w:sz w:val="21"/>
                <w:szCs w:val="21"/>
                <w:lang w:val="en-US" w:eastAsia="zh-CN"/>
              </w:rPr>
              <w:t>8</w:t>
            </w:r>
            <w:r>
              <w:rPr>
                <w:rFonts w:hint="eastAsia" w:eastAsia="宋体"/>
                <w:sz w:val="21"/>
                <w:szCs w:val="21"/>
              </w:rPr>
              <w:t xml:space="preserve"> 本项目与《矿山生态环境保护与恢复治理技术规范（试行）》符合性分析</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27"/>
              <w:gridCol w:w="2862"/>
              <w:gridCol w:w="697"/>
            </w:tblGrid>
            <w:tr w14:paraId="74934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7" w:type="dxa"/>
                  <w:tcBorders>
                    <w:tl2br w:val="nil"/>
                    <w:tr2bl w:val="nil"/>
                  </w:tcBorders>
                  <w:vAlign w:val="center"/>
                </w:tcPr>
                <w:p w14:paraId="346F2F8C">
                  <w:pPr>
                    <w:autoSpaceDE w:val="0"/>
                    <w:autoSpaceDN w:val="0"/>
                    <w:adjustRightInd w:val="0"/>
                    <w:snapToGrid w:val="0"/>
                    <w:jc w:val="center"/>
                    <w:rPr>
                      <w:kern w:val="0"/>
                      <w:szCs w:val="21"/>
                    </w:rPr>
                  </w:pPr>
                  <w:r>
                    <w:rPr>
                      <w:rFonts w:hint="eastAsia"/>
                      <w:kern w:val="0"/>
                      <w:szCs w:val="21"/>
                    </w:rPr>
                    <w:t>规范要求</w:t>
                  </w:r>
                </w:p>
              </w:tc>
              <w:tc>
                <w:tcPr>
                  <w:tcW w:w="2862" w:type="dxa"/>
                  <w:tcBorders>
                    <w:tl2br w:val="nil"/>
                    <w:tr2bl w:val="nil"/>
                  </w:tcBorders>
                  <w:vAlign w:val="center"/>
                </w:tcPr>
                <w:p w14:paraId="00B238AE">
                  <w:pPr>
                    <w:autoSpaceDE w:val="0"/>
                    <w:autoSpaceDN w:val="0"/>
                    <w:adjustRightInd w:val="0"/>
                    <w:snapToGrid w:val="0"/>
                    <w:jc w:val="center"/>
                    <w:rPr>
                      <w:kern w:val="0"/>
                      <w:szCs w:val="21"/>
                    </w:rPr>
                  </w:pPr>
                  <w:r>
                    <w:rPr>
                      <w:rFonts w:hint="eastAsia"/>
                      <w:kern w:val="0"/>
                      <w:szCs w:val="21"/>
                    </w:rPr>
                    <w:t>本项目情况</w:t>
                  </w:r>
                </w:p>
              </w:tc>
              <w:tc>
                <w:tcPr>
                  <w:tcW w:w="697" w:type="dxa"/>
                  <w:tcBorders>
                    <w:tl2br w:val="nil"/>
                    <w:tr2bl w:val="nil"/>
                  </w:tcBorders>
                  <w:vAlign w:val="center"/>
                </w:tcPr>
                <w:p w14:paraId="32FA22A9">
                  <w:pPr>
                    <w:autoSpaceDE w:val="0"/>
                    <w:autoSpaceDN w:val="0"/>
                    <w:adjustRightInd w:val="0"/>
                    <w:snapToGrid w:val="0"/>
                    <w:jc w:val="center"/>
                    <w:rPr>
                      <w:kern w:val="0"/>
                      <w:szCs w:val="21"/>
                    </w:rPr>
                  </w:pPr>
                  <w:r>
                    <w:rPr>
                      <w:rFonts w:hint="eastAsia"/>
                      <w:kern w:val="0"/>
                      <w:szCs w:val="21"/>
                    </w:rPr>
                    <w:t>是否符合</w:t>
                  </w:r>
                </w:p>
              </w:tc>
            </w:tr>
            <w:tr w14:paraId="7E288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7" w:type="dxa"/>
                  <w:tcBorders>
                    <w:tl2br w:val="nil"/>
                    <w:tr2bl w:val="nil"/>
                  </w:tcBorders>
                  <w:vAlign w:val="center"/>
                </w:tcPr>
                <w:p w14:paraId="7A8DD407">
                  <w:pPr>
                    <w:autoSpaceDE w:val="0"/>
                    <w:autoSpaceDN w:val="0"/>
                    <w:adjustRightInd w:val="0"/>
                    <w:snapToGrid w:val="0"/>
                    <w:jc w:val="center"/>
                    <w:rPr>
                      <w:kern w:val="0"/>
                      <w:szCs w:val="21"/>
                    </w:rPr>
                  </w:pPr>
                  <w:r>
                    <w:rPr>
                      <w:kern w:val="0"/>
                      <w:szCs w:val="21"/>
                    </w:rPr>
                    <w:t>禁止在依法划定的自然保护区、风景名胜区、森林公园、饮用水水源保护区、文物古迹所在地、地质遗迹保护区、基本农田保护区等重要生态保护地以及其他法律法规规定的禁采区域内采矿。禁止在重要道路、航道两侧及重要生态环境敏感目标可视范围内进行对景观破坏明显的露天开采。</w:t>
                  </w:r>
                </w:p>
              </w:tc>
              <w:tc>
                <w:tcPr>
                  <w:tcW w:w="2862" w:type="dxa"/>
                  <w:tcBorders>
                    <w:tl2br w:val="nil"/>
                    <w:tr2bl w:val="nil"/>
                  </w:tcBorders>
                  <w:vAlign w:val="center"/>
                </w:tcPr>
                <w:p w14:paraId="37A26637">
                  <w:pPr>
                    <w:pStyle w:val="57"/>
                    <w:ind w:firstLine="0" w:firstLineChars="0"/>
                    <w:jc w:val="center"/>
                    <w:rPr>
                      <w:rFonts w:ascii="Times New Roman" w:hAnsi="Times New Roman"/>
                      <w:b/>
                      <w:bCs/>
                      <w:sz w:val="21"/>
                      <w:szCs w:val="21"/>
                      <w:lang w:bidi="ar"/>
                    </w:rPr>
                  </w:pPr>
                  <w:r>
                    <w:rPr>
                      <w:rFonts w:hint="eastAsia" w:ascii="Times New Roman" w:hAnsi="Times New Roman"/>
                      <w:kern w:val="0"/>
                      <w:sz w:val="21"/>
                      <w:szCs w:val="21"/>
                    </w:rPr>
                    <w:t>本项目不在依法划定的自然保护区、风景名胜区、森林公园、饮用水水源保护区、文物古迹所在地、地质遗址保护区、基本农田保护区等重要生态保护地以及其他法律法规规定的禁采区，本项目采用露天开采，周边有山体、树木遮挡，不在铁路、国道、省道两侧的可视范围内。</w:t>
                  </w:r>
                </w:p>
              </w:tc>
              <w:tc>
                <w:tcPr>
                  <w:tcW w:w="697" w:type="dxa"/>
                  <w:tcBorders>
                    <w:tl2br w:val="nil"/>
                    <w:tr2bl w:val="nil"/>
                  </w:tcBorders>
                  <w:vAlign w:val="center"/>
                </w:tcPr>
                <w:p w14:paraId="593D9F19">
                  <w:pPr>
                    <w:pStyle w:val="57"/>
                    <w:ind w:firstLine="0" w:firstLineChars="0"/>
                    <w:jc w:val="center"/>
                    <w:rPr>
                      <w:rFonts w:ascii="Times New Roman" w:hAnsi="Times New Roman"/>
                      <w:b/>
                      <w:bCs/>
                      <w:sz w:val="21"/>
                      <w:szCs w:val="21"/>
                      <w:lang w:bidi="ar"/>
                    </w:rPr>
                  </w:pPr>
                  <w:r>
                    <w:rPr>
                      <w:rFonts w:hint="eastAsia" w:ascii="Times New Roman" w:hAnsi="Times New Roman"/>
                      <w:sz w:val="21"/>
                      <w:szCs w:val="21"/>
                      <w:lang w:bidi="ar"/>
                    </w:rPr>
                    <w:t>符合</w:t>
                  </w:r>
                </w:p>
              </w:tc>
            </w:tr>
            <w:tr w14:paraId="3A029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7" w:type="dxa"/>
                  <w:tcBorders>
                    <w:tl2br w:val="nil"/>
                    <w:tr2bl w:val="nil"/>
                  </w:tcBorders>
                  <w:vAlign w:val="center"/>
                </w:tcPr>
                <w:p w14:paraId="3453F085">
                  <w:pPr>
                    <w:autoSpaceDE w:val="0"/>
                    <w:autoSpaceDN w:val="0"/>
                    <w:adjustRightInd w:val="0"/>
                    <w:snapToGrid w:val="0"/>
                    <w:jc w:val="center"/>
                    <w:rPr>
                      <w:kern w:val="0"/>
                      <w:szCs w:val="21"/>
                    </w:rPr>
                  </w:pPr>
                  <w:r>
                    <w:rPr>
                      <w:kern w:val="0"/>
                      <w:szCs w:val="21"/>
                    </w:rPr>
                    <w:t>矿产资源开发活动应符合国家和区域主体功能区规划、生态功能区划、生态环境保护规划的要求，采取有效预防和保护措施，避免或减轻矿产资源开发活动造成的生态破坏和环境污染。</w:t>
                  </w:r>
                </w:p>
              </w:tc>
              <w:tc>
                <w:tcPr>
                  <w:tcW w:w="2862" w:type="dxa"/>
                  <w:tcBorders>
                    <w:tl2br w:val="nil"/>
                    <w:tr2bl w:val="nil"/>
                  </w:tcBorders>
                  <w:vAlign w:val="center"/>
                </w:tcPr>
                <w:p w14:paraId="4E5678A9">
                  <w:pPr>
                    <w:pStyle w:val="57"/>
                    <w:ind w:firstLine="0" w:firstLineChars="0"/>
                    <w:jc w:val="center"/>
                    <w:rPr>
                      <w:rFonts w:ascii="Times New Roman" w:hAnsi="Times New Roman"/>
                      <w:kern w:val="0"/>
                      <w:sz w:val="21"/>
                      <w:szCs w:val="21"/>
                    </w:rPr>
                  </w:pPr>
                  <w:r>
                    <w:rPr>
                      <w:rFonts w:hint="eastAsia" w:ascii="Times New Roman" w:hAnsi="Times New Roman"/>
                      <w:kern w:val="0"/>
                      <w:sz w:val="21"/>
                      <w:szCs w:val="21"/>
                    </w:rPr>
                    <w:t>本矿符合</w:t>
                  </w:r>
                  <w:r>
                    <w:rPr>
                      <w:rFonts w:ascii="Times New Roman" w:hAnsi="Times New Roman"/>
                      <w:kern w:val="0"/>
                      <w:sz w:val="21"/>
                      <w:szCs w:val="21"/>
                    </w:rPr>
                    <w:t>主体功能区规划、生态功能区划、生态环境保护规划的要求</w:t>
                  </w:r>
                  <w:r>
                    <w:rPr>
                      <w:rFonts w:hint="eastAsia" w:ascii="Times New Roman" w:hAnsi="Times New Roman"/>
                      <w:kern w:val="0"/>
                      <w:sz w:val="21"/>
                      <w:szCs w:val="21"/>
                    </w:rPr>
                    <w:t>，本项目在开采过程中采取了水保措施和生态保护措施及其他污染防治措施。</w:t>
                  </w:r>
                </w:p>
              </w:tc>
              <w:tc>
                <w:tcPr>
                  <w:tcW w:w="697" w:type="dxa"/>
                  <w:tcBorders>
                    <w:tl2br w:val="nil"/>
                    <w:tr2bl w:val="nil"/>
                  </w:tcBorders>
                  <w:vAlign w:val="center"/>
                </w:tcPr>
                <w:p w14:paraId="6BFC439E">
                  <w:pPr>
                    <w:pStyle w:val="57"/>
                    <w:ind w:firstLine="0" w:firstLineChars="0"/>
                    <w:jc w:val="center"/>
                    <w:rPr>
                      <w:rFonts w:ascii="Times New Roman" w:hAnsi="Times New Roman"/>
                      <w:kern w:val="0"/>
                      <w:sz w:val="21"/>
                      <w:szCs w:val="21"/>
                    </w:rPr>
                  </w:pPr>
                  <w:r>
                    <w:rPr>
                      <w:rFonts w:hint="eastAsia" w:ascii="Times New Roman" w:hAnsi="Times New Roman"/>
                      <w:kern w:val="0"/>
                      <w:sz w:val="21"/>
                      <w:szCs w:val="21"/>
                    </w:rPr>
                    <w:t>符合</w:t>
                  </w:r>
                </w:p>
              </w:tc>
            </w:tr>
            <w:tr w14:paraId="6DA1D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7" w:type="dxa"/>
                  <w:tcBorders>
                    <w:tl2br w:val="nil"/>
                    <w:tr2bl w:val="nil"/>
                  </w:tcBorders>
                  <w:vAlign w:val="center"/>
                </w:tcPr>
                <w:p w14:paraId="5AA8C5BD">
                  <w:pPr>
                    <w:autoSpaceDE w:val="0"/>
                    <w:autoSpaceDN w:val="0"/>
                    <w:adjustRightInd w:val="0"/>
                    <w:snapToGrid w:val="0"/>
                    <w:jc w:val="center"/>
                    <w:rPr>
                      <w:kern w:val="0"/>
                      <w:szCs w:val="21"/>
                    </w:rPr>
                  </w:pPr>
                  <w:r>
                    <w:rPr>
                      <w:kern w:val="0"/>
                      <w:szCs w:val="21"/>
                    </w:rPr>
                    <w:t>坚持</w:t>
                  </w:r>
                  <w:r>
                    <w:rPr>
                      <w:rFonts w:hint="eastAsia"/>
                      <w:kern w:val="0"/>
                      <w:szCs w:val="21"/>
                    </w:rPr>
                    <w:t>“</w:t>
                  </w:r>
                  <w:r>
                    <w:rPr>
                      <w:kern w:val="0"/>
                      <w:szCs w:val="21"/>
                    </w:rPr>
                    <w:t>预防为主、防治结合、过程控制</w:t>
                  </w:r>
                  <w:r>
                    <w:rPr>
                      <w:rFonts w:hint="eastAsia"/>
                      <w:kern w:val="0"/>
                      <w:szCs w:val="21"/>
                    </w:rPr>
                    <w:t>”</w:t>
                  </w:r>
                  <w:r>
                    <w:rPr>
                      <w:kern w:val="0"/>
                      <w:szCs w:val="21"/>
                    </w:rPr>
                    <w:t>的原则，将矿山生态环境保护与恢复治理贯穿矿产资源开采的全过程。根据矿山生态环境保护与恢复治理的重点任务，合理确定矿山生态保护与恢复治理分区，优化矿区生产与生活空间格局。采用新技术、新方法、新工艺提高矿山生态环境保护和恢复治理水平。</w:t>
                  </w:r>
                </w:p>
              </w:tc>
              <w:tc>
                <w:tcPr>
                  <w:tcW w:w="2862" w:type="dxa"/>
                  <w:tcBorders>
                    <w:tl2br w:val="nil"/>
                    <w:tr2bl w:val="nil"/>
                  </w:tcBorders>
                  <w:vAlign w:val="center"/>
                </w:tcPr>
                <w:p w14:paraId="6F0E067C">
                  <w:pPr>
                    <w:pStyle w:val="57"/>
                    <w:ind w:left="-105" w:leftChars="-50" w:right="-105" w:rightChars="-50" w:firstLine="0" w:firstLineChars="0"/>
                    <w:jc w:val="center"/>
                    <w:rPr>
                      <w:rFonts w:ascii="Times New Roman" w:hAnsi="Times New Roman"/>
                      <w:kern w:val="0"/>
                      <w:sz w:val="21"/>
                      <w:szCs w:val="21"/>
                    </w:rPr>
                  </w:pPr>
                  <w:r>
                    <w:rPr>
                      <w:rFonts w:hint="eastAsia" w:ascii="Times New Roman" w:hAnsi="Times New Roman"/>
                      <w:kern w:val="0"/>
                      <w:sz w:val="21"/>
                      <w:szCs w:val="21"/>
                    </w:rPr>
                    <w:t>矿山采取边开采边治理的生态恢复措施</w:t>
                  </w:r>
                  <w:r>
                    <w:rPr>
                      <w:rFonts w:hint="eastAsia" w:ascii="Times New Roman" w:hAnsi="Times New Roman"/>
                      <w:kern w:val="0"/>
                      <w:sz w:val="21"/>
                      <w:szCs w:val="21"/>
                      <w:lang w:eastAsia="zh-CN"/>
                    </w:rPr>
                    <w:t>，在</w:t>
                  </w:r>
                  <w:r>
                    <w:rPr>
                      <w:rFonts w:hint="eastAsia" w:ascii="Times New Roman" w:hAnsi="Times New Roman"/>
                      <w:kern w:val="0"/>
                      <w:sz w:val="21"/>
                      <w:szCs w:val="21"/>
                    </w:rPr>
                    <w:t>矿山服务期满后进行全面的生态恢复；根据适宜性评价结果，针对不同区域采取不同的生态恢复治理措施。</w:t>
                  </w:r>
                </w:p>
              </w:tc>
              <w:tc>
                <w:tcPr>
                  <w:tcW w:w="697" w:type="dxa"/>
                  <w:tcBorders>
                    <w:tl2br w:val="nil"/>
                    <w:tr2bl w:val="nil"/>
                  </w:tcBorders>
                  <w:vAlign w:val="center"/>
                </w:tcPr>
                <w:p w14:paraId="1B175C69">
                  <w:pPr>
                    <w:pStyle w:val="57"/>
                    <w:ind w:firstLine="0" w:firstLineChars="0"/>
                    <w:jc w:val="center"/>
                    <w:rPr>
                      <w:rFonts w:ascii="Times New Roman" w:hAnsi="Times New Roman"/>
                      <w:kern w:val="0"/>
                      <w:sz w:val="21"/>
                      <w:szCs w:val="21"/>
                    </w:rPr>
                  </w:pPr>
                  <w:r>
                    <w:rPr>
                      <w:rFonts w:hint="eastAsia" w:ascii="Times New Roman" w:hAnsi="Times New Roman"/>
                      <w:kern w:val="0"/>
                      <w:sz w:val="21"/>
                      <w:szCs w:val="21"/>
                    </w:rPr>
                    <w:t>符合</w:t>
                  </w:r>
                </w:p>
              </w:tc>
            </w:tr>
            <w:tr w14:paraId="19FBE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7" w:type="dxa"/>
                  <w:tcBorders>
                    <w:tl2br w:val="nil"/>
                    <w:tr2bl w:val="nil"/>
                  </w:tcBorders>
                  <w:vAlign w:val="center"/>
                </w:tcPr>
                <w:p w14:paraId="22FCEFC5">
                  <w:pPr>
                    <w:autoSpaceDE w:val="0"/>
                    <w:autoSpaceDN w:val="0"/>
                    <w:adjustRightInd w:val="0"/>
                    <w:snapToGrid w:val="0"/>
                    <w:jc w:val="center"/>
                    <w:rPr>
                      <w:kern w:val="0"/>
                      <w:szCs w:val="21"/>
                    </w:rPr>
                  </w:pPr>
                  <w:r>
                    <w:rPr>
                      <w:kern w:val="0"/>
                      <w:szCs w:val="21"/>
                    </w:rPr>
                    <w:t>所有矿山企业均应对照本标准各项要求，编制实施矿山生态环境保护与恢复治理方案。</w:t>
                  </w:r>
                </w:p>
              </w:tc>
              <w:tc>
                <w:tcPr>
                  <w:tcW w:w="2862" w:type="dxa"/>
                  <w:tcBorders>
                    <w:tl2br w:val="nil"/>
                    <w:tr2bl w:val="nil"/>
                  </w:tcBorders>
                  <w:vAlign w:val="center"/>
                </w:tcPr>
                <w:p w14:paraId="32B1B245">
                  <w:pPr>
                    <w:pStyle w:val="57"/>
                    <w:ind w:firstLine="0" w:firstLineChars="0"/>
                    <w:jc w:val="center"/>
                    <w:rPr>
                      <w:rFonts w:ascii="Times New Roman" w:hAnsi="Times New Roman"/>
                      <w:b/>
                      <w:bCs/>
                      <w:sz w:val="21"/>
                      <w:szCs w:val="21"/>
                      <w:lang w:bidi="ar"/>
                    </w:rPr>
                  </w:pPr>
                  <w:r>
                    <w:rPr>
                      <w:rFonts w:hint="eastAsia" w:ascii="Times New Roman" w:hAnsi="Times New Roman"/>
                      <w:kern w:val="0"/>
                      <w:sz w:val="21"/>
                      <w:szCs w:val="21"/>
                    </w:rPr>
                    <w:t>本项目已编制完成了矿山地质环境保护与土地复垦方案并通过了评审。</w:t>
                  </w:r>
                </w:p>
              </w:tc>
              <w:tc>
                <w:tcPr>
                  <w:tcW w:w="697" w:type="dxa"/>
                  <w:tcBorders>
                    <w:tl2br w:val="nil"/>
                    <w:tr2bl w:val="nil"/>
                  </w:tcBorders>
                  <w:vAlign w:val="center"/>
                </w:tcPr>
                <w:p w14:paraId="31E087D3">
                  <w:pPr>
                    <w:pStyle w:val="57"/>
                    <w:ind w:firstLine="0" w:firstLineChars="0"/>
                    <w:jc w:val="center"/>
                    <w:rPr>
                      <w:rFonts w:ascii="Times New Roman" w:hAnsi="Times New Roman"/>
                      <w:b/>
                      <w:bCs/>
                      <w:sz w:val="21"/>
                      <w:szCs w:val="21"/>
                      <w:lang w:bidi="ar"/>
                    </w:rPr>
                  </w:pPr>
                  <w:r>
                    <w:rPr>
                      <w:rFonts w:hint="eastAsia" w:ascii="Times New Roman" w:hAnsi="Times New Roman"/>
                      <w:sz w:val="21"/>
                      <w:szCs w:val="21"/>
                      <w:lang w:bidi="ar"/>
                    </w:rPr>
                    <w:t>符合</w:t>
                  </w:r>
                </w:p>
              </w:tc>
            </w:tr>
            <w:tr w14:paraId="1B7BA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7" w:type="dxa"/>
                  <w:vAlign w:val="center"/>
                </w:tcPr>
                <w:p w14:paraId="113D586D">
                  <w:pPr>
                    <w:pStyle w:val="57"/>
                    <w:ind w:left="-105" w:leftChars="-50" w:right="-105" w:rightChars="-50" w:firstLine="0" w:firstLineChars="0"/>
                    <w:jc w:val="center"/>
                    <w:rPr>
                      <w:rFonts w:ascii="Times New Roman" w:hAnsi="Times New Roman"/>
                      <w:b/>
                      <w:bCs/>
                      <w:sz w:val="21"/>
                      <w:szCs w:val="21"/>
                      <w:lang w:bidi="ar"/>
                    </w:rPr>
                  </w:pPr>
                  <w:r>
                    <w:rPr>
                      <w:rFonts w:ascii="Times New Roman" w:hAnsi="Times New Roman"/>
                      <w:kern w:val="0"/>
                      <w:sz w:val="21"/>
                      <w:szCs w:val="21"/>
                    </w:rPr>
                    <w:t>恢复治理后的各类场地应实现：安全稳定，对人类和动植物不造成威胁；对周边环境不产生污染；与周边自然环境和景观相协调；恢复土地基本功能，因地制宜实现土地可持续利用；区域整体生态功能得到保护和恢复。</w:t>
                  </w:r>
                </w:p>
              </w:tc>
              <w:tc>
                <w:tcPr>
                  <w:tcW w:w="2862" w:type="dxa"/>
                  <w:vAlign w:val="center"/>
                </w:tcPr>
                <w:p w14:paraId="75B4C9EC">
                  <w:pPr>
                    <w:pStyle w:val="57"/>
                    <w:ind w:firstLine="0" w:firstLineChars="0"/>
                    <w:jc w:val="center"/>
                    <w:rPr>
                      <w:rFonts w:ascii="Times New Roman" w:hAnsi="Times New Roman"/>
                      <w:kern w:val="0"/>
                      <w:sz w:val="21"/>
                      <w:szCs w:val="21"/>
                    </w:rPr>
                  </w:pPr>
                  <w:r>
                    <w:rPr>
                      <w:rFonts w:hint="eastAsia" w:ascii="Times New Roman" w:hAnsi="Times New Roman"/>
                      <w:kern w:val="0"/>
                      <w:sz w:val="21"/>
                      <w:szCs w:val="21"/>
                    </w:rPr>
                    <w:t>本项目经过恢复治理后可以确保场地安全稳定，对人类和动植物不造成威胁，对周边环境不产生污染，与周边自然环境和景观相协调，实现土地可持续利用，使得区域整体生态功能得到保护和恢复。</w:t>
                  </w:r>
                </w:p>
              </w:tc>
              <w:tc>
                <w:tcPr>
                  <w:tcW w:w="697" w:type="dxa"/>
                  <w:vAlign w:val="center"/>
                </w:tcPr>
                <w:p w14:paraId="7AC1A4CF">
                  <w:pPr>
                    <w:pStyle w:val="57"/>
                    <w:ind w:firstLine="0" w:firstLineChars="0"/>
                    <w:jc w:val="center"/>
                    <w:rPr>
                      <w:rFonts w:ascii="Times New Roman" w:hAnsi="Times New Roman"/>
                      <w:kern w:val="0"/>
                      <w:sz w:val="21"/>
                      <w:szCs w:val="21"/>
                    </w:rPr>
                  </w:pPr>
                  <w:r>
                    <w:rPr>
                      <w:rFonts w:hint="eastAsia" w:ascii="Times New Roman" w:hAnsi="Times New Roman"/>
                      <w:kern w:val="0"/>
                      <w:sz w:val="21"/>
                      <w:szCs w:val="21"/>
                    </w:rPr>
                    <w:t>符合</w:t>
                  </w:r>
                </w:p>
              </w:tc>
            </w:tr>
          </w:tbl>
          <w:p w14:paraId="02FF53F6">
            <w:pPr>
              <w:pStyle w:val="57"/>
              <w:spacing w:line="480" w:lineRule="exact"/>
              <w:ind w:firstLine="482"/>
              <w:jc w:val="both"/>
              <w:rPr>
                <w:rFonts w:hint="eastAsia" w:ascii="Times New Roman" w:hAnsi="Times New Roman"/>
                <w:b/>
                <w:bCs/>
                <w:sz w:val="24"/>
                <w:szCs w:val="24"/>
                <w:lang w:bidi="ar"/>
              </w:rPr>
            </w:pPr>
          </w:p>
          <w:p w14:paraId="2CECB865">
            <w:pPr>
              <w:pStyle w:val="57"/>
              <w:spacing w:line="480" w:lineRule="exact"/>
              <w:ind w:firstLine="482"/>
              <w:jc w:val="both"/>
              <w:rPr>
                <w:rFonts w:ascii="Times New Roman" w:hAnsi="Times New Roman"/>
                <w:sz w:val="24"/>
                <w:szCs w:val="32"/>
              </w:rPr>
            </w:pPr>
            <w:r>
              <w:rPr>
                <w:rFonts w:hint="eastAsia" w:ascii="Times New Roman" w:hAnsi="Times New Roman"/>
                <w:b/>
                <w:bCs/>
                <w:sz w:val="24"/>
                <w:szCs w:val="24"/>
                <w:lang w:bidi="ar"/>
              </w:rPr>
              <w:t>1</w:t>
            </w:r>
            <w:r>
              <w:rPr>
                <w:rFonts w:hint="eastAsia" w:ascii="Times New Roman" w:hAnsi="Times New Roman"/>
                <w:b/>
                <w:bCs/>
                <w:sz w:val="24"/>
                <w:szCs w:val="24"/>
                <w:lang w:val="en-US" w:eastAsia="zh-CN" w:bidi="ar"/>
              </w:rPr>
              <w:t>1</w:t>
            </w:r>
            <w:r>
              <w:rPr>
                <w:rFonts w:hint="eastAsia" w:ascii="Times New Roman" w:hAnsi="Times New Roman"/>
                <w:b/>
                <w:bCs/>
                <w:sz w:val="24"/>
                <w:szCs w:val="24"/>
                <w:lang w:bidi="ar"/>
              </w:rPr>
              <w:t>.与《山西省进一步加强矿山安全生产工作措施》（晋发〔2024〕10号）的符合性分析</w:t>
            </w:r>
          </w:p>
          <w:p w14:paraId="51F13E14">
            <w:pPr>
              <w:autoSpaceDE w:val="0"/>
              <w:autoSpaceDN w:val="0"/>
              <w:adjustRightInd w:val="0"/>
              <w:snapToGrid w:val="0"/>
              <w:spacing w:line="480" w:lineRule="exact"/>
              <w:jc w:val="center"/>
              <w:rPr>
                <w:szCs w:val="21"/>
              </w:rPr>
            </w:pPr>
            <w:r>
              <w:rPr>
                <w:rFonts w:hint="eastAsia"/>
                <w:szCs w:val="21"/>
              </w:rPr>
              <w:t>表1-</w:t>
            </w:r>
            <w:r>
              <w:rPr>
                <w:rFonts w:hint="eastAsia"/>
                <w:szCs w:val="21"/>
                <w:lang w:val="en-US" w:eastAsia="zh-CN"/>
              </w:rPr>
              <w:t>9</w:t>
            </w:r>
            <w:r>
              <w:rPr>
                <w:rFonts w:hint="eastAsia"/>
                <w:szCs w:val="21"/>
              </w:rPr>
              <w:t xml:space="preserve"> 与《山西省进一步加强矿山安全生产工作措施》符合性分析一览表</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935"/>
              <w:gridCol w:w="2380"/>
              <w:gridCol w:w="506"/>
            </w:tblGrid>
            <w:tr w14:paraId="21CA4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4" w:hRule="atLeast"/>
              </w:trPr>
              <w:tc>
                <w:tcPr>
                  <w:tcW w:w="4935" w:type="dxa"/>
                  <w:vAlign w:val="center"/>
                </w:tcPr>
                <w:p w14:paraId="67934480">
                  <w:pPr>
                    <w:adjustRightInd w:val="0"/>
                    <w:snapToGrid w:val="0"/>
                    <w:jc w:val="center"/>
                    <w:rPr>
                      <w:kern w:val="0"/>
                    </w:rPr>
                  </w:pPr>
                  <w:r>
                    <w:rPr>
                      <w:rFonts w:hint="eastAsia"/>
                      <w:kern w:val="0"/>
                    </w:rPr>
                    <w:t>文件要求</w:t>
                  </w:r>
                </w:p>
              </w:tc>
              <w:tc>
                <w:tcPr>
                  <w:tcW w:w="2380" w:type="dxa"/>
                  <w:vAlign w:val="center"/>
                </w:tcPr>
                <w:p w14:paraId="3B58B4BD">
                  <w:pPr>
                    <w:adjustRightInd w:val="0"/>
                    <w:snapToGrid w:val="0"/>
                    <w:jc w:val="center"/>
                    <w:rPr>
                      <w:kern w:val="0"/>
                    </w:rPr>
                  </w:pPr>
                  <w:r>
                    <w:rPr>
                      <w:rFonts w:hint="eastAsia"/>
                      <w:kern w:val="0"/>
                    </w:rPr>
                    <w:t>本项目实际情况</w:t>
                  </w:r>
                </w:p>
              </w:tc>
              <w:tc>
                <w:tcPr>
                  <w:tcW w:w="506" w:type="dxa"/>
                  <w:vAlign w:val="center"/>
                </w:tcPr>
                <w:p w14:paraId="4AB46222">
                  <w:pPr>
                    <w:adjustRightInd w:val="0"/>
                    <w:snapToGrid w:val="0"/>
                    <w:jc w:val="center"/>
                    <w:rPr>
                      <w:kern w:val="0"/>
                    </w:rPr>
                  </w:pPr>
                  <w:r>
                    <w:rPr>
                      <w:rFonts w:hint="eastAsia"/>
                      <w:kern w:val="0"/>
                    </w:rPr>
                    <w:t>是否符合</w:t>
                  </w:r>
                </w:p>
              </w:tc>
            </w:tr>
            <w:tr w14:paraId="120C6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4935" w:type="dxa"/>
                  <w:vAlign w:val="center"/>
                </w:tcPr>
                <w:p w14:paraId="6E365B8F">
                  <w:pPr>
                    <w:adjustRightInd w:val="0"/>
                    <w:snapToGrid w:val="0"/>
                    <w:jc w:val="center"/>
                    <w:rPr>
                      <w:kern w:val="0"/>
                    </w:rPr>
                  </w:pPr>
                  <w:r>
                    <w:rPr>
                      <w:kern w:val="0"/>
                    </w:rPr>
                    <w:t>严格按照矿产资源规划、国土空间规划和用途管制要求，科学合理设置矿山，全省金属非金属矿山和尾矿库保持总量只减不增，不再产生新的尾矿库“头顶库”和没有矿山的独立选矿厂。黄河流域干流岸线3公里、重要支流岸线1公里范围内不得新建和改扩建尾矿库。依法编制安全生产规划，并与国土空间规划相衔接，健全有关部门参加的禁止限制勘查开采区联合核查机制，推动净矿出让。用以贮存金属非金属矿山进行矿石选别后排出尾矿的场所均应按尾矿库标准建设和管理，取得尾矿库审批手续。严禁以低品位矿石存储、填沟造地、沉淀池等名义违规排放尾矿</w:t>
                  </w:r>
                  <w:r>
                    <w:rPr>
                      <w:rFonts w:hint="eastAsia"/>
                      <w:kern w:val="0"/>
                    </w:rPr>
                    <w:t>。</w:t>
                  </w:r>
                </w:p>
              </w:tc>
              <w:tc>
                <w:tcPr>
                  <w:tcW w:w="2380" w:type="dxa"/>
                  <w:vAlign w:val="center"/>
                </w:tcPr>
                <w:p w14:paraId="1A76B6E3">
                  <w:pPr>
                    <w:adjustRightInd w:val="0"/>
                    <w:snapToGrid w:val="0"/>
                    <w:jc w:val="center"/>
                    <w:rPr>
                      <w:kern w:val="0"/>
                    </w:rPr>
                  </w:pPr>
                  <w:r>
                    <w:rPr>
                      <w:kern w:val="0"/>
                    </w:rPr>
                    <w:t>根据“阳政办函〔2022〕188号”，本项目为资源整合矿山，</w:t>
                  </w:r>
                  <w:r>
                    <w:rPr>
                      <w:szCs w:val="21"/>
                    </w:rPr>
                    <w:t>批采矿种为饰面用花岗岩矿，开采方式为露天开采</w:t>
                  </w:r>
                  <w:r>
                    <w:rPr>
                      <w:rFonts w:hint="eastAsia"/>
                      <w:szCs w:val="21"/>
                    </w:rPr>
                    <w:t>，本项目不涉及尾矿。</w:t>
                  </w:r>
                </w:p>
              </w:tc>
              <w:tc>
                <w:tcPr>
                  <w:tcW w:w="506" w:type="dxa"/>
                  <w:vAlign w:val="center"/>
                </w:tcPr>
                <w:p w14:paraId="64163C1C">
                  <w:pPr>
                    <w:adjustRightInd w:val="0"/>
                    <w:snapToGrid w:val="0"/>
                    <w:jc w:val="center"/>
                    <w:rPr>
                      <w:kern w:val="0"/>
                    </w:rPr>
                  </w:pPr>
                  <w:r>
                    <w:rPr>
                      <w:rFonts w:hint="eastAsia"/>
                      <w:kern w:val="0"/>
                    </w:rPr>
                    <w:t>符合</w:t>
                  </w:r>
                </w:p>
              </w:tc>
            </w:tr>
          </w:tbl>
          <w:p w14:paraId="1F522424">
            <w:pPr>
              <w:pStyle w:val="57"/>
              <w:spacing w:line="480" w:lineRule="exact"/>
              <w:ind w:firstLine="0" w:firstLineChars="0"/>
              <w:jc w:val="both"/>
              <w:rPr>
                <w:color w:val="FF0000"/>
              </w:rPr>
            </w:pPr>
          </w:p>
          <w:p w14:paraId="6F91C364">
            <w:pPr>
              <w:pStyle w:val="57"/>
              <w:spacing w:line="480" w:lineRule="exact"/>
              <w:ind w:firstLine="0" w:firstLineChars="0"/>
              <w:jc w:val="both"/>
              <w:rPr>
                <w:color w:val="FF0000"/>
              </w:rPr>
            </w:pPr>
          </w:p>
          <w:p w14:paraId="0962D84E">
            <w:pPr>
              <w:pStyle w:val="57"/>
              <w:spacing w:line="480" w:lineRule="exact"/>
              <w:ind w:firstLine="0" w:firstLineChars="0"/>
              <w:jc w:val="both"/>
              <w:rPr>
                <w:color w:val="FF0000"/>
              </w:rPr>
            </w:pPr>
          </w:p>
          <w:p w14:paraId="69D2B36B">
            <w:pPr>
              <w:pStyle w:val="57"/>
              <w:spacing w:line="480" w:lineRule="exact"/>
              <w:ind w:firstLine="0" w:firstLineChars="0"/>
              <w:jc w:val="both"/>
              <w:rPr>
                <w:color w:val="FF0000"/>
              </w:rPr>
            </w:pPr>
          </w:p>
          <w:p w14:paraId="1D002C36">
            <w:pPr>
              <w:pStyle w:val="57"/>
              <w:spacing w:line="480" w:lineRule="exact"/>
              <w:ind w:firstLine="0" w:firstLineChars="0"/>
              <w:jc w:val="both"/>
              <w:rPr>
                <w:color w:val="FF0000"/>
              </w:rPr>
            </w:pPr>
          </w:p>
          <w:p w14:paraId="525E3409">
            <w:pPr>
              <w:pStyle w:val="57"/>
              <w:spacing w:line="480" w:lineRule="exact"/>
              <w:ind w:firstLine="0" w:firstLineChars="0"/>
              <w:jc w:val="both"/>
              <w:rPr>
                <w:color w:val="FF0000"/>
              </w:rPr>
            </w:pPr>
          </w:p>
          <w:p w14:paraId="79CF1AD1">
            <w:pPr>
              <w:pStyle w:val="57"/>
              <w:spacing w:line="480" w:lineRule="exact"/>
              <w:ind w:firstLine="0" w:firstLineChars="0"/>
              <w:jc w:val="both"/>
              <w:rPr>
                <w:color w:val="FF0000"/>
              </w:rPr>
            </w:pPr>
          </w:p>
          <w:p w14:paraId="6DDC977B">
            <w:pPr>
              <w:pStyle w:val="57"/>
              <w:spacing w:line="480" w:lineRule="exact"/>
              <w:ind w:firstLine="0" w:firstLineChars="0"/>
              <w:jc w:val="both"/>
              <w:rPr>
                <w:color w:val="FF0000"/>
              </w:rPr>
            </w:pPr>
          </w:p>
          <w:p w14:paraId="1CC79BD3">
            <w:pPr>
              <w:pStyle w:val="57"/>
              <w:spacing w:line="480" w:lineRule="exact"/>
              <w:ind w:firstLine="0" w:firstLineChars="0"/>
              <w:jc w:val="both"/>
              <w:rPr>
                <w:color w:val="FF0000"/>
              </w:rPr>
            </w:pPr>
          </w:p>
          <w:p w14:paraId="4EE4C1A4">
            <w:pPr>
              <w:pStyle w:val="57"/>
              <w:spacing w:line="480" w:lineRule="exact"/>
              <w:ind w:firstLine="0" w:firstLineChars="0"/>
              <w:jc w:val="both"/>
              <w:rPr>
                <w:color w:val="FF0000"/>
              </w:rPr>
            </w:pPr>
          </w:p>
          <w:p w14:paraId="730FBFB2">
            <w:pPr>
              <w:pStyle w:val="57"/>
              <w:spacing w:line="480" w:lineRule="exact"/>
              <w:ind w:firstLine="0" w:firstLineChars="0"/>
              <w:jc w:val="both"/>
              <w:rPr>
                <w:color w:val="FF0000"/>
              </w:rPr>
            </w:pPr>
          </w:p>
          <w:p w14:paraId="16A5E71A">
            <w:pPr>
              <w:pStyle w:val="57"/>
              <w:spacing w:line="480" w:lineRule="exact"/>
              <w:ind w:firstLine="0" w:firstLineChars="0"/>
              <w:jc w:val="both"/>
              <w:rPr>
                <w:color w:val="FF0000"/>
              </w:rPr>
            </w:pPr>
          </w:p>
          <w:p w14:paraId="267239EC">
            <w:pPr>
              <w:pStyle w:val="57"/>
              <w:spacing w:line="480" w:lineRule="exact"/>
              <w:ind w:firstLine="0" w:firstLineChars="0"/>
              <w:jc w:val="both"/>
              <w:rPr>
                <w:color w:val="FF0000"/>
              </w:rPr>
            </w:pPr>
          </w:p>
          <w:p w14:paraId="72F7FDF6">
            <w:pPr>
              <w:pStyle w:val="57"/>
              <w:spacing w:line="480" w:lineRule="exact"/>
              <w:ind w:firstLine="0" w:firstLineChars="0"/>
              <w:jc w:val="both"/>
              <w:rPr>
                <w:color w:val="FF0000"/>
              </w:rPr>
            </w:pPr>
          </w:p>
          <w:p w14:paraId="19BE4DDF">
            <w:pPr>
              <w:pStyle w:val="57"/>
              <w:spacing w:line="480" w:lineRule="exact"/>
              <w:ind w:firstLine="0" w:firstLineChars="0"/>
              <w:jc w:val="both"/>
              <w:rPr>
                <w:color w:val="FF0000"/>
              </w:rPr>
            </w:pPr>
          </w:p>
          <w:p w14:paraId="42177D5A">
            <w:pPr>
              <w:pStyle w:val="57"/>
              <w:spacing w:line="480" w:lineRule="exact"/>
              <w:ind w:firstLine="0" w:firstLineChars="0"/>
              <w:jc w:val="both"/>
              <w:rPr>
                <w:color w:val="FF0000"/>
              </w:rPr>
            </w:pPr>
          </w:p>
          <w:p w14:paraId="041B6140">
            <w:pPr>
              <w:pStyle w:val="57"/>
              <w:spacing w:line="480" w:lineRule="exact"/>
              <w:ind w:firstLine="0" w:firstLineChars="0"/>
              <w:jc w:val="both"/>
              <w:rPr>
                <w:color w:val="FF0000"/>
              </w:rPr>
            </w:pPr>
          </w:p>
        </w:tc>
      </w:tr>
    </w:tbl>
    <w:p w14:paraId="49CBB831">
      <w:pPr>
        <w:spacing w:line="360" w:lineRule="auto"/>
        <w:outlineLvl w:val="0"/>
        <w:rPr>
          <w:rFonts w:eastAsia="黑体"/>
          <w:sz w:val="30"/>
        </w:rPr>
        <w:sectPr>
          <w:footerReference r:id="rId5" w:type="default"/>
          <w:pgSz w:w="11906" w:h="16838"/>
          <w:pgMar w:top="1701" w:right="1531" w:bottom="1701" w:left="1531" w:header="851" w:footer="1077" w:gutter="0"/>
          <w:pgNumType w:start="1"/>
          <w:cols w:space="720" w:num="1"/>
          <w:docGrid w:linePitch="312" w:charSpace="0"/>
        </w:sectPr>
      </w:pPr>
    </w:p>
    <w:p w14:paraId="2E339167">
      <w:pPr>
        <w:pStyle w:val="21"/>
        <w:jc w:val="center"/>
        <w:outlineLvl w:val="0"/>
        <w:rPr>
          <w:rFonts w:ascii="黑体" w:hAnsi="黑体" w:eastAsia="黑体"/>
          <w:snapToGrid w:val="0"/>
          <w:sz w:val="30"/>
          <w:szCs w:val="30"/>
        </w:rPr>
      </w:pPr>
      <w:r>
        <w:rPr>
          <w:rFonts w:hint="eastAsia" w:ascii="黑体" w:hAnsi="黑体" w:eastAsia="黑体"/>
          <w:snapToGrid w:val="0"/>
          <w:sz w:val="30"/>
          <w:szCs w:val="30"/>
        </w:rPr>
        <w:t>二、建设内容</w:t>
      </w:r>
    </w:p>
    <w:tbl>
      <w:tblPr>
        <w:tblStyle w:val="30"/>
        <w:tblW w:w="9750" w:type="dxa"/>
        <w:tblInd w:w="-6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0"/>
        <w:gridCol w:w="8730"/>
      </w:tblGrid>
      <w:tr w14:paraId="41B60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0" w:type="dxa"/>
            <w:vAlign w:val="center"/>
          </w:tcPr>
          <w:p w14:paraId="2E4339CD">
            <w:pPr>
              <w:adjustRightInd w:val="0"/>
              <w:snapToGrid w:val="0"/>
              <w:ind w:left="-105" w:leftChars="-50" w:right="-105" w:rightChars="-50"/>
              <w:jc w:val="center"/>
              <w:rPr>
                <w:rFonts w:ascii="宋体" w:hAnsi="宋体" w:cs="宋体"/>
                <w:kern w:val="0"/>
                <w:sz w:val="24"/>
              </w:rPr>
            </w:pPr>
            <w:r>
              <w:rPr>
                <w:rFonts w:hint="eastAsia" w:ascii="宋体" w:hAnsi="宋体" w:cs="宋体"/>
                <w:kern w:val="0"/>
                <w:sz w:val="24"/>
              </w:rPr>
              <w:t>地理</w:t>
            </w:r>
          </w:p>
          <w:p w14:paraId="4D70B9C7">
            <w:pPr>
              <w:adjustRightInd w:val="0"/>
              <w:snapToGrid w:val="0"/>
              <w:ind w:left="-105" w:leftChars="-50" w:right="-105" w:rightChars="-50"/>
              <w:jc w:val="center"/>
              <w:rPr>
                <w:rFonts w:ascii="宋体" w:hAnsi="宋体" w:cs="宋体"/>
                <w:kern w:val="0"/>
                <w:sz w:val="24"/>
              </w:rPr>
            </w:pPr>
            <w:r>
              <w:rPr>
                <w:rFonts w:hint="eastAsia" w:ascii="宋体" w:hAnsi="宋体" w:cs="宋体"/>
                <w:kern w:val="0"/>
                <w:sz w:val="24"/>
              </w:rPr>
              <w:t>位置</w:t>
            </w:r>
          </w:p>
        </w:tc>
        <w:tc>
          <w:tcPr>
            <w:tcW w:w="8730" w:type="dxa"/>
          </w:tcPr>
          <w:p w14:paraId="433618DA">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kern w:val="0"/>
                <w:sz w:val="24"/>
              </w:rPr>
            </w:pPr>
            <w:r>
              <w:rPr>
                <w:rFonts w:hint="eastAsia" w:ascii="宋体" w:hAnsi="宋体" w:cs="宋体"/>
                <w:kern w:val="0"/>
                <w:sz w:val="24"/>
              </w:rPr>
              <w:t>本项目位于阳泉市盂县西潘乡宋庄村东侧约</w:t>
            </w:r>
            <w:r>
              <w:rPr>
                <w:rFonts w:hint="default" w:ascii="Times New Roman" w:hAnsi="Times New Roman" w:cs="Times New Roman"/>
                <w:kern w:val="0"/>
                <w:sz w:val="24"/>
              </w:rPr>
              <w:t>530m</w:t>
            </w:r>
            <w:r>
              <w:rPr>
                <w:rFonts w:hint="eastAsia" w:ascii="宋体" w:hAnsi="宋体" w:cs="宋体"/>
                <w:kern w:val="0"/>
                <w:sz w:val="24"/>
              </w:rPr>
              <w:t>，行政区划隶属于盂县西潘乡管辖，</w:t>
            </w:r>
            <w:r>
              <w:rPr>
                <w:rFonts w:hint="eastAsia"/>
                <w:sz w:val="24"/>
              </w:rPr>
              <w:t>矿区范围：</w:t>
            </w:r>
            <w:r>
              <w:rPr>
                <w:sz w:val="24"/>
              </w:rPr>
              <w:t>东经113°</w:t>
            </w:r>
            <w:r>
              <w:rPr>
                <w:rFonts w:hint="eastAsia"/>
                <w:sz w:val="24"/>
              </w:rPr>
              <w:t>11</w:t>
            </w:r>
            <w:r>
              <w:rPr>
                <w:sz w:val="24"/>
              </w:rPr>
              <w:t>′</w:t>
            </w:r>
            <w:r>
              <w:rPr>
                <w:rFonts w:hint="eastAsia"/>
                <w:sz w:val="24"/>
              </w:rPr>
              <w:t>38.034</w:t>
            </w:r>
            <w:r>
              <w:rPr>
                <w:sz w:val="24"/>
              </w:rPr>
              <w:t>″</w:t>
            </w:r>
            <w:r>
              <w:rPr>
                <w:rFonts w:hint="eastAsia"/>
                <w:sz w:val="24"/>
              </w:rPr>
              <w:t>~</w:t>
            </w:r>
            <w:r>
              <w:rPr>
                <w:sz w:val="24"/>
              </w:rPr>
              <w:t>113°</w:t>
            </w:r>
            <w:r>
              <w:rPr>
                <w:rFonts w:hint="eastAsia"/>
                <w:sz w:val="24"/>
              </w:rPr>
              <w:t>12</w:t>
            </w:r>
            <w:r>
              <w:rPr>
                <w:sz w:val="24"/>
              </w:rPr>
              <w:t>′</w:t>
            </w:r>
            <w:r>
              <w:rPr>
                <w:rFonts w:hint="eastAsia"/>
                <w:sz w:val="24"/>
              </w:rPr>
              <w:t>16.271</w:t>
            </w:r>
            <w:r>
              <w:rPr>
                <w:sz w:val="24"/>
              </w:rPr>
              <w:t>″，北纬38°</w:t>
            </w:r>
            <w:r>
              <w:rPr>
                <w:rFonts w:hint="eastAsia"/>
                <w:sz w:val="24"/>
              </w:rPr>
              <w:t>20</w:t>
            </w:r>
            <w:r>
              <w:rPr>
                <w:sz w:val="24"/>
              </w:rPr>
              <w:t>′</w:t>
            </w:r>
            <w:r>
              <w:rPr>
                <w:rFonts w:hint="eastAsia"/>
                <w:sz w:val="24"/>
              </w:rPr>
              <w:t>3.575</w:t>
            </w:r>
            <w:r>
              <w:rPr>
                <w:sz w:val="24"/>
              </w:rPr>
              <w:t>″</w:t>
            </w:r>
            <w:r>
              <w:rPr>
                <w:rFonts w:hint="eastAsia"/>
                <w:sz w:val="24"/>
              </w:rPr>
              <w:t>~</w:t>
            </w:r>
            <w:r>
              <w:rPr>
                <w:sz w:val="24"/>
              </w:rPr>
              <w:t>38°</w:t>
            </w:r>
            <w:r>
              <w:rPr>
                <w:rFonts w:hint="eastAsia"/>
                <w:sz w:val="24"/>
              </w:rPr>
              <w:t>20</w:t>
            </w:r>
            <w:r>
              <w:rPr>
                <w:sz w:val="24"/>
              </w:rPr>
              <w:t>′</w:t>
            </w:r>
            <w:r>
              <w:rPr>
                <w:rFonts w:hint="eastAsia"/>
                <w:sz w:val="24"/>
              </w:rPr>
              <w:t>27.615</w:t>
            </w:r>
            <w:r>
              <w:rPr>
                <w:sz w:val="24"/>
              </w:rPr>
              <w:t>″</w:t>
            </w:r>
            <w:r>
              <w:rPr>
                <w:rFonts w:hint="eastAsia"/>
                <w:kern w:val="0"/>
                <w:sz w:val="24"/>
              </w:rPr>
              <w:t>。</w:t>
            </w:r>
          </w:p>
          <w:p w14:paraId="632CE2DA">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kern w:val="0"/>
                <w:sz w:val="24"/>
              </w:rPr>
            </w:pPr>
            <w:r>
              <w:rPr>
                <w:rFonts w:hint="eastAsia"/>
                <w:kern w:val="0"/>
                <w:sz w:val="24"/>
              </w:rPr>
              <w:t>排土场位于</w:t>
            </w:r>
            <w:r>
              <w:rPr>
                <w:rFonts w:hint="eastAsia"/>
                <w:sz w:val="24"/>
              </w:rPr>
              <w:t>矿区东北侧</w:t>
            </w:r>
            <w:r>
              <w:rPr>
                <w:rFonts w:hint="eastAsia"/>
                <w:kern w:val="0"/>
                <w:sz w:val="24"/>
              </w:rPr>
              <w:t>，</w:t>
            </w:r>
            <w:r>
              <w:rPr>
                <w:kern w:val="0"/>
                <w:sz w:val="24"/>
              </w:rPr>
              <w:t>中心地理坐标东经113°11′59.856″</w:t>
            </w:r>
            <w:r>
              <w:rPr>
                <w:rFonts w:hint="eastAsia"/>
                <w:kern w:val="0"/>
                <w:sz w:val="24"/>
              </w:rPr>
              <w:t>，</w:t>
            </w:r>
            <w:r>
              <w:rPr>
                <w:kern w:val="0"/>
                <w:sz w:val="24"/>
              </w:rPr>
              <w:t>北纬</w:t>
            </w:r>
            <w:r>
              <w:rPr>
                <w:rFonts w:hint="eastAsia"/>
                <w:kern w:val="0"/>
                <w:sz w:val="24"/>
              </w:rPr>
              <w:t>38</w:t>
            </w:r>
            <w:r>
              <w:rPr>
                <w:kern w:val="0"/>
                <w:sz w:val="24"/>
              </w:rPr>
              <w:t>°</w:t>
            </w:r>
            <w:r>
              <w:rPr>
                <w:rFonts w:hint="eastAsia"/>
                <w:kern w:val="0"/>
                <w:sz w:val="24"/>
              </w:rPr>
              <w:t>20</w:t>
            </w:r>
            <w:r>
              <w:rPr>
                <w:kern w:val="0"/>
                <w:sz w:val="24"/>
              </w:rPr>
              <w:t>′</w:t>
            </w:r>
            <w:r>
              <w:rPr>
                <w:rFonts w:hint="eastAsia"/>
                <w:kern w:val="0"/>
                <w:sz w:val="24"/>
              </w:rPr>
              <w:t>26.266</w:t>
            </w:r>
            <w:r>
              <w:rPr>
                <w:kern w:val="0"/>
                <w:sz w:val="24"/>
              </w:rPr>
              <w:t>″。</w:t>
            </w:r>
          </w:p>
          <w:p w14:paraId="53BAE3F5">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kern w:val="0"/>
                <w:sz w:val="24"/>
              </w:rPr>
            </w:pPr>
            <w:r>
              <w:rPr>
                <w:rFonts w:hint="eastAsia"/>
                <w:kern w:val="0"/>
                <w:sz w:val="24"/>
              </w:rPr>
              <w:t>根据《阳泉市规划和自然资源局关于盂县石鑫矿业有限公司申请划定矿区范围的批复》（阳自然资矿审</w:t>
            </w:r>
            <w:r>
              <w:rPr>
                <w:rFonts w:hint="eastAsia"/>
                <w:kern w:val="0"/>
                <w:sz w:val="24"/>
                <w:lang w:eastAsia="zh-CN"/>
              </w:rPr>
              <w:t>〔2025〕2号</w:t>
            </w:r>
            <w:r>
              <w:rPr>
                <w:rFonts w:hint="eastAsia"/>
                <w:kern w:val="0"/>
                <w:sz w:val="24"/>
              </w:rPr>
              <w:t>），</w:t>
            </w:r>
            <w:r>
              <w:rPr>
                <w:rFonts w:hint="eastAsia"/>
                <w:sz w:val="24"/>
              </w:rPr>
              <w:t>矿区</w:t>
            </w:r>
            <w:r>
              <w:rPr>
                <w:rFonts w:hint="eastAsia"/>
                <w:kern w:val="0"/>
                <w:sz w:val="24"/>
              </w:rPr>
              <w:t>范围由14个拐点坐标依次连线圈定，见表2-1。</w:t>
            </w:r>
          </w:p>
          <w:p w14:paraId="2F58ABE1">
            <w:pPr>
              <w:pStyle w:val="15"/>
              <w:keepNext w:val="0"/>
              <w:keepLines w:val="0"/>
              <w:pageBreakBefore w:val="0"/>
              <w:tabs>
                <w:tab w:val="left" w:pos="2340"/>
                <w:tab w:val="left" w:pos="4320"/>
              </w:tabs>
              <w:kinsoku/>
              <w:wordWrap/>
              <w:overflowPunct/>
              <w:topLinePunct w:val="0"/>
              <w:autoSpaceDE/>
              <w:autoSpaceDN/>
              <w:bidi w:val="0"/>
              <w:adjustRightInd/>
              <w:snapToGrid/>
              <w:spacing w:line="480" w:lineRule="exact"/>
              <w:textAlignment w:val="auto"/>
              <w:rPr>
                <w:rFonts w:ascii="宋体" w:hAnsi="宋体" w:eastAsia="宋体" w:cs="宋体"/>
                <w:sz w:val="21"/>
                <w:szCs w:val="21"/>
              </w:rPr>
            </w:pPr>
            <w:r>
              <w:rPr>
                <w:rFonts w:hint="eastAsia" w:ascii="宋体" w:hAnsi="宋体" w:eastAsia="宋体" w:cs="宋体"/>
                <w:sz w:val="21"/>
                <w:szCs w:val="21"/>
              </w:rPr>
              <w:t>表</w:t>
            </w:r>
            <w:r>
              <w:rPr>
                <w:rFonts w:eastAsia="宋体"/>
                <w:sz w:val="21"/>
                <w:szCs w:val="21"/>
              </w:rPr>
              <w:t>2-1</w:t>
            </w:r>
            <w:r>
              <w:rPr>
                <w:rFonts w:hint="eastAsia" w:ascii="宋体" w:hAnsi="宋体" w:eastAsia="宋体" w:cs="宋体"/>
                <w:sz w:val="21"/>
                <w:szCs w:val="21"/>
              </w:rPr>
              <w:t xml:space="preserve"> 矿区边界范围一览表</w:t>
            </w:r>
          </w:p>
          <w:tbl>
            <w:tblPr>
              <w:tblStyle w:val="2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5"/>
              <w:gridCol w:w="1669"/>
              <w:gridCol w:w="1669"/>
              <w:gridCol w:w="915"/>
              <w:gridCol w:w="1673"/>
              <w:gridCol w:w="1680"/>
            </w:tblGrid>
            <w:tr w14:paraId="6B225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26" w:type="pct"/>
                  <w:vMerge w:val="restart"/>
                  <w:tcBorders>
                    <w:tl2br w:val="nil"/>
                    <w:tr2bl w:val="nil"/>
                  </w:tcBorders>
                  <w:noWrap/>
                  <w:vAlign w:val="center"/>
                </w:tcPr>
                <w:p w14:paraId="5F164B9E">
                  <w:pPr>
                    <w:widowControl/>
                    <w:jc w:val="center"/>
                    <w:textAlignment w:val="center"/>
                    <w:rPr>
                      <w:kern w:val="0"/>
                      <w:sz w:val="22"/>
                      <w:szCs w:val="22"/>
                      <w:lang w:bidi="ar"/>
                    </w:rPr>
                  </w:pPr>
                  <w:r>
                    <w:rPr>
                      <w:rFonts w:hint="eastAsia"/>
                      <w:kern w:val="0"/>
                      <w:sz w:val="22"/>
                      <w:szCs w:val="22"/>
                      <w:lang w:bidi="ar"/>
                    </w:rPr>
                    <w:t>序号</w:t>
                  </w:r>
                </w:p>
              </w:tc>
              <w:tc>
                <w:tcPr>
                  <w:tcW w:w="1962" w:type="pct"/>
                  <w:gridSpan w:val="2"/>
                  <w:tcBorders>
                    <w:tl2br w:val="nil"/>
                    <w:tr2bl w:val="nil"/>
                  </w:tcBorders>
                  <w:noWrap/>
                  <w:vAlign w:val="center"/>
                </w:tcPr>
                <w:p w14:paraId="13825316">
                  <w:pPr>
                    <w:widowControl/>
                    <w:jc w:val="center"/>
                    <w:textAlignment w:val="center"/>
                    <w:rPr>
                      <w:kern w:val="0"/>
                      <w:sz w:val="22"/>
                      <w:szCs w:val="22"/>
                      <w:lang w:bidi="ar"/>
                    </w:rPr>
                  </w:pPr>
                  <w:r>
                    <w:rPr>
                      <w:kern w:val="0"/>
                      <w:szCs w:val="21"/>
                    </w:rPr>
                    <w:t>CGCS2000坐标系（3</w:t>
                  </w:r>
                  <w:r>
                    <w:rPr>
                      <w:rFonts w:hint="eastAsia"/>
                      <w:kern w:val="0"/>
                      <w:szCs w:val="21"/>
                    </w:rPr>
                    <w:t>度</w:t>
                  </w:r>
                  <w:r>
                    <w:rPr>
                      <w:kern w:val="0"/>
                      <w:szCs w:val="21"/>
                    </w:rPr>
                    <w:t>带）</w:t>
                  </w:r>
                </w:p>
              </w:tc>
              <w:tc>
                <w:tcPr>
                  <w:tcW w:w="538" w:type="pct"/>
                  <w:vMerge w:val="restart"/>
                  <w:tcBorders>
                    <w:tl2br w:val="nil"/>
                    <w:tr2bl w:val="nil"/>
                  </w:tcBorders>
                  <w:noWrap/>
                  <w:vAlign w:val="center"/>
                </w:tcPr>
                <w:p w14:paraId="50F13541">
                  <w:pPr>
                    <w:widowControl/>
                    <w:jc w:val="center"/>
                    <w:textAlignment w:val="center"/>
                    <w:rPr>
                      <w:kern w:val="0"/>
                      <w:sz w:val="22"/>
                      <w:szCs w:val="22"/>
                      <w:lang w:bidi="ar"/>
                    </w:rPr>
                  </w:pPr>
                  <w:r>
                    <w:rPr>
                      <w:rFonts w:hint="eastAsia"/>
                      <w:kern w:val="0"/>
                      <w:sz w:val="22"/>
                      <w:szCs w:val="22"/>
                      <w:lang w:bidi="ar"/>
                    </w:rPr>
                    <w:t>序号</w:t>
                  </w:r>
                </w:p>
              </w:tc>
              <w:tc>
                <w:tcPr>
                  <w:tcW w:w="1972" w:type="pct"/>
                  <w:gridSpan w:val="2"/>
                  <w:tcBorders>
                    <w:tl2br w:val="nil"/>
                    <w:tr2bl w:val="nil"/>
                  </w:tcBorders>
                  <w:noWrap/>
                  <w:vAlign w:val="center"/>
                </w:tcPr>
                <w:p w14:paraId="523BE7EA">
                  <w:pPr>
                    <w:widowControl/>
                    <w:jc w:val="center"/>
                    <w:textAlignment w:val="center"/>
                    <w:rPr>
                      <w:kern w:val="0"/>
                      <w:sz w:val="22"/>
                      <w:szCs w:val="22"/>
                      <w:lang w:bidi="ar"/>
                    </w:rPr>
                  </w:pPr>
                  <w:r>
                    <w:rPr>
                      <w:kern w:val="0"/>
                      <w:szCs w:val="21"/>
                    </w:rPr>
                    <w:t>CGCS2000坐标系（3</w:t>
                  </w:r>
                  <w:r>
                    <w:rPr>
                      <w:rFonts w:hint="eastAsia"/>
                      <w:kern w:val="0"/>
                      <w:szCs w:val="21"/>
                    </w:rPr>
                    <w:t>度</w:t>
                  </w:r>
                  <w:r>
                    <w:rPr>
                      <w:kern w:val="0"/>
                      <w:szCs w:val="21"/>
                    </w:rPr>
                    <w:t>带）</w:t>
                  </w:r>
                </w:p>
              </w:tc>
            </w:tr>
            <w:tr w14:paraId="5B5E2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26" w:type="pct"/>
                  <w:vMerge w:val="continue"/>
                  <w:tcBorders>
                    <w:tl2br w:val="nil"/>
                    <w:tr2bl w:val="nil"/>
                  </w:tcBorders>
                  <w:noWrap/>
                  <w:vAlign w:val="center"/>
                </w:tcPr>
                <w:p w14:paraId="1200DF88">
                  <w:pPr>
                    <w:widowControl/>
                    <w:jc w:val="center"/>
                    <w:textAlignment w:val="center"/>
                    <w:rPr>
                      <w:kern w:val="0"/>
                      <w:sz w:val="22"/>
                      <w:szCs w:val="22"/>
                      <w:lang w:bidi="ar"/>
                    </w:rPr>
                  </w:pPr>
                </w:p>
              </w:tc>
              <w:tc>
                <w:tcPr>
                  <w:tcW w:w="981" w:type="pct"/>
                  <w:tcBorders>
                    <w:tl2br w:val="nil"/>
                    <w:tr2bl w:val="nil"/>
                  </w:tcBorders>
                  <w:noWrap/>
                  <w:vAlign w:val="center"/>
                </w:tcPr>
                <w:p w14:paraId="7844FF59">
                  <w:pPr>
                    <w:widowControl/>
                    <w:jc w:val="center"/>
                    <w:textAlignment w:val="center"/>
                    <w:rPr>
                      <w:kern w:val="0"/>
                      <w:sz w:val="22"/>
                      <w:szCs w:val="22"/>
                      <w:lang w:bidi="ar"/>
                    </w:rPr>
                  </w:pPr>
                  <w:r>
                    <w:rPr>
                      <w:rFonts w:hint="eastAsia"/>
                      <w:kern w:val="0"/>
                      <w:sz w:val="22"/>
                      <w:szCs w:val="22"/>
                      <w:lang w:bidi="ar"/>
                    </w:rPr>
                    <w:t>X</w:t>
                  </w:r>
                </w:p>
              </w:tc>
              <w:tc>
                <w:tcPr>
                  <w:tcW w:w="981" w:type="pct"/>
                  <w:tcBorders>
                    <w:tl2br w:val="nil"/>
                    <w:tr2bl w:val="nil"/>
                  </w:tcBorders>
                  <w:noWrap/>
                  <w:vAlign w:val="center"/>
                </w:tcPr>
                <w:p w14:paraId="38810817">
                  <w:pPr>
                    <w:widowControl/>
                    <w:jc w:val="center"/>
                    <w:textAlignment w:val="center"/>
                    <w:rPr>
                      <w:kern w:val="0"/>
                      <w:sz w:val="22"/>
                      <w:szCs w:val="22"/>
                      <w:lang w:bidi="ar"/>
                    </w:rPr>
                  </w:pPr>
                  <w:r>
                    <w:rPr>
                      <w:rFonts w:hint="eastAsia"/>
                      <w:kern w:val="0"/>
                      <w:sz w:val="22"/>
                      <w:szCs w:val="22"/>
                      <w:lang w:bidi="ar"/>
                    </w:rPr>
                    <w:t>Y</w:t>
                  </w:r>
                </w:p>
              </w:tc>
              <w:tc>
                <w:tcPr>
                  <w:tcW w:w="538" w:type="pct"/>
                  <w:vMerge w:val="continue"/>
                  <w:tcBorders>
                    <w:tl2br w:val="nil"/>
                    <w:tr2bl w:val="nil"/>
                  </w:tcBorders>
                  <w:noWrap/>
                  <w:vAlign w:val="center"/>
                </w:tcPr>
                <w:p w14:paraId="49523B2E">
                  <w:pPr>
                    <w:widowControl/>
                    <w:jc w:val="center"/>
                    <w:textAlignment w:val="center"/>
                    <w:rPr>
                      <w:kern w:val="0"/>
                      <w:sz w:val="22"/>
                      <w:szCs w:val="22"/>
                      <w:lang w:bidi="ar"/>
                    </w:rPr>
                  </w:pPr>
                </w:p>
              </w:tc>
              <w:tc>
                <w:tcPr>
                  <w:tcW w:w="984" w:type="pct"/>
                  <w:tcBorders>
                    <w:tl2br w:val="nil"/>
                    <w:tr2bl w:val="nil"/>
                  </w:tcBorders>
                  <w:noWrap/>
                  <w:vAlign w:val="center"/>
                </w:tcPr>
                <w:p w14:paraId="02EA0A6B">
                  <w:pPr>
                    <w:widowControl/>
                    <w:jc w:val="center"/>
                    <w:textAlignment w:val="center"/>
                    <w:rPr>
                      <w:kern w:val="0"/>
                      <w:sz w:val="22"/>
                      <w:szCs w:val="22"/>
                      <w:lang w:bidi="ar"/>
                    </w:rPr>
                  </w:pPr>
                  <w:r>
                    <w:rPr>
                      <w:rFonts w:hint="eastAsia"/>
                      <w:kern w:val="0"/>
                      <w:sz w:val="22"/>
                      <w:szCs w:val="22"/>
                      <w:lang w:bidi="ar"/>
                    </w:rPr>
                    <w:t>X</w:t>
                  </w:r>
                </w:p>
              </w:tc>
              <w:tc>
                <w:tcPr>
                  <w:tcW w:w="988" w:type="pct"/>
                  <w:tcBorders>
                    <w:tl2br w:val="nil"/>
                    <w:tr2bl w:val="nil"/>
                  </w:tcBorders>
                  <w:noWrap/>
                  <w:vAlign w:val="center"/>
                </w:tcPr>
                <w:p w14:paraId="29ED3B3F">
                  <w:pPr>
                    <w:widowControl/>
                    <w:jc w:val="center"/>
                    <w:textAlignment w:val="center"/>
                    <w:rPr>
                      <w:kern w:val="0"/>
                      <w:sz w:val="22"/>
                      <w:szCs w:val="22"/>
                      <w:lang w:bidi="ar"/>
                    </w:rPr>
                  </w:pPr>
                  <w:r>
                    <w:rPr>
                      <w:rFonts w:hint="eastAsia"/>
                      <w:kern w:val="0"/>
                      <w:sz w:val="22"/>
                      <w:szCs w:val="22"/>
                      <w:lang w:bidi="ar"/>
                    </w:rPr>
                    <w:t>Y</w:t>
                  </w:r>
                </w:p>
              </w:tc>
            </w:tr>
            <w:tr w14:paraId="6F304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26" w:type="pct"/>
                  <w:tcBorders>
                    <w:tl2br w:val="nil"/>
                    <w:tr2bl w:val="nil"/>
                  </w:tcBorders>
                  <w:noWrap/>
                  <w:vAlign w:val="center"/>
                </w:tcPr>
                <w:p w14:paraId="21850640">
                  <w:pPr>
                    <w:widowControl/>
                    <w:jc w:val="center"/>
                    <w:textAlignment w:val="center"/>
                    <w:rPr>
                      <w:sz w:val="22"/>
                      <w:szCs w:val="22"/>
                    </w:rPr>
                  </w:pPr>
                  <w:r>
                    <w:rPr>
                      <w:rFonts w:hint="eastAsia"/>
                      <w:sz w:val="22"/>
                      <w:szCs w:val="22"/>
                    </w:rPr>
                    <w:t>1</w:t>
                  </w:r>
                </w:p>
              </w:tc>
              <w:tc>
                <w:tcPr>
                  <w:tcW w:w="1668" w:type="dxa"/>
                  <w:tcBorders>
                    <w:tl2br w:val="nil"/>
                    <w:tr2bl w:val="nil"/>
                  </w:tcBorders>
                  <w:noWrap/>
                  <w:vAlign w:val="center"/>
                </w:tcPr>
                <w:p w14:paraId="724F2DFB">
                  <w:pPr>
                    <w:widowControl/>
                    <w:jc w:val="center"/>
                    <w:textAlignment w:val="center"/>
                    <w:rPr>
                      <w:sz w:val="22"/>
                      <w:szCs w:val="22"/>
                    </w:rPr>
                  </w:pPr>
                  <w:r>
                    <w:rPr>
                      <w:rFonts w:hint="eastAsia"/>
                      <w:sz w:val="22"/>
                      <w:szCs w:val="22"/>
                    </w:rPr>
                    <w:t>4245656.62</w:t>
                  </w:r>
                </w:p>
              </w:tc>
              <w:tc>
                <w:tcPr>
                  <w:tcW w:w="1668" w:type="dxa"/>
                  <w:tcBorders>
                    <w:tl2br w:val="nil"/>
                    <w:tr2bl w:val="nil"/>
                  </w:tcBorders>
                  <w:noWrap/>
                  <w:vAlign w:val="center"/>
                </w:tcPr>
                <w:p w14:paraId="1BF351C5">
                  <w:pPr>
                    <w:widowControl/>
                    <w:jc w:val="center"/>
                    <w:textAlignment w:val="center"/>
                    <w:rPr>
                      <w:sz w:val="22"/>
                      <w:szCs w:val="22"/>
                    </w:rPr>
                  </w:pPr>
                  <w:r>
                    <w:rPr>
                      <w:rFonts w:hint="eastAsia"/>
                      <w:sz w:val="22"/>
                      <w:szCs w:val="22"/>
                    </w:rPr>
                    <w:t>38429640.55</w:t>
                  </w:r>
                </w:p>
              </w:tc>
              <w:tc>
                <w:tcPr>
                  <w:tcW w:w="538" w:type="pct"/>
                  <w:tcBorders>
                    <w:tl2br w:val="nil"/>
                    <w:tr2bl w:val="nil"/>
                  </w:tcBorders>
                  <w:noWrap/>
                  <w:vAlign w:val="center"/>
                </w:tcPr>
                <w:p w14:paraId="0970346A">
                  <w:pPr>
                    <w:widowControl/>
                    <w:jc w:val="center"/>
                    <w:rPr>
                      <w:kern w:val="0"/>
                    </w:rPr>
                  </w:pPr>
                  <w:r>
                    <w:rPr>
                      <w:rFonts w:hint="eastAsia"/>
                      <w:kern w:val="0"/>
                    </w:rPr>
                    <w:t>8</w:t>
                  </w:r>
                </w:p>
              </w:tc>
              <w:tc>
                <w:tcPr>
                  <w:tcW w:w="1673" w:type="dxa"/>
                  <w:tcBorders>
                    <w:tl2br w:val="nil"/>
                    <w:tr2bl w:val="nil"/>
                  </w:tcBorders>
                  <w:noWrap/>
                  <w:vAlign w:val="center"/>
                </w:tcPr>
                <w:p w14:paraId="092F38F0">
                  <w:pPr>
                    <w:widowControl/>
                    <w:jc w:val="center"/>
                    <w:textAlignment w:val="center"/>
                    <w:rPr>
                      <w:sz w:val="22"/>
                      <w:szCs w:val="22"/>
                    </w:rPr>
                  </w:pPr>
                  <w:r>
                    <w:rPr>
                      <w:rFonts w:hint="eastAsia"/>
                      <w:sz w:val="22"/>
                      <w:szCs w:val="22"/>
                    </w:rPr>
                    <w:t>4244966.79</w:t>
                  </w:r>
                </w:p>
              </w:tc>
              <w:tc>
                <w:tcPr>
                  <w:tcW w:w="1681" w:type="dxa"/>
                  <w:tcBorders>
                    <w:tl2br w:val="nil"/>
                    <w:tr2bl w:val="nil"/>
                  </w:tcBorders>
                  <w:noWrap/>
                  <w:vAlign w:val="center"/>
                </w:tcPr>
                <w:p w14:paraId="0F67F867">
                  <w:pPr>
                    <w:widowControl/>
                    <w:jc w:val="center"/>
                    <w:textAlignment w:val="center"/>
                    <w:rPr>
                      <w:sz w:val="22"/>
                      <w:szCs w:val="22"/>
                    </w:rPr>
                  </w:pPr>
                  <w:r>
                    <w:rPr>
                      <w:rFonts w:hint="eastAsia"/>
                      <w:sz w:val="22"/>
                      <w:szCs w:val="22"/>
                    </w:rPr>
                    <w:t>38430450.53</w:t>
                  </w:r>
                </w:p>
              </w:tc>
            </w:tr>
            <w:tr w14:paraId="40A0E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26" w:type="pct"/>
                  <w:tcBorders>
                    <w:tl2br w:val="nil"/>
                    <w:tr2bl w:val="nil"/>
                  </w:tcBorders>
                  <w:noWrap/>
                  <w:vAlign w:val="center"/>
                </w:tcPr>
                <w:p w14:paraId="0964DB9B">
                  <w:pPr>
                    <w:widowControl/>
                    <w:jc w:val="center"/>
                    <w:textAlignment w:val="center"/>
                    <w:rPr>
                      <w:sz w:val="22"/>
                      <w:szCs w:val="22"/>
                    </w:rPr>
                  </w:pPr>
                  <w:r>
                    <w:rPr>
                      <w:rFonts w:hint="eastAsia"/>
                      <w:sz w:val="22"/>
                      <w:szCs w:val="22"/>
                    </w:rPr>
                    <w:t>2</w:t>
                  </w:r>
                </w:p>
              </w:tc>
              <w:tc>
                <w:tcPr>
                  <w:tcW w:w="1668" w:type="dxa"/>
                  <w:tcBorders>
                    <w:tl2br w:val="nil"/>
                    <w:tr2bl w:val="nil"/>
                  </w:tcBorders>
                  <w:noWrap/>
                  <w:vAlign w:val="center"/>
                </w:tcPr>
                <w:p w14:paraId="6BD74D59">
                  <w:pPr>
                    <w:widowControl/>
                    <w:jc w:val="center"/>
                    <w:textAlignment w:val="center"/>
                    <w:rPr>
                      <w:sz w:val="22"/>
                      <w:szCs w:val="22"/>
                    </w:rPr>
                  </w:pPr>
                  <w:r>
                    <w:rPr>
                      <w:rFonts w:hint="eastAsia"/>
                      <w:sz w:val="22"/>
                      <w:szCs w:val="22"/>
                    </w:rPr>
                    <w:t>4245570.87</w:t>
                  </w:r>
                </w:p>
              </w:tc>
              <w:tc>
                <w:tcPr>
                  <w:tcW w:w="1668" w:type="dxa"/>
                  <w:tcBorders>
                    <w:tl2br w:val="nil"/>
                    <w:tr2bl w:val="nil"/>
                  </w:tcBorders>
                  <w:noWrap/>
                  <w:vAlign w:val="center"/>
                </w:tcPr>
                <w:p w14:paraId="303FDDDB">
                  <w:pPr>
                    <w:widowControl/>
                    <w:jc w:val="center"/>
                    <w:textAlignment w:val="center"/>
                    <w:rPr>
                      <w:sz w:val="22"/>
                      <w:szCs w:val="22"/>
                    </w:rPr>
                  </w:pPr>
                  <w:r>
                    <w:rPr>
                      <w:rFonts w:hint="eastAsia"/>
                      <w:sz w:val="22"/>
                      <w:szCs w:val="22"/>
                    </w:rPr>
                    <w:t>38429690.05</w:t>
                  </w:r>
                </w:p>
              </w:tc>
              <w:tc>
                <w:tcPr>
                  <w:tcW w:w="538" w:type="pct"/>
                  <w:tcBorders>
                    <w:tl2br w:val="nil"/>
                    <w:tr2bl w:val="nil"/>
                  </w:tcBorders>
                  <w:noWrap/>
                  <w:vAlign w:val="center"/>
                </w:tcPr>
                <w:p w14:paraId="2BC11984">
                  <w:pPr>
                    <w:widowControl/>
                    <w:jc w:val="center"/>
                    <w:rPr>
                      <w:kern w:val="0"/>
                    </w:rPr>
                  </w:pPr>
                  <w:r>
                    <w:rPr>
                      <w:rFonts w:hint="eastAsia"/>
                      <w:kern w:val="0"/>
                    </w:rPr>
                    <w:t>9</w:t>
                  </w:r>
                </w:p>
              </w:tc>
              <w:tc>
                <w:tcPr>
                  <w:tcW w:w="1673" w:type="dxa"/>
                  <w:tcBorders>
                    <w:tl2br w:val="nil"/>
                    <w:tr2bl w:val="nil"/>
                  </w:tcBorders>
                  <w:noWrap/>
                  <w:vAlign w:val="center"/>
                </w:tcPr>
                <w:p w14:paraId="2F091767">
                  <w:pPr>
                    <w:widowControl/>
                    <w:jc w:val="center"/>
                    <w:textAlignment w:val="center"/>
                    <w:rPr>
                      <w:sz w:val="22"/>
                      <w:szCs w:val="22"/>
                    </w:rPr>
                  </w:pPr>
                  <w:r>
                    <w:rPr>
                      <w:rFonts w:hint="eastAsia"/>
                      <w:sz w:val="22"/>
                      <w:szCs w:val="22"/>
                    </w:rPr>
                    <w:t>4244906.49</w:t>
                  </w:r>
                </w:p>
              </w:tc>
              <w:tc>
                <w:tcPr>
                  <w:tcW w:w="1681" w:type="dxa"/>
                  <w:tcBorders>
                    <w:tl2br w:val="nil"/>
                    <w:tr2bl w:val="nil"/>
                  </w:tcBorders>
                  <w:noWrap/>
                  <w:vAlign w:val="center"/>
                </w:tcPr>
                <w:p w14:paraId="1149D8D1">
                  <w:pPr>
                    <w:widowControl/>
                    <w:jc w:val="center"/>
                    <w:textAlignment w:val="center"/>
                    <w:rPr>
                      <w:sz w:val="22"/>
                      <w:szCs w:val="22"/>
                    </w:rPr>
                  </w:pPr>
                  <w:r>
                    <w:rPr>
                      <w:rFonts w:hint="eastAsia"/>
                      <w:sz w:val="22"/>
                      <w:szCs w:val="22"/>
                    </w:rPr>
                    <w:t>38430401.14</w:t>
                  </w:r>
                </w:p>
              </w:tc>
            </w:tr>
            <w:tr w14:paraId="0A916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26" w:type="pct"/>
                  <w:tcBorders>
                    <w:tl2br w:val="nil"/>
                    <w:tr2bl w:val="nil"/>
                  </w:tcBorders>
                  <w:noWrap/>
                  <w:vAlign w:val="center"/>
                </w:tcPr>
                <w:p w14:paraId="05EBB243">
                  <w:pPr>
                    <w:widowControl/>
                    <w:jc w:val="center"/>
                    <w:textAlignment w:val="center"/>
                    <w:rPr>
                      <w:sz w:val="22"/>
                      <w:szCs w:val="22"/>
                    </w:rPr>
                  </w:pPr>
                  <w:r>
                    <w:rPr>
                      <w:rFonts w:hint="eastAsia"/>
                      <w:sz w:val="22"/>
                      <w:szCs w:val="22"/>
                    </w:rPr>
                    <w:t>3</w:t>
                  </w:r>
                </w:p>
              </w:tc>
              <w:tc>
                <w:tcPr>
                  <w:tcW w:w="1668" w:type="dxa"/>
                  <w:tcBorders>
                    <w:tl2br w:val="nil"/>
                    <w:tr2bl w:val="nil"/>
                  </w:tcBorders>
                  <w:noWrap/>
                  <w:vAlign w:val="center"/>
                </w:tcPr>
                <w:p w14:paraId="1662A139">
                  <w:pPr>
                    <w:widowControl/>
                    <w:jc w:val="center"/>
                    <w:textAlignment w:val="center"/>
                    <w:rPr>
                      <w:sz w:val="22"/>
                      <w:szCs w:val="22"/>
                    </w:rPr>
                  </w:pPr>
                  <w:r>
                    <w:rPr>
                      <w:rFonts w:hint="eastAsia"/>
                      <w:sz w:val="22"/>
                      <w:szCs w:val="22"/>
                    </w:rPr>
                    <w:t>4245517.58</w:t>
                  </w:r>
                </w:p>
              </w:tc>
              <w:tc>
                <w:tcPr>
                  <w:tcW w:w="1668" w:type="dxa"/>
                  <w:tcBorders>
                    <w:tl2br w:val="nil"/>
                    <w:tr2bl w:val="nil"/>
                  </w:tcBorders>
                  <w:noWrap/>
                  <w:vAlign w:val="center"/>
                </w:tcPr>
                <w:p w14:paraId="13A50DD7">
                  <w:pPr>
                    <w:widowControl/>
                    <w:jc w:val="center"/>
                    <w:textAlignment w:val="center"/>
                    <w:rPr>
                      <w:sz w:val="22"/>
                      <w:szCs w:val="22"/>
                    </w:rPr>
                  </w:pPr>
                  <w:r>
                    <w:rPr>
                      <w:rFonts w:hint="eastAsia"/>
                      <w:sz w:val="22"/>
                      <w:szCs w:val="22"/>
                    </w:rPr>
                    <w:t>38429744.15</w:t>
                  </w:r>
                </w:p>
              </w:tc>
              <w:tc>
                <w:tcPr>
                  <w:tcW w:w="538" w:type="pct"/>
                  <w:tcBorders>
                    <w:tl2br w:val="nil"/>
                    <w:tr2bl w:val="nil"/>
                  </w:tcBorders>
                  <w:noWrap/>
                  <w:vAlign w:val="center"/>
                </w:tcPr>
                <w:p w14:paraId="25213634">
                  <w:pPr>
                    <w:widowControl/>
                    <w:jc w:val="center"/>
                    <w:rPr>
                      <w:kern w:val="0"/>
                    </w:rPr>
                  </w:pPr>
                  <w:r>
                    <w:rPr>
                      <w:rFonts w:hint="eastAsia"/>
                      <w:kern w:val="0"/>
                    </w:rPr>
                    <w:t>10</w:t>
                  </w:r>
                </w:p>
              </w:tc>
              <w:tc>
                <w:tcPr>
                  <w:tcW w:w="1673" w:type="dxa"/>
                  <w:tcBorders>
                    <w:tl2br w:val="nil"/>
                    <w:tr2bl w:val="nil"/>
                  </w:tcBorders>
                  <w:noWrap/>
                  <w:vAlign w:val="center"/>
                </w:tcPr>
                <w:p w14:paraId="233F7B6A">
                  <w:pPr>
                    <w:widowControl/>
                    <w:jc w:val="center"/>
                    <w:textAlignment w:val="center"/>
                    <w:rPr>
                      <w:sz w:val="22"/>
                      <w:szCs w:val="22"/>
                    </w:rPr>
                  </w:pPr>
                  <w:r>
                    <w:rPr>
                      <w:rFonts w:hint="eastAsia"/>
                      <w:sz w:val="22"/>
                      <w:szCs w:val="22"/>
                    </w:rPr>
                    <w:t>4245096.46</w:t>
                  </w:r>
                </w:p>
              </w:tc>
              <w:tc>
                <w:tcPr>
                  <w:tcW w:w="1681" w:type="dxa"/>
                  <w:tcBorders>
                    <w:tl2br w:val="nil"/>
                    <w:tr2bl w:val="nil"/>
                  </w:tcBorders>
                  <w:noWrap/>
                  <w:vAlign w:val="center"/>
                </w:tcPr>
                <w:p w14:paraId="42A4C36D">
                  <w:pPr>
                    <w:widowControl/>
                    <w:jc w:val="center"/>
                    <w:textAlignment w:val="center"/>
                    <w:rPr>
                      <w:sz w:val="22"/>
                      <w:szCs w:val="22"/>
                    </w:rPr>
                  </w:pPr>
                  <w:r>
                    <w:rPr>
                      <w:rFonts w:hint="eastAsia"/>
                      <w:sz w:val="22"/>
                      <w:szCs w:val="22"/>
                    </w:rPr>
                    <w:t>38430091.68</w:t>
                  </w:r>
                </w:p>
              </w:tc>
            </w:tr>
            <w:tr w14:paraId="4865A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26" w:type="pct"/>
                  <w:tcBorders>
                    <w:tl2br w:val="nil"/>
                    <w:tr2bl w:val="nil"/>
                  </w:tcBorders>
                  <w:noWrap/>
                  <w:vAlign w:val="center"/>
                </w:tcPr>
                <w:p w14:paraId="0A2602E8">
                  <w:pPr>
                    <w:widowControl/>
                    <w:jc w:val="center"/>
                    <w:textAlignment w:val="center"/>
                    <w:rPr>
                      <w:sz w:val="22"/>
                      <w:szCs w:val="22"/>
                    </w:rPr>
                  </w:pPr>
                  <w:r>
                    <w:rPr>
                      <w:rFonts w:hint="eastAsia"/>
                      <w:sz w:val="22"/>
                      <w:szCs w:val="22"/>
                    </w:rPr>
                    <w:t>4</w:t>
                  </w:r>
                </w:p>
              </w:tc>
              <w:tc>
                <w:tcPr>
                  <w:tcW w:w="1668" w:type="dxa"/>
                  <w:tcBorders>
                    <w:tl2br w:val="nil"/>
                    <w:tr2bl w:val="nil"/>
                  </w:tcBorders>
                  <w:noWrap/>
                  <w:vAlign w:val="center"/>
                </w:tcPr>
                <w:p w14:paraId="71873DD5">
                  <w:pPr>
                    <w:widowControl/>
                    <w:jc w:val="center"/>
                    <w:textAlignment w:val="center"/>
                    <w:rPr>
                      <w:sz w:val="22"/>
                      <w:szCs w:val="22"/>
                    </w:rPr>
                  </w:pPr>
                  <w:r>
                    <w:rPr>
                      <w:rFonts w:hint="eastAsia"/>
                      <w:sz w:val="22"/>
                      <w:szCs w:val="22"/>
                    </w:rPr>
                    <w:t>4245477.00</w:t>
                  </w:r>
                </w:p>
              </w:tc>
              <w:tc>
                <w:tcPr>
                  <w:tcW w:w="1668" w:type="dxa"/>
                  <w:tcBorders>
                    <w:tl2br w:val="nil"/>
                    <w:tr2bl w:val="nil"/>
                  </w:tcBorders>
                  <w:noWrap/>
                  <w:vAlign w:val="center"/>
                </w:tcPr>
                <w:p w14:paraId="644C0B34">
                  <w:pPr>
                    <w:widowControl/>
                    <w:jc w:val="center"/>
                    <w:textAlignment w:val="center"/>
                    <w:rPr>
                      <w:sz w:val="22"/>
                      <w:szCs w:val="22"/>
                    </w:rPr>
                  </w:pPr>
                  <w:r>
                    <w:rPr>
                      <w:rFonts w:hint="eastAsia"/>
                      <w:sz w:val="22"/>
                      <w:szCs w:val="22"/>
                    </w:rPr>
                    <w:t>38429832.89</w:t>
                  </w:r>
                </w:p>
              </w:tc>
              <w:tc>
                <w:tcPr>
                  <w:tcW w:w="538" w:type="pct"/>
                  <w:tcBorders>
                    <w:tl2br w:val="nil"/>
                    <w:tr2bl w:val="nil"/>
                  </w:tcBorders>
                  <w:noWrap/>
                  <w:vAlign w:val="center"/>
                </w:tcPr>
                <w:p w14:paraId="3385F3E9">
                  <w:pPr>
                    <w:widowControl/>
                    <w:jc w:val="center"/>
                    <w:rPr>
                      <w:kern w:val="0"/>
                    </w:rPr>
                  </w:pPr>
                  <w:r>
                    <w:rPr>
                      <w:rFonts w:hint="eastAsia"/>
                      <w:kern w:val="0"/>
                    </w:rPr>
                    <w:t>11</w:t>
                  </w:r>
                </w:p>
              </w:tc>
              <w:tc>
                <w:tcPr>
                  <w:tcW w:w="1673" w:type="dxa"/>
                  <w:tcBorders>
                    <w:tl2br w:val="nil"/>
                    <w:tr2bl w:val="nil"/>
                  </w:tcBorders>
                  <w:noWrap/>
                  <w:vAlign w:val="center"/>
                </w:tcPr>
                <w:p w14:paraId="7316F23C">
                  <w:pPr>
                    <w:widowControl/>
                    <w:jc w:val="center"/>
                    <w:textAlignment w:val="center"/>
                    <w:rPr>
                      <w:sz w:val="22"/>
                      <w:szCs w:val="22"/>
                    </w:rPr>
                  </w:pPr>
                  <w:r>
                    <w:rPr>
                      <w:rFonts w:hint="eastAsia"/>
                      <w:sz w:val="22"/>
                      <w:szCs w:val="22"/>
                    </w:rPr>
                    <w:t>4244986.72</w:t>
                  </w:r>
                </w:p>
              </w:tc>
              <w:tc>
                <w:tcPr>
                  <w:tcW w:w="1681" w:type="dxa"/>
                  <w:tcBorders>
                    <w:tl2br w:val="nil"/>
                    <w:tr2bl w:val="nil"/>
                  </w:tcBorders>
                  <w:noWrap/>
                  <w:vAlign w:val="center"/>
                </w:tcPr>
                <w:p w14:paraId="57699450">
                  <w:pPr>
                    <w:widowControl/>
                    <w:jc w:val="center"/>
                    <w:textAlignment w:val="center"/>
                    <w:rPr>
                      <w:sz w:val="22"/>
                      <w:szCs w:val="22"/>
                    </w:rPr>
                  </w:pPr>
                  <w:r>
                    <w:rPr>
                      <w:rFonts w:hint="eastAsia"/>
                      <w:sz w:val="22"/>
                      <w:szCs w:val="22"/>
                    </w:rPr>
                    <w:t>38429991.10</w:t>
                  </w:r>
                </w:p>
              </w:tc>
            </w:tr>
            <w:tr w14:paraId="4629F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26" w:type="pct"/>
                  <w:tcBorders>
                    <w:tl2br w:val="nil"/>
                    <w:tr2bl w:val="nil"/>
                  </w:tcBorders>
                  <w:noWrap/>
                  <w:vAlign w:val="center"/>
                </w:tcPr>
                <w:p w14:paraId="702BA114">
                  <w:pPr>
                    <w:widowControl/>
                    <w:jc w:val="center"/>
                    <w:textAlignment w:val="center"/>
                    <w:rPr>
                      <w:sz w:val="22"/>
                      <w:szCs w:val="22"/>
                    </w:rPr>
                  </w:pPr>
                  <w:r>
                    <w:rPr>
                      <w:rFonts w:hint="eastAsia"/>
                      <w:sz w:val="22"/>
                      <w:szCs w:val="22"/>
                    </w:rPr>
                    <w:t>5</w:t>
                  </w:r>
                </w:p>
              </w:tc>
              <w:tc>
                <w:tcPr>
                  <w:tcW w:w="1668" w:type="dxa"/>
                  <w:tcBorders>
                    <w:tl2br w:val="nil"/>
                    <w:tr2bl w:val="nil"/>
                  </w:tcBorders>
                  <w:noWrap/>
                  <w:vAlign w:val="center"/>
                </w:tcPr>
                <w:p w14:paraId="123BE720">
                  <w:pPr>
                    <w:widowControl/>
                    <w:jc w:val="center"/>
                    <w:textAlignment w:val="center"/>
                    <w:rPr>
                      <w:sz w:val="22"/>
                      <w:szCs w:val="22"/>
                    </w:rPr>
                  </w:pPr>
                  <w:r>
                    <w:rPr>
                      <w:rFonts w:hint="eastAsia"/>
                      <w:sz w:val="22"/>
                      <w:szCs w:val="22"/>
                    </w:rPr>
                    <w:t>4245418.57</w:t>
                  </w:r>
                </w:p>
              </w:tc>
              <w:tc>
                <w:tcPr>
                  <w:tcW w:w="1668" w:type="dxa"/>
                  <w:tcBorders>
                    <w:tl2br w:val="nil"/>
                    <w:tr2bl w:val="nil"/>
                  </w:tcBorders>
                  <w:noWrap/>
                  <w:vAlign w:val="center"/>
                </w:tcPr>
                <w:p w14:paraId="6C7D6C51">
                  <w:pPr>
                    <w:widowControl/>
                    <w:jc w:val="center"/>
                    <w:textAlignment w:val="center"/>
                    <w:rPr>
                      <w:sz w:val="22"/>
                      <w:szCs w:val="22"/>
                    </w:rPr>
                  </w:pPr>
                  <w:r>
                    <w:rPr>
                      <w:rFonts w:hint="eastAsia"/>
                      <w:sz w:val="22"/>
                      <w:szCs w:val="22"/>
                    </w:rPr>
                    <w:t>38429936.22</w:t>
                  </w:r>
                </w:p>
              </w:tc>
              <w:tc>
                <w:tcPr>
                  <w:tcW w:w="538" w:type="pct"/>
                  <w:tcBorders>
                    <w:tl2br w:val="nil"/>
                    <w:tr2bl w:val="nil"/>
                  </w:tcBorders>
                  <w:noWrap/>
                  <w:vAlign w:val="center"/>
                </w:tcPr>
                <w:p w14:paraId="366E93F2">
                  <w:pPr>
                    <w:widowControl/>
                    <w:jc w:val="center"/>
                    <w:rPr>
                      <w:kern w:val="0"/>
                    </w:rPr>
                  </w:pPr>
                  <w:r>
                    <w:rPr>
                      <w:rFonts w:hint="eastAsia"/>
                      <w:kern w:val="0"/>
                    </w:rPr>
                    <w:t>12</w:t>
                  </w:r>
                </w:p>
              </w:tc>
              <w:tc>
                <w:tcPr>
                  <w:tcW w:w="1673" w:type="dxa"/>
                  <w:tcBorders>
                    <w:tl2br w:val="nil"/>
                    <w:tr2bl w:val="nil"/>
                  </w:tcBorders>
                  <w:noWrap/>
                  <w:vAlign w:val="center"/>
                </w:tcPr>
                <w:p w14:paraId="4396093B">
                  <w:pPr>
                    <w:widowControl/>
                    <w:jc w:val="center"/>
                    <w:textAlignment w:val="center"/>
                    <w:rPr>
                      <w:sz w:val="22"/>
                      <w:szCs w:val="22"/>
                    </w:rPr>
                  </w:pPr>
                  <w:r>
                    <w:rPr>
                      <w:rFonts w:hint="eastAsia"/>
                      <w:sz w:val="22"/>
                      <w:szCs w:val="22"/>
                    </w:rPr>
                    <w:t>4245119.93</w:t>
                  </w:r>
                </w:p>
              </w:tc>
              <w:tc>
                <w:tcPr>
                  <w:tcW w:w="1681" w:type="dxa"/>
                  <w:tcBorders>
                    <w:tl2br w:val="nil"/>
                    <w:tr2bl w:val="nil"/>
                  </w:tcBorders>
                  <w:noWrap/>
                  <w:vAlign w:val="center"/>
                </w:tcPr>
                <w:p w14:paraId="5A3C214C">
                  <w:pPr>
                    <w:widowControl/>
                    <w:jc w:val="center"/>
                    <w:textAlignment w:val="center"/>
                    <w:rPr>
                      <w:sz w:val="22"/>
                      <w:szCs w:val="22"/>
                    </w:rPr>
                  </w:pPr>
                  <w:r>
                    <w:rPr>
                      <w:rFonts w:hint="eastAsia"/>
                      <w:sz w:val="22"/>
                      <w:szCs w:val="22"/>
                    </w:rPr>
                    <w:t>38429823.15</w:t>
                  </w:r>
                </w:p>
              </w:tc>
            </w:tr>
            <w:tr w14:paraId="51835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26" w:type="pct"/>
                  <w:tcBorders>
                    <w:tl2br w:val="nil"/>
                    <w:tr2bl w:val="nil"/>
                  </w:tcBorders>
                  <w:noWrap/>
                  <w:vAlign w:val="center"/>
                </w:tcPr>
                <w:p w14:paraId="5ABDA7E1">
                  <w:pPr>
                    <w:widowControl/>
                    <w:jc w:val="center"/>
                    <w:textAlignment w:val="center"/>
                    <w:rPr>
                      <w:sz w:val="22"/>
                      <w:szCs w:val="22"/>
                    </w:rPr>
                  </w:pPr>
                  <w:r>
                    <w:rPr>
                      <w:rFonts w:hint="eastAsia"/>
                      <w:sz w:val="22"/>
                      <w:szCs w:val="22"/>
                    </w:rPr>
                    <w:t>6</w:t>
                  </w:r>
                </w:p>
              </w:tc>
              <w:tc>
                <w:tcPr>
                  <w:tcW w:w="1668" w:type="dxa"/>
                  <w:tcBorders>
                    <w:tl2br w:val="nil"/>
                    <w:tr2bl w:val="nil"/>
                  </w:tcBorders>
                  <w:noWrap/>
                  <w:vAlign w:val="center"/>
                </w:tcPr>
                <w:p w14:paraId="77B060A6">
                  <w:pPr>
                    <w:widowControl/>
                    <w:jc w:val="center"/>
                    <w:textAlignment w:val="center"/>
                    <w:rPr>
                      <w:sz w:val="22"/>
                      <w:szCs w:val="22"/>
                    </w:rPr>
                  </w:pPr>
                  <w:r>
                    <w:rPr>
                      <w:rFonts w:hint="eastAsia"/>
                      <w:sz w:val="22"/>
                      <w:szCs w:val="22"/>
                    </w:rPr>
                    <w:t>4245414.78</w:t>
                  </w:r>
                </w:p>
              </w:tc>
              <w:tc>
                <w:tcPr>
                  <w:tcW w:w="1668" w:type="dxa"/>
                  <w:tcBorders>
                    <w:tl2br w:val="nil"/>
                    <w:tr2bl w:val="nil"/>
                  </w:tcBorders>
                  <w:noWrap/>
                  <w:vAlign w:val="center"/>
                </w:tcPr>
                <w:p w14:paraId="77115701">
                  <w:pPr>
                    <w:widowControl/>
                    <w:jc w:val="center"/>
                    <w:textAlignment w:val="center"/>
                    <w:rPr>
                      <w:sz w:val="22"/>
                      <w:szCs w:val="22"/>
                    </w:rPr>
                  </w:pPr>
                  <w:r>
                    <w:rPr>
                      <w:rFonts w:hint="eastAsia"/>
                      <w:sz w:val="22"/>
                      <w:szCs w:val="22"/>
                    </w:rPr>
                    <w:t>38429971.12</w:t>
                  </w:r>
                </w:p>
              </w:tc>
              <w:tc>
                <w:tcPr>
                  <w:tcW w:w="538" w:type="pct"/>
                  <w:tcBorders>
                    <w:tl2br w:val="nil"/>
                    <w:tr2bl w:val="nil"/>
                  </w:tcBorders>
                  <w:noWrap/>
                  <w:vAlign w:val="center"/>
                </w:tcPr>
                <w:p w14:paraId="64BD1FB6">
                  <w:pPr>
                    <w:widowControl/>
                    <w:jc w:val="center"/>
                    <w:rPr>
                      <w:kern w:val="0"/>
                    </w:rPr>
                  </w:pPr>
                  <w:r>
                    <w:rPr>
                      <w:rFonts w:hint="eastAsia"/>
                      <w:kern w:val="0"/>
                    </w:rPr>
                    <w:t>13</w:t>
                  </w:r>
                </w:p>
              </w:tc>
              <w:tc>
                <w:tcPr>
                  <w:tcW w:w="1673" w:type="dxa"/>
                  <w:tcBorders>
                    <w:tl2br w:val="nil"/>
                    <w:tr2bl w:val="nil"/>
                  </w:tcBorders>
                  <w:noWrap/>
                  <w:vAlign w:val="center"/>
                </w:tcPr>
                <w:p w14:paraId="664509DD">
                  <w:pPr>
                    <w:widowControl/>
                    <w:jc w:val="center"/>
                    <w:textAlignment w:val="center"/>
                    <w:rPr>
                      <w:sz w:val="22"/>
                      <w:szCs w:val="22"/>
                    </w:rPr>
                  </w:pPr>
                  <w:r>
                    <w:rPr>
                      <w:rFonts w:hint="eastAsia"/>
                      <w:sz w:val="22"/>
                      <w:szCs w:val="22"/>
                    </w:rPr>
                    <w:t>4245186.25</w:t>
                  </w:r>
                </w:p>
              </w:tc>
              <w:tc>
                <w:tcPr>
                  <w:tcW w:w="1681" w:type="dxa"/>
                  <w:tcBorders>
                    <w:tl2br w:val="nil"/>
                    <w:tr2bl w:val="nil"/>
                  </w:tcBorders>
                  <w:noWrap/>
                  <w:vAlign w:val="center"/>
                </w:tcPr>
                <w:p w14:paraId="2B259AF8">
                  <w:pPr>
                    <w:widowControl/>
                    <w:jc w:val="center"/>
                    <w:textAlignment w:val="center"/>
                    <w:rPr>
                      <w:sz w:val="22"/>
                      <w:szCs w:val="22"/>
                    </w:rPr>
                  </w:pPr>
                  <w:r>
                    <w:rPr>
                      <w:rFonts w:hint="eastAsia"/>
                      <w:sz w:val="22"/>
                      <w:szCs w:val="22"/>
                    </w:rPr>
                    <w:t>38429886.45</w:t>
                  </w:r>
                </w:p>
              </w:tc>
            </w:tr>
            <w:tr w14:paraId="5D816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26" w:type="pct"/>
                  <w:tcBorders>
                    <w:tl2br w:val="nil"/>
                    <w:tr2bl w:val="nil"/>
                  </w:tcBorders>
                  <w:noWrap/>
                  <w:vAlign w:val="center"/>
                </w:tcPr>
                <w:p w14:paraId="7BDCD979">
                  <w:pPr>
                    <w:widowControl/>
                    <w:jc w:val="center"/>
                    <w:textAlignment w:val="center"/>
                    <w:rPr>
                      <w:sz w:val="22"/>
                      <w:szCs w:val="22"/>
                    </w:rPr>
                  </w:pPr>
                  <w:r>
                    <w:rPr>
                      <w:rFonts w:hint="eastAsia"/>
                      <w:sz w:val="22"/>
                      <w:szCs w:val="22"/>
                    </w:rPr>
                    <w:t>7</w:t>
                  </w:r>
                </w:p>
              </w:tc>
              <w:tc>
                <w:tcPr>
                  <w:tcW w:w="1668" w:type="dxa"/>
                  <w:tcBorders>
                    <w:tl2br w:val="nil"/>
                    <w:tr2bl w:val="nil"/>
                  </w:tcBorders>
                  <w:noWrap/>
                  <w:vAlign w:val="center"/>
                </w:tcPr>
                <w:p w14:paraId="33C4B96D">
                  <w:pPr>
                    <w:widowControl/>
                    <w:jc w:val="center"/>
                    <w:textAlignment w:val="center"/>
                    <w:rPr>
                      <w:sz w:val="22"/>
                      <w:szCs w:val="22"/>
                    </w:rPr>
                  </w:pPr>
                  <w:r>
                    <w:rPr>
                      <w:rFonts w:hint="eastAsia"/>
                      <w:sz w:val="22"/>
                      <w:szCs w:val="22"/>
                    </w:rPr>
                    <w:t>4245426.12</w:t>
                  </w:r>
                </w:p>
              </w:tc>
              <w:tc>
                <w:tcPr>
                  <w:tcW w:w="1668" w:type="dxa"/>
                  <w:tcBorders>
                    <w:tl2br w:val="nil"/>
                    <w:tr2bl w:val="nil"/>
                  </w:tcBorders>
                  <w:noWrap/>
                  <w:vAlign w:val="center"/>
                </w:tcPr>
                <w:p w14:paraId="1542B2A5">
                  <w:pPr>
                    <w:widowControl/>
                    <w:jc w:val="center"/>
                    <w:textAlignment w:val="center"/>
                    <w:rPr>
                      <w:sz w:val="22"/>
                      <w:szCs w:val="22"/>
                    </w:rPr>
                  </w:pPr>
                  <w:r>
                    <w:rPr>
                      <w:rFonts w:hint="eastAsia"/>
                      <w:sz w:val="22"/>
                      <w:szCs w:val="22"/>
                    </w:rPr>
                    <w:t>38429980.38</w:t>
                  </w:r>
                </w:p>
              </w:tc>
              <w:tc>
                <w:tcPr>
                  <w:tcW w:w="538" w:type="pct"/>
                  <w:tcBorders>
                    <w:tl2br w:val="nil"/>
                    <w:tr2bl w:val="nil"/>
                  </w:tcBorders>
                  <w:noWrap/>
                  <w:vAlign w:val="center"/>
                </w:tcPr>
                <w:p w14:paraId="6884184D">
                  <w:pPr>
                    <w:widowControl/>
                    <w:jc w:val="center"/>
                    <w:rPr>
                      <w:kern w:val="0"/>
                    </w:rPr>
                  </w:pPr>
                  <w:r>
                    <w:rPr>
                      <w:rFonts w:hint="eastAsia"/>
                      <w:kern w:val="0"/>
                    </w:rPr>
                    <w:t>14</w:t>
                  </w:r>
                </w:p>
              </w:tc>
              <w:tc>
                <w:tcPr>
                  <w:tcW w:w="1673" w:type="dxa"/>
                  <w:tcBorders>
                    <w:tl2br w:val="nil"/>
                    <w:tr2bl w:val="nil"/>
                  </w:tcBorders>
                  <w:noWrap/>
                  <w:vAlign w:val="center"/>
                </w:tcPr>
                <w:p w14:paraId="03183A05">
                  <w:pPr>
                    <w:widowControl/>
                    <w:jc w:val="center"/>
                    <w:textAlignment w:val="center"/>
                    <w:rPr>
                      <w:sz w:val="22"/>
                      <w:szCs w:val="22"/>
                    </w:rPr>
                  </w:pPr>
                  <w:r>
                    <w:rPr>
                      <w:rFonts w:hint="eastAsia"/>
                      <w:sz w:val="22"/>
                      <w:szCs w:val="22"/>
                    </w:rPr>
                    <w:t>4245496.21</w:t>
                  </w:r>
                </w:p>
              </w:tc>
              <w:tc>
                <w:tcPr>
                  <w:tcW w:w="1681" w:type="dxa"/>
                  <w:tcBorders>
                    <w:tl2br w:val="nil"/>
                    <w:tr2bl w:val="nil"/>
                  </w:tcBorders>
                  <w:noWrap/>
                  <w:vAlign w:val="center"/>
                </w:tcPr>
                <w:p w14:paraId="727B4DD3">
                  <w:pPr>
                    <w:widowControl/>
                    <w:jc w:val="center"/>
                    <w:textAlignment w:val="center"/>
                    <w:rPr>
                      <w:sz w:val="22"/>
                      <w:szCs w:val="22"/>
                    </w:rPr>
                  </w:pPr>
                  <w:r>
                    <w:rPr>
                      <w:rFonts w:hint="eastAsia"/>
                      <w:sz w:val="22"/>
                      <w:szCs w:val="22"/>
                    </w:rPr>
                    <w:t>38429520.47</w:t>
                  </w:r>
                </w:p>
              </w:tc>
            </w:tr>
          </w:tbl>
          <w:p w14:paraId="15744784">
            <w:pPr>
              <w:widowControl/>
              <w:spacing w:line="480" w:lineRule="exact"/>
              <w:ind w:firstLine="480" w:firstLineChars="200"/>
              <w:rPr>
                <w:color w:val="FF0000"/>
                <w:kern w:val="0"/>
                <w:sz w:val="24"/>
              </w:rPr>
            </w:pPr>
          </w:p>
        </w:tc>
      </w:tr>
      <w:tr w14:paraId="06B6A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0" w:type="dxa"/>
            <w:vAlign w:val="center"/>
          </w:tcPr>
          <w:p w14:paraId="094B151F">
            <w:pPr>
              <w:adjustRightInd w:val="0"/>
              <w:snapToGrid w:val="0"/>
              <w:jc w:val="center"/>
              <w:rPr>
                <w:rFonts w:ascii="宋体" w:hAnsi="宋体" w:cs="宋体"/>
                <w:kern w:val="0"/>
                <w:sz w:val="24"/>
              </w:rPr>
            </w:pPr>
            <w:r>
              <w:rPr>
                <w:rFonts w:hint="eastAsia" w:ascii="宋体" w:hAnsi="宋体" w:cs="宋体"/>
                <w:kern w:val="0"/>
                <w:sz w:val="24"/>
              </w:rPr>
              <w:t>项目组成及规模</w:t>
            </w:r>
          </w:p>
        </w:tc>
        <w:tc>
          <w:tcPr>
            <w:tcW w:w="8730" w:type="dxa"/>
          </w:tcPr>
          <w:p w14:paraId="3139BF92">
            <w:pPr>
              <w:keepNext w:val="0"/>
              <w:keepLines w:val="0"/>
              <w:pageBreakBefore w:val="0"/>
              <w:kinsoku/>
              <w:wordWrap/>
              <w:overflowPunct/>
              <w:topLinePunct w:val="0"/>
              <w:autoSpaceDE/>
              <w:autoSpaceDN/>
              <w:bidi w:val="0"/>
              <w:adjustRightInd w:val="0"/>
              <w:snapToGrid w:val="0"/>
              <w:spacing w:line="450" w:lineRule="exact"/>
              <w:ind w:firstLine="482" w:firstLineChars="200"/>
              <w:textAlignment w:val="auto"/>
              <w:rPr>
                <w:b/>
                <w:bCs/>
                <w:sz w:val="24"/>
              </w:rPr>
            </w:pPr>
            <w:r>
              <w:rPr>
                <w:rFonts w:hint="eastAsia"/>
                <w:b/>
                <w:bCs/>
                <w:sz w:val="24"/>
              </w:rPr>
              <w:t>1.项目由来</w:t>
            </w:r>
          </w:p>
          <w:p w14:paraId="65C24330">
            <w:pPr>
              <w:keepNext w:val="0"/>
              <w:keepLines w:val="0"/>
              <w:pageBreakBefore w:val="0"/>
              <w:kinsoku/>
              <w:wordWrap/>
              <w:overflowPunct/>
              <w:topLinePunct w:val="0"/>
              <w:autoSpaceDE/>
              <w:autoSpaceDN/>
              <w:bidi w:val="0"/>
              <w:adjustRightInd w:val="0"/>
              <w:snapToGrid w:val="0"/>
              <w:spacing w:line="450" w:lineRule="exact"/>
              <w:ind w:firstLine="480" w:firstLineChars="200"/>
              <w:textAlignment w:val="auto"/>
              <w:rPr>
                <w:rFonts w:hint="eastAsia"/>
                <w:sz w:val="24"/>
              </w:rPr>
            </w:pPr>
            <w:bookmarkStart w:id="4" w:name="_Hlk219850866"/>
            <w:r>
              <w:rPr>
                <w:rFonts w:hint="eastAsia"/>
                <w:color w:val="000000" w:themeColor="text1"/>
                <w:sz w:val="24"/>
                <w14:textFill>
                  <w14:solidFill>
                    <w14:schemeClr w14:val="tx1"/>
                  </w14:solidFill>
                </w14:textFill>
              </w:rPr>
              <w:t>2017年11月22日，盂县环境保护局以盂环函〔2017〕323号文对《盂县西潘乡鑫盛石矿年采0.2万m</w:t>
            </w:r>
            <w:r>
              <w:rPr>
                <w:rFonts w:hint="eastAsia"/>
                <w:color w:val="000000" w:themeColor="text1"/>
                <w:sz w:val="24"/>
                <w:vertAlign w:val="superscript"/>
                <w14:textFill>
                  <w14:solidFill>
                    <w14:schemeClr w14:val="tx1"/>
                  </w14:solidFill>
                </w14:textFill>
              </w:rPr>
              <w:t>3</w:t>
            </w:r>
            <w:r>
              <w:rPr>
                <w:rFonts w:hint="eastAsia"/>
                <w:color w:val="000000" w:themeColor="text1"/>
                <w:sz w:val="24"/>
                <w14:textFill>
                  <w14:solidFill>
                    <w14:schemeClr w14:val="tx1"/>
                  </w14:solidFill>
                </w14:textFill>
              </w:rPr>
              <w:t>石料开采项目环境影响报告表》进行了批复。</w:t>
            </w:r>
            <w:r>
              <w:rPr>
                <w:sz w:val="24"/>
              </w:rPr>
              <w:t>该矿原持有阳泉市国土资源局于20</w:t>
            </w:r>
            <w:r>
              <w:rPr>
                <w:rFonts w:hint="eastAsia"/>
                <w:sz w:val="24"/>
                <w:lang w:val="en-US" w:eastAsia="zh-CN"/>
              </w:rPr>
              <w:t>22</w:t>
            </w:r>
            <w:r>
              <w:rPr>
                <w:sz w:val="24"/>
              </w:rPr>
              <w:t>年12月25日</w:t>
            </w:r>
            <w:r>
              <w:rPr>
                <w:rFonts w:hint="eastAsia"/>
                <w:sz w:val="24"/>
                <w:lang w:val="en-US" w:eastAsia="zh-CN"/>
              </w:rPr>
              <w:t>换发</w:t>
            </w:r>
            <w:r>
              <w:rPr>
                <w:sz w:val="24"/>
              </w:rPr>
              <w:t>的采矿许可证，证号C1403002011017120103543，自2022年12月25日至2024年12月30日，有效期贰年，开采方式：露天开采，生产规模0.20万立方米/年，矿区面积：0.0717km</w:t>
            </w:r>
            <w:r>
              <w:rPr>
                <w:sz w:val="24"/>
                <w:vertAlign w:val="superscript"/>
              </w:rPr>
              <w:t>2</w:t>
            </w:r>
            <w:r>
              <w:rPr>
                <w:sz w:val="24"/>
              </w:rPr>
              <w:t>，批采标高：1152-940m。</w:t>
            </w:r>
            <w:r>
              <w:rPr>
                <w:rFonts w:hint="eastAsia"/>
                <w:sz w:val="24"/>
              </w:rPr>
              <w:t>目前，该矿山形成一处露天采场。</w:t>
            </w:r>
          </w:p>
          <w:bookmarkEnd w:id="4"/>
          <w:p w14:paraId="5AE9FF7C">
            <w:pPr>
              <w:keepNext w:val="0"/>
              <w:keepLines w:val="0"/>
              <w:pageBreakBefore w:val="0"/>
              <w:kinsoku/>
              <w:wordWrap/>
              <w:overflowPunct/>
              <w:topLinePunct w:val="0"/>
              <w:autoSpaceDE/>
              <w:autoSpaceDN/>
              <w:bidi w:val="0"/>
              <w:adjustRightInd w:val="0"/>
              <w:snapToGrid w:val="0"/>
              <w:spacing w:line="450" w:lineRule="exact"/>
              <w:ind w:firstLine="480" w:firstLineChars="200"/>
              <w:textAlignment w:val="auto"/>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2010年12月9日，盂县环境保护局以盂环函〔2010〕245号文对《盂县西潘乡石鑫大理石矿新建年加工500m</w:t>
            </w:r>
            <w:r>
              <w:rPr>
                <w:rFonts w:hint="eastAsia"/>
                <w:color w:val="000000" w:themeColor="text1"/>
                <w:sz w:val="24"/>
                <w:vertAlign w:val="superscript"/>
                <w14:textFill>
                  <w14:solidFill>
                    <w14:schemeClr w14:val="tx1"/>
                  </w14:solidFill>
                </w14:textFill>
              </w:rPr>
              <w:t>3</w:t>
            </w:r>
            <w:r>
              <w:rPr>
                <w:rFonts w:hint="eastAsia"/>
                <w:color w:val="000000" w:themeColor="text1"/>
                <w:sz w:val="24"/>
                <w14:textFill>
                  <w14:solidFill>
                    <w14:schemeClr w14:val="tx1"/>
                  </w14:solidFill>
                </w14:textFill>
              </w:rPr>
              <w:t>大理石生产线项目环境影响报告表》进行了批复。2017年11月1日，盂县环境保护局出具《盂县西潘乡石鑫大理石矿新建年加工500m</w:t>
            </w:r>
            <w:r>
              <w:rPr>
                <w:rFonts w:hint="eastAsia"/>
                <w:color w:val="000000" w:themeColor="text1"/>
                <w:sz w:val="24"/>
                <w:vertAlign w:val="superscript"/>
                <w14:textFill>
                  <w14:solidFill>
                    <w14:schemeClr w14:val="tx1"/>
                  </w14:solidFill>
                </w14:textFill>
              </w:rPr>
              <w:t>3</w:t>
            </w:r>
            <w:r>
              <w:rPr>
                <w:rFonts w:hint="eastAsia"/>
                <w:color w:val="000000" w:themeColor="text1"/>
                <w:sz w:val="24"/>
                <w14:textFill>
                  <w14:solidFill>
                    <w14:schemeClr w14:val="tx1"/>
                  </w14:solidFill>
                </w14:textFill>
              </w:rPr>
              <w:t>大理石生产线项目竣工环境保护验收意见》（盂环函〔2017〕287号），该项目完成验收。根据</w:t>
            </w:r>
            <w:r>
              <w:rPr>
                <w:sz w:val="24"/>
              </w:rPr>
              <w:t>阳泉市国土资源局于20</w:t>
            </w:r>
            <w:r>
              <w:rPr>
                <w:rFonts w:hint="eastAsia"/>
                <w:sz w:val="24"/>
              </w:rPr>
              <w:t>2</w:t>
            </w:r>
            <w:r>
              <w:rPr>
                <w:rFonts w:hint="eastAsia"/>
                <w:sz w:val="24"/>
                <w:lang w:val="en-US" w:eastAsia="zh-CN"/>
              </w:rPr>
              <w:t>2</w:t>
            </w:r>
            <w:r>
              <w:rPr>
                <w:sz w:val="24"/>
              </w:rPr>
              <w:t>年3月3日</w:t>
            </w:r>
            <w:r>
              <w:rPr>
                <w:rFonts w:hint="eastAsia"/>
                <w:sz w:val="24"/>
                <w:lang w:val="en-US" w:eastAsia="zh-CN"/>
              </w:rPr>
              <w:t>换发</w:t>
            </w:r>
            <w:r>
              <w:rPr>
                <w:sz w:val="24"/>
              </w:rPr>
              <w:t>的采矿许可证，证号C1403002010047120060252，有效期2年，自20</w:t>
            </w:r>
            <w:r>
              <w:rPr>
                <w:rFonts w:hint="eastAsia"/>
                <w:sz w:val="24"/>
              </w:rPr>
              <w:t>2</w:t>
            </w:r>
            <w:r>
              <w:rPr>
                <w:sz w:val="24"/>
              </w:rPr>
              <w:t>2年3月3日至2024年3月3日，开采矿种：大理岩，开采方式：露天开采，生产规模0.05万立方米/年，矿区面积：0.1245km</w:t>
            </w:r>
            <w:r>
              <w:rPr>
                <w:sz w:val="24"/>
                <w:vertAlign w:val="superscript"/>
              </w:rPr>
              <w:t>2</w:t>
            </w:r>
            <w:r>
              <w:rPr>
                <w:sz w:val="24"/>
              </w:rPr>
              <w:t>，批采标高：1149.99-957.99m。202</w:t>
            </w:r>
            <w:r>
              <w:rPr>
                <w:rFonts w:hint="eastAsia"/>
                <w:sz w:val="24"/>
              </w:rPr>
              <w:t>2</w:t>
            </w:r>
            <w:r>
              <w:rPr>
                <w:sz w:val="24"/>
              </w:rPr>
              <w:t>年4月5日，</w:t>
            </w:r>
            <w:r>
              <w:rPr>
                <w:rFonts w:hint="eastAsia"/>
                <w:color w:val="000000" w:themeColor="text1"/>
                <w:sz w:val="24"/>
                <w14:textFill>
                  <w14:solidFill>
                    <w14:schemeClr w14:val="tx1"/>
                  </w14:solidFill>
                </w14:textFill>
              </w:rPr>
              <w:t>盂县西潘乡石鑫大理石矿名称变更为</w:t>
            </w:r>
            <w:r>
              <w:rPr>
                <w:rFonts w:hint="eastAsia"/>
                <w:sz w:val="24"/>
              </w:rPr>
              <w:t>盂县石鑫矿业有限公司。目前，该矿山形成一处露天采场。</w:t>
            </w:r>
          </w:p>
          <w:p w14:paraId="24771536">
            <w:pPr>
              <w:keepNext w:val="0"/>
              <w:keepLines w:val="0"/>
              <w:pageBreakBefore w:val="0"/>
              <w:widowControl/>
              <w:kinsoku/>
              <w:wordWrap/>
              <w:overflowPunct/>
              <w:topLinePunct w:val="0"/>
              <w:autoSpaceDE/>
              <w:autoSpaceDN/>
              <w:bidi w:val="0"/>
              <w:spacing w:line="450" w:lineRule="exact"/>
              <w:ind w:firstLine="480" w:firstLineChars="200"/>
              <w:textAlignment w:val="auto"/>
              <w:rPr>
                <w:sz w:val="24"/>
              </w:rPr>
            </w:pPr>
            <w:r>
              <w:rPr>
                <w:rFonts w:hint="eastAsia"/>
                <w:sz w:val="24"/>
              </w:rPr>
              <w:t>2022年5月10日，阳泉市人民政府以“阳政办发〔2022〕35号”下发了《关于印发阳泉市非煤矿山整合实施意见的通知》，通知中要求依据“提升壮大一批、规范充重组一批、出清淘汰一批、源头管控一批”思路对市级108座发证非煤矿山进行整合。2022年12月30日，阳泉市人民政府办公室下发了《阳泉市人民政府办公室关于县（区）非煤矿山整合实施方案的批复》（阳政办函〔2022〕188号），整合区由盂县石鑫矿业有限公司与盂县西潘乡鑫盛石矿整合而成，整合区名称为盂县宋庄村一带整合开采区（一），盂县石鑫矿业有限公司于2023年7月竞得该采矿权。</w:t>
            </w:r>
            <w:r>
              <w:rPr>
                <w:rFonts w:hint="eastAsia" w:ascii="宋体" w:hAnsi="宋体"/>
                <w:sz w:val="24"/>
              </w:rPr>
              <w:t>整合完成后矿区总面积为</w:t>
            </w:r>
            <w:r>
              <w:rPr>
                <w:rFonts w:hint="eastAsia"/>
                <w:sz w:val="24"/>
              </w:rPr>
              <w:t>0.2046</w:t>
            </w:r>
            <w:r>
              <w:rPr>
                <w:sz w:val="24"/>
              </w:rPr>
              <w:t>km</w:t>
            </w:r>
            <w:r>
              <w:rPr>
                <w:sz w:val="24"/>
                <w:vertAlign w:val="superscript"/>
              </w:rPr>
              <w:t>2</w:t>
            </w:r>
            <w:r>
              <w:rPr>
                <w:sz w:val="24"/>
              </w:rPr>
              <w:t>，</w:t>
            </w:r>
            <w:r>
              <w:rPr>
                <w:rFonts w:hint="eastAsia"/>
                <w:sz w:val="24"/>
              </w:rPr>
              <w:t>开采矿种为饰面用花岗岩，</w:t>
            </w:r>
            <w:r>
              <w:rPr>
                <w:sz w:val="24"/>
              </w:rPr>
              <w:t>矿山服务年限为</w:t>
            </w:r>
            <w:r>
              <w:rPr>
                <w:rFonts w:hint="eastAsia"/>
                <w:sz w:val="24"/>
              </w:rPr>
              <w:t>14.46</w:t>
            </w:r>
            <w:r>
              <w:rPr>
                <w:sz w:val="24"/>
              </w:rPr>
              <w:t>年，考虑1年复垦时间，监测与管护年限为3年，确定矿山环境保护与土地复垦方案的适用年限为</w:t>
            </w:r>
            <w:r>
              <w:rPr>
                <w:rFonts w:hint="eastAsia"/>
                <w:sz w:val="24"/>
              </w:rPr>
              <w:t>18.46</w:t>
            </w:r>
            <w:r>
              <w:rPr>
                <w:sz w:val="24"/>
              </w:rPr>
              <w:t>年</w:t>
            </w:r>
            <w:r>
              <w:rPr>
                <w:rFonts w:hint="eastAsia" w:ascii="宋体" w:hAnsi="宋体"/>
                <w:sz w:val="24"/>
              </w:rPr>
              <w:t>。</w:t>
            </w:r>
            <w:r>
              <w:rPr>
                <w:sz w:val="24"/>
              </w:rPr>
              <w:t>202</w:t>
            </w:r>
            <w:r>
              <w:rPr>
                <w:rFonts w:hint="eastAsia"/>
                <w:sz w:val="24"/>
              </w:rPr>
              <w:t>5</w:t>
            </w:r>
            <w:r>
              <w:rPr>
                <w:sz w:val="24"/>
              </w:rPr>
              <w:t>年</w:t>
            </w:r>
            <w:r>
              <w:rPr>
                <w:rFonts w:hint="eastAsia"/>
                <w:sz w:val="24"/>
              </w:rPr>
              <w:t>8</w:t>
            </w:r>
            <w:r>
              <w:rPr>
                <w:sz w:val="24"/>
              </w:rPr>
              <w:t>月，</w:t>
            </w:r>
            <w:r>
              <w:rPr>
                <w:rFonts w:hint="eastAsia"/>
                <w:sz w:val="24"/>
              </w:rPr>
              <w:t>建设单位</w:t>
            </w:r>
            <w:r>
              <w:rPr>
                <w:sz w:val="24"/>
              </w:rPr>
              <w:t>委托中晋环境科技有限公司编制完成了《</w:t>
            </w:r>
            <w:r>
              <w:rPr>
                <w:rFonts w:hint="eastAsia"/>
                <w:sz w:val="24"/>
              </w:rPr>
              <w:t>山西省盂县石鑫矿业有限公司饰面用花岗岩矿资源开发利用和矿山环境保护与土地复垦方案</w:t>
            </w:r>
            <w:r>
              <w:rPr>
                <w:sz w:val="24"/>
              </w:rPr>
              <w:t>》，202</w:t>
            </w:r>
            <w:r>
              <w:rPr>
                <w:rFonts w:hint="eastAsia"/>
                <w:sz w:val="24"/>
              </w:rPr>
              <w:t>5</w:t>
            </w:r>
            <w:r>
              <w:rPr>
                <w:sz w:val="24"/>
              </w:rPr>
              <w:t>年</w:t>
            </w:r>
            <w:r>
              <w:rPr>
                <w:rFonts w:hint="eastAsia"/>
                <w:sz w:val="24"/>
              </w:rPr>
              <w:t>9</w:t>
            </w:r>
            <w:r>
              <w:rPr>
                <w:sz w:val="24"/>
              </w:rPr>
              <w:t>月</w:t>
            </w:r>
            <w:r>
              <w:rPr>
                <w:rFonts w:hint="eastAsia"/>
                <w:sz w:val="24"/>
              </w:rPr>
              <w:t>2</w:t>
            </w:r>
            <w:r>
              <w:rPr>
                <w:sz w:val="24"/>
              </w:rPr>
              <w:t>日，山西省矿业联合会以“</w:t>
            </w:r>
            <w:r>
              <w:rPr>
                <w:rFonts w:hint="eastAsia"/>
                <w:sz w:val="24"/>
              </w:rPr>
              <w:t>晋矿联技审字〔2025〕163号</w:t>
            </w:r>
            <w:r>
              <w:rPr>
                <w:sz w:val="24"/>
              </w:rPr>
              <w:t>”对该项目下发了评审意见书。2024年</w:t>
            </w:r>
            <w:r>
              <w:rPr>
                <w:rFonts w:hint="eastAsia"/>
                <w:sz w:val="24"/>
              </w:rPr>
              <w:t>3</w:t>
            </w:r>
            <w:r>
              <w:rPr>
                <w:sz w:val="24"/>
              </w:rPr>
              <w:t>月</w:t>
            </w:r>
            <w:r>
              <w:rPr>
                <w:rFonts w:hint="eastAsia"/>
                <w:sz w:val="24"/>
              </w:rPr>
              <w:t>4</w:t>
            </w:r>
            <w:r>
              <w:rPr>
                <w:sz w:val="24"/>
              </w:rPr>
              <w:t>日，阳泉市规划和自然资源局下发了采矿许可证，采矿许可证证号：</w:t>
            </w:r>
            <w:r>
              <w:rPr>
                <w:rFonts w:hint="eastAsia"/>
                <w:sz w:val="24"/>
              </w:rPr>
              <w:t>XC1403002010047120060252</w:t>
            </w:r>
            <w:r>
              <w:rPr>
                <w:sz w:val="24"/>
              </w:rPr>
              <w:t>，许可开采矿种为</w:t>
            </w:r>
            <w:r>
              <w:rPr>
                <w:rFonts w:hint="eastAsia"/>
                <w:sz w:val="24"/>
              </w:rPr>
              <w:t>饰面用花岗岩</w:t>
            </w:r>
            <w:r>
              <w:rPr>
                <w:sz w:val="24"/>
              </w:rPr>
              <w:t>，开采方式为露天开采，矿区面积为</w:t>
            </w:r>
            <w:r>
              <w:rPr>
                <w:rFonts w:hint="eastAsia"/>
                <w:sz w:val="24"/>
              </w:rPr>
              <w:t>0.2046</w:t>
            </w:r>
            <w:r>
              <w:rPr>
                <w:sz w:val="24"/>
              </w:rPr>
              <w:t>平方公里，有效期限自2024年</w:t>
            </w:r>
            <w:r>
              <w:rPr>
                <w:rFonts w:hint="eastAsia"/>
                <w:sz w:val="24"/>
              </w:rPr>
              <w:t>3</w:t>
            </w:r>
            <w:r>
              <w:rPr>
                <w:sz w:val="24"/>
              </w:rPr>
              <w:t>月</w:t>
            </w:r>
            <w:r>
              <w:rPr>
                <w:rFonts w:hint="eastAsia"/>
                <w:sz w:val="24"/>
              </w:rPr>
              <w:t>4</w:t>
            </w:r>
            <w:r>
              <w:rPr>
                <w:sz w:val="24"/>
              </w:rPr>
              <w:t>日至202</w:t>
            </w:r>
            <w:r>
              <w:rPr>
                <w:rFonts w:hint="eastAsia"/>
                <w:sz w:val="24"/>
              </w:rPr>
              <w:t>7</w:t>
            </w:r>
            <w:r>
              <w:rPr>
                <w:sz w:val="24"/>
              </w:rPr>
              <w:t>年</w:t>
            </w:r>
            <w:r>
              <w:rPr>
                <w:rFonts w:hint="eastAsia"/>
                <w:sz w:val="24"/>
              </w:rPr>
              <w:t>9</w:t>
            </w:r>
            <w:r>
              <w:rPr>
                <w:sz w:val="24"/>
              </w:rPr>
              <w:t>月</w:t>
            </w:r>
            <w:r>
              <w:rPr>
                <w:rFonts w:hint="eastAsia"/>
                <w:sz w:val="24"/>
              </w:rPr>
              <w:t>25</w:t>
            </w:r>
            <w:r>
              <w:rPr>
                <w:sz w:val="24"/>
              </w:rPr>
              <w:t>日，开采深度由</w:t>
            </w:r>
            <w:r>
              <w:rPr>
                <w:rFonts w:hint="eastAsia"/>
                <w:sz w:val="24"/>
              </w:rPr>
              <w:t>1156</w:t>
            </w:r>
            <w:r>
              <w:rPr>
                <w:sz w:val="24"/>
              </w:rPr>
              <w:t>m至</w:t>
            </w:r>
            <w:r>
              <w:rPr>
                <w:rFonts w:hint="eastAsia"/>
                <w:sz w:val="24"/>
              </w:rPr>
              <w:t>970</w:t>
            </w:r>
            <w:r>
              <w:rPr>
                <w:sz w:val="24"/>
              </w:rPr>
              <w:t>m标高，</w:t>
            </w:r>
            <w:r>
              <w:rPr>
                <w:rFonts w:hint="eastAsia"/>
                <w:sz w:val="24"/>
              </w:rPr>
              <w:t>矿区范围</w:t>
            </w:r>
            <w:r>
              <w:rPr>
                <w:sz w:val="24"/>
              </w:rPr>
              <w:t>共由</w:t>
            </w:r>
            <w:r>
              <w:rPr>
                <w:rFonts w:hint="eastAsia"/>
                <w:sz w:val="24"/>
              </w:rPr>
              <w:t>14</w:t>
            </w:r>
            <w:r>
              <w:rPr>
                <w:sz w:val="24"/>
              </w:rPr>
              <w:t>个拐点圈定。202</w:t>
            </w:r>
            <w:r>
              <w:rPr>
                <w:rFonts w:hint="eastAsia"/>
                <w:sz w:val="24"/>
              </w:rPr>
              <w:t>5</w:t>
            </w:r>
            <w:r>
              <w:rPr>
                <w:sz w:val="24"/>
              </w:rPr>
              <w:t>年</w:t>
            </w:r>
            <w:r>
              <w:rPr>
                <w:rFonts w:hint="eastAsia"/>
                <w:sz w:val="24"/>
              </w:rPr>
              <w:t>10</w:t>
            </w:r>
            <w:r>
              <w:rPr>
                <w:sz w:val="24"/>
              </w:rPr>
              <w:t>月</w:t>
            </w:r>
            <w:r>
              <w:rPr>
                <w:rFonts w:hint="eastAsia"/>
                <w:sz w:val="24"/>
              </w:rPr>
              <w:t>20</w:t>
            </w:r>
            <w:r>
              <w:rPr>
                <w:sz w:val="24"/>
              </w:rPr>
              <w:t>日，</w:t>
            </w:r>
            <w:r>
              <w:rPr>
                <w:rFonts w:hint="eastAsia"/>
                <w:sz w:val="24"/>
              </w:rPr>
              <w:t>盂县</w:t>
            </w:r>
            <w:r>
              <w:rPr>
                <w:sz w:val="24"/>
              </w:rPr>
              <w:t>行政审批服务管理局对本项目下发了山西省企业投资项目备案证，项目代码：</w:t>
            </w:r>
            <w:r>
              <w:rPr>
                <w:rFonts w:hint="eastAsia"/>
                <w:sz w:val="24"/>
              </w:rPr>
              <w:t>2510-140322-89-05-495851</w:t>
            </w:r>
            <w:r>
              <w:rPr>
                <w:sz w:val="24"/>
              </w:rPr>
              <w:t>。</w:t>
            </w:r>
          </w:p>
          <w:p w14:paraId="3C2A6170">
            <w:pPr>
              <w:pStyle w:val="2"/>
              <w:keepNext w:val="0"/>
              <w:keepLines w:val="0"/>
              <w:pageBreakBefore w:val="0"/>
              <w:kinsoku/>
              <w:wordWrap/>
              <w:overflowPunct/>
              <w:topLinePunct w:val="0"/>
              <w:autoSpaceDE/>
              <w:autoSpaceDN/>
              <w:bidi w:val="0"/>
              <w:spacing w:after="0" w:line="450" w:lineRule="exact"/>
              <w:ind w:left="0" w:leftChars="0" w:firstLine="480" w:firstLineChars="200"/>
              <w:textAlignment w:val="auto"/>
              <w:rPr>
                <w:sz w:val="24"/>
              </w:rPr>
            </w:pPr>
            <w:r>
              <w:rPr>
                <w:rFonts w:hint="eastAsia"/>
                <w:sz w:val="24"/>
              </w:rPr>
              <w:t>本次评价工程范围及空间范围包括：矿界内采场、运矿道路、排土场、新增空白资源区等，矿界外新建运矿道路，矿界周边已破坏区等。</w:t>
            </w:r>
          </w:p>
          <w:p w14:paraId="71A554A8">
            <w:pPr>
              <w:pStyle w:val="2"/>
              <w:keepNext w:val="0"/>
              <w:keepLines w:val="0"/>
              <w:pageBreakBefore w:val="0"/>
              <w:kinsoku/>
              <w:wordWrap/>
              <w:overflowPunct/>
              <w:topLinePunct w:val="0"/>
              <w:autoSpaceDE/>
              <w:autoSpaceDN/>
              <w:bidi w:val="0"/>
              <w:spacing w:after="0" w:line="450" w:lineRule="exact"/>
              <w:ind w:left="0" w:leftChars="0" w:firstLine="480" w:firstLineChars="200"/>
              <w:textAlignment w:val="auto"/>
            </w:pPr>
            <w:r>
              <w:rPr>
                <w:rFonts w:hint="eastAsia"/>
                <w:sz w:val="24"/>
              </w:rPr>
              <w:t>本项目配套工业场地已单独立项，建设单位另行委托评价，本次评价不涉及。</w:t>
            </w:r>
          </w:p>
          <w:p w14:paraId="4D178AE8">
            <w:pPr>
              <w:keepNext w:val="0"/>
              <w:keepLines w:val="0"/>
              <w:pageBreakBefore w:val="0"/>
              <w:kinsoku/>
              <w:wordWrap/>
              <w:overflowPunct/>
              <w:topLinePunct w:val="0"/>
              <w:autoSpaceDE/>
              <w:autoSpaceDN/>
              <w:bidi w:val="0"/>
              <w:adjustRightInd w:val="0"/>
              <w:snapToGrid w:val="0"/>
              <w:spacing w:line="450" w:lineRule="exact"/>
              <w:ind w:firstLine="482" w:firstLineChars="200"/>
              <w:textAlignment w:val="auto"/>
              <w:rPr>
                <w:b/>
                <w:bCs/>
                <w:sz w:val="24"/>
              </w:rPr>
            </w:pPr>
            <w:r>
              <w:rPr>
                <w:rFonts w:hint="eastAsia"/>
                <w:b/>
                <w:bCs/>
                <w:sz w:val="24"/>
              </w:rPr>
              <w:t>2.主要建设内容</w:t>
            </w:r>
          </w:p>
          <w:p w14:paraId="5DFE2FB9">
            <w:pPr>
              <w:keepNext w:val="0"/>
              <w:keepLines w:val="0"/>
              <w:pageBreakBefore w:val="0"/>
              <w:kinsoku/>
              <w:wordWrap/>
              <w:overflowPunct/>
              <w:topLinePunct w:val="0"/>
              <w:autoSpaceDE/>
              <w:autoSpaceDN/>
              <w:bidi w:val="0"/>
              <w:adjustRightInd w:val="0"/>
              <w:snapToGrid w:val="0"/>
              <w:spacing w:line="450" w:lineRule="exact"/>
              <w:ind w:firstLine="480" w:firstLineChars="200"/>
              <w:textAlignment w:val="auto"/>
            </w:pPr>
            <w:r>
              <w:rPr>
                <w:rFonts w:hint="eastAsia"/>
                <w:kern w:val="0"/>
                <w:sz w:val="24"/>
              </w:rPr>
              <w:t>本项目采场、排土场及运矿道路等</w:t>
            </w:r>
            <w:r>
              <w:rPr>
                <w:kern w:val="0"/>
                <w:sz w:val="24"/>
              </w:rPr>
              <w:t>主要建设内容一览表见</w:t>
            </w:r>
            <w:r>
              <w:rPr>
                <w:rFonts w:hint="eastAsia"/>
                <w:sz w:val="24"/>
              </w:rPr>
              <w:t>下表</w:t>
            </w:r>
            <w:r>
              <w:rPr>
                <w:sz w:val="24"/>
              </w:rPr>
              <w:t>。</w:t>
            </w:r>
          </w:p>
        </w:tc>
      </w:tr>
    </w:tbl>
    <w:p w14:paraId="5894F496">
      <w:pPr>
        <w:pStyle w:val="5"/>
        <w:spacing w:before="0" w:after="0" w:line="480" w:lineRule="exact"/>
        <w:ind w:right="0"/>
        <w:jc w:val="center"/>
        <w:rPr>
          <w:rFonts w:ascii="宋体" w:hAnsi="宋体" w:cs="宋体"/>
          <w:sz w:val="21"/>
          <w:szCs w:val="21"/>
          <w:lang w:bidi="ar"/>
        </w:rPr>
        <w:sectPr>
          <w:pgSz w:w="11906" w:h="16838"/>
          <w:pgMar w:top="1440" w:right="1800" w:bottom="1440" w:left="1800" w:header="851" w:footer="1077" w:gutter="0"/>
          <w:cols w:space="720" w:num="1"/>
          <w:docGrid w:linePitch="312" w:charSpace="0"/>
        </w:sectPr>
      </w:pPr>
    </w:p>
    <w:p w14:paraId="56C9C1F7">
      <w:pPr>
        <w:pStyle w:val="5"/>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color w:val="FF0000"/>
          <w:sz w:val="24"/>
          <w:szCs w:val="24"/>
        </w:rPr>
      </w:pPr>
      <w:r>
        <w:rPr>
          <w:rFonts w:hint="eastAsia" w:ascii="宋体" w:hAnsi="宋体" w:cs="宋体"/>
          <w:sz w:val="21"/>
          <w:szCs w:val="21"/>
          <w:lang w:bidi="ar"/>
        </w:rPr>
        <w:t>表</w:t>
      </w:r>
      <w:r>
        <w:rPr>
          <w:sz w:val="21"/>
          <w:szCs w:val="21"/>
          <w:lang w:bidi="ar"/>
        </w:rPr>
        <w:t>2-</w:t>
      </w:r>
      <w:r>
        <w:rPr>
          <w:rFonts w:hint="eastAsia"/>
          <w:sz w:val="21"/>
          <w:szCs w:val="21"/>
          <w:lang w:bidi="ar"/>
        </w:rPr>
        <w:t>2</w:t>
      </w:r>
      <w:r>
        <w:rPr>
          <w:rFonts w:hint="eastAsia" w:ascii="宋体" w:hAnsi="宋体" w:cs="宋体"/>
          <w:sz w:val="21"/>
          <w:szCs w:val="21"/>
          <w:lang w:bidi="ar"/>
        </w:rPr>
        <w:t xml:space="preserve"> 建设工程内容一览表</w:t>
      </w:r>
    </w:p>
    <w:tbl>
      <w:tblPr>
        <w:tblStyle w:val="30"/>
        <w:tblW w:w="495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1"/>
        <w:gridCol w:w="737"/>
        <w:gridCol w:w="928"/>
        <w:gridCol w:w="1209"/>
        <w:gridCol w:w="3200"/>
        <w:gridCol w:w="4665"/>
        <w:gridCol w:w="2495"/>
      </w:tblGrid>
      <w:tr w14:paraId="07D5A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14" w:type="pct"/>
            <w:gridSpan w:val="4"/>
            <w:vAlign w:val="center"/>
          </w:tcPr>
          <w:p w14:paraId="30A4566F">
            <w:pPr>
              <w:pStyle w:val="70"/>
              <w:rPr>
                <w:color w:val="auto"/>
              </w:rPr>
            </w:pPr>
            <w:r>
              <w:rPr>
                <w:rFonts w:hint="eastAsia"/>
                <w:color w:val="auto"/>
              </w:rPr>
              <w:t>项目</w:t>
            </w:r>
          </w:p>
        </w:tc>
        <w:tc>
          <w:tcPr>
            <w:tcW w:w="1138" w:type="pct"/>
            <w:vAlign w:val="center"/>
          </w:tcPr>
          <w:p w14:paraId="07204EE6">
            <w:pPr>
              <w:jc w:val="center"/>
              <w:rPr>
                <w:color w:val="auto"/>
                <w:szCs w:val="21"/>
              </w:rPr>
            </w:pPr>
            <w:r>
              <w:rPr>
                <w:rFonts w:hint="eastAsia"/>
                <w:color w:val="auto"/>
                <w:szCs w:val="21"/>
              </w:rPr>
              <w:t>现有工程情况</w:t>
            </w:r>
          </w:p>
        </w:tc>
        <w:tc>
          <w:tcPr>
            <w:tcW w:w="1659" w:type="pct"/>
            <w:vAlign w:val="center"/>
          </w:tcPr>
          <w:p w14:paraId="6296F70E">
            <w:pPr>
              <w:jc w:val="center"/>
              <w:rPr>
                <w:color w:val="auto"/>
                <w:szCs w:val="21"/>
              </w:rPr>
            </w:pPr>
            <w:r>
              <w:rPr>
                <w:rFonts w:hint="eastAsia"/>
                <w:color w:val="auto"/>
                <w:szCs w:val="21"/>
              </w:rPr>
              <w:t>本次工程情况</w:t>
            </w:r>
          </w:p>
        </w:tc>
        <w:tc>
          <w:tcPr>
            <w:tcW w:w="887" w:type="pct"/>
            <w:vAlign w:val="center"/>
          </w:tcPr>
          <w:p w14:paraId="13E06F38">
            <w:pPr>
              <w:jc w:val="center"/>
              <w:rPr>
                <w:color w:val="auto"/>
                <w:szCs w:val="21"/>
              </w:rPr>
            </w:pPr>
            <w:r>
              <w:rPr>
                <w:rFonts w:hint="eastAsia"/>
                <w:color w:val="auto"/>
                <w:szCs w:val="21"/>
              </w:rPr>
              <w:t>衔接关系</w:t>
            </w:r>
          </w:p>
        </w:tc>
      </w:tr>
      <w:tr w14:paraId="715FF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6" w:hRule="atLeast"/>
        </w:trPr>
        <w:tc>
          <w:tcPr>
            <w:tcW w:w="292" w:type="pct"/>
            <w:vAlign w:val="center"/>
          </w:tcPr>
          <w:p w14:paraId="72CBAABC">
            <w:pPr>
              <w:ind w:left="-105" w:leftChars="-50" w:right="-105" w:rightChars="-50"/>
              <w:jc w:val="center"/>
              <w:rPr>
                <w:color w:val="auto"/>
                <w:szCs w:val="21"/>
              </w:rPr>
            </w:pPr>
            <w:r>
              <w:rPr>
                <w:rFonts w:hint="eastAsia"/>
                <w:color w:val="auto"/>
                <w:szCs w:val="21"/>
              </w:rPr>
              <w:t>主体</w:t>
            </w:r>
          </w:p>
          <w:p w14:paraId="20122CE6">
            <w:pPr>
              <w:ind w:left="-105" w:leftChars="-50" w:right="-105" w:rightChars="-50"/>
              <w:jc w:val="center"/>
              <w:rPr>
                <w:color w:val="auto"/>
                <w:szCs w:val="21"/>
              </w:rPr>
            </w:pPr>
            <w:r>
              <w:rPr>
                <w:rFonts w:hint="eastAsia"/>
                <w:color w:val="auto"/>
                <w:szCs w:val="21"/>
              </w:rPr>
              <w:t>工程</w:t>
            </w:r>
          </w:p>
        </w:tc>
        <w:tc>
          <w:tcPr>
            <w:tcW w:w="1022" w:type="pct"/>
            <w:gridSpan w:val="3"/>
            <w:vAlign w:val="center"/>
          </w:tcPr>
          <w:p w14:paraId="2034EC57">
            <w:pPr>
              <w:jc w:val="center"/>
              <w:rPr>
                <w:color w:val="auto"/>
                <w:szCs w:val="21"/>
                <w:highlight w:val="red"/>
              </w:rPr>
            </w:pPr>
            <w:r>
              <w:rPr>
                <w:rFonts w:hint="eastAsia"/>
                <w:color w:val="auto"/>
                <w:szCs w:val="21"/>
              </w:rPr>
              <w:t>露天采场</w:t>
            </w:r>
          </w:p>
        </w:tc>
        <w:tc>
          <w:tcPr>
            <w:tcW w:w="1138" w:type="pct"/>
            <w:vAlign w:val="center"/>
          </w:tcPr>
          <w:p w14:paraId="7BB64092">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eastAsia"/>
                <w:color w:val="auto"/>
                <w:szCs w:val="21"/>
              </w:rPr>
            </w:pPr>
            <w:r>
              <w:rPr>
                <w:rFonts w:hint="eastAsia"/>
                <w:color w:val="auto"/>
                <w:szCs w:val="21"/>
              </w:rPr>
              <w:t>矿区面积为</w:t>
            </w:r>
            <w:r>
              <w:rPr>
                <w:color w:val="auto"/>
                <w:szCs w:val="21"/>
              </w:rPr>
              <w:t>0.1245</w:t>
            </w:r>
            <w:r>
              <w:rPr>
                <w:rFonts w:hint="eastAsia"/>
                <w:color w:val="auto"/>
                <w:szCs w:val="21"/>
              </w:rPr>
              <w:t>km</w:t>
            </w:r>
            <w:r>
              <w:rPr>
                <w:rFonts w:hint="eastAsia"/>
                <w:color w:val="auto"/>
                <w:szCs w:val="21"/>
                <w:vertAlign w:val="superscript"/>
              </w:rPr>
              <w:t>2</w:t>
            </w:r>
            <w:r>
              <w:rPr>
                <w:rFonts w:hint="eastAsia"/>
                <w:color w:val="auto"/>
                <w:szCs w:val="21"/>
              </w:rPr>
              <w:t>，开采规模为0.05万m</w:t>
            </w:r>
            <w:r>
              <w:rPr>
                <w:rFonts w:hint="eastAsia"/>
                <w:color w:val="auto"/>
                <w:szCs w:val="21"/>
                <w:vertAlign w:val="superscript"/>
              </w:rPr>
              <w:t>3</w:t>
            </w:r>
            <w:r>
              <w:rPr>
                <w:rFonts w:hint="eastAsia"/>
                <w:color w:val="auto"/>
                <w:szCs w:val="21"/>
              </w:rPr>
              <w:t>，开采方式为露天开采，开采要素：采用组合台阶水平分层开采，台阶高度5m，剥离台阶坡面角70°，工作台阶坡面角90°，</w:t>
            </w:r>
          </w:p>
          <w:p w14:paraId="58810EA5">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color w:val="auto"/>
                <w:szCs w:val="21"/>
                <w:highlight w:val="red"/>
              </w:rPr>
            </w:pPr>
            <w:r>
              <w:rPr>
                <w:rFonts w:hint="eastAsia"/>
                <w:color w:val="auto"/>
                <w:szCs w:val="21"/>
              </w:rPr>
              <w:t>工作线长度60m。</w:t>
            </w:r>
          </w:p>
        </w:tc>
        <w:tc>
          <w:tcPr>
            <w:tcW w:w="1659" w:type="pct"/>
            <w:vAlign w:val="center"/>
          </w:tcPr>
          <w:p w14:paraId="721854DE">
            <w:pPr>
              <w:jc w:val="center"/>
              <w:rPr>
                <w:color w:val="auto"/>
                <w:szCs w:val="21"/>
                <w:highlight w:val="red"/>
              </w:rPr>
            </w:pPr>
            <w:r>
              <w:rPr>
                <w:rFonts w:hint="eastAsia"/>
                <w:color w:val="auto"/>
                <w:szCs w:val="21"/>
              </w:rPr>
              <w:t>面积0.</w:t>
            </w:r>
            <w:r>
              <w:rPr>
                <w:color w:val="auto"/>
                <w:szCs w:val="21"/>
              </w:rPr>
              <w:t>2046</w:t>
            </w:r>
            <w:r>
              <w:rPr>
                <w:rFonts w:hint="eastAsia"/>
                <w:color w:val="auto"/>
                <w:szCs w:val="21"/>
              </w:rPr>
              <w:t>km</w:t>
            </w:r>
            <w:r>
              <w:rPr>
                <w:rFonts w:hint="eastAsia"/>
                <w:color w:val="auto"/>
                <w:szCs w:val="21"/>
                <w:vertAlign w:val="superscript"/>
              </w:rPr>
              <w:t>2</w:t>
            </w:r>
            <w:r>
              <w:rPr>
                <w:rFonts w:hint="eastAsia"/>
                <w:color w:val="auto"/>
                <w:szCs w:val="21"/>
              </w:rPr>
              <w:t>，设计资源储量为</w:t>
            </w:r>
            <w:r>
              <w:rPr>
                <w:color w:val="auto"/>
                <w:sz w:val="21"/>
                <w:szCs w:val="21"/>
              </w:rPr>
              <w:t>29.49</w:t>
            </w:r>
            <w:r>
              <w:rPr>
                <w:rFonts w:hint="eastAsia"/>
                <w:color w:val="auto"/>
                <w:szCs w:val="21"/>
              </w:rPr>
              <w:t>万m</w:t>
            </w:r>
            <w:r>
              <w:rPr>
                <w:rFonts w:hint="eastAsia"/>
                <w:color w:val="auto"/>
                <w:szCs w:val="21"/>
                <w:vertAlign w:val="superscript"/>
              </w:rPr>
              <w:t>3</w:t>
            </w:r>
            <w:r>
              <w:rPr>
                <w:rFonts w:hint="eastAsia"/>
                <w:color w:val="auto"/>
                <w:szCs w:val="21"/>
              </w:rPr>
              <w:t>，可采资源量为</w:t>
            </w:r>
            <w:r>
              <w:rPr>
                <w:color w:val="auto"/>
                <w:szCs w:val="21"/>
              </w:rPr>
              <w:t>28.02</w:t>
            </w:r>
            <w:r>
              <w:rPr>
                <w:rFonts w:hint="eastAsia"/>
                <w:color w:val="auto"/>
                <w:szCs w:val="21"/>
              </w:rPr>
              <w:t>万m</w:t>
            </w:r>
            <w:r>
              <w:rPr>
                <w:rFonts w:hint="eastAsia"/>
                <w:color w:val="auto"/>
                <w:szCs w:val="21"/>
                <w:vertAlign w:val="superscript"/>
              </w:rPr>
              <w:t>3</w:t>
            </w:r>
            <w:r>
              <w:rPr>
                <w:rFonts w:hint="eastAsia"/>
                <w:color w:val="auto"/>
                <w:szCs w:val="21"/>
              </w:rPr>
              <w:t>，开采规模为2万m</w:t>
            </w:r>
            <w:r>
              <w:rPr>
                <w:rFonts w:hint="eastAsia"/>
                <w:color w:val="auto"/>
                <w:szCs w:val="21"/>
                <w:vertAlign w:val="superscript"/>
              </w:rPr>
              <w:t>3</w:t>
            </w:r>
            <w:r>
              <w:rPr>
                <w:rFonts w:hint="eastAsia"/>
                <w:color w:val="auto"/>
                <w:szCs w:val="21"/>
              </w:rPr>
              <w:t>，服务年限为</w:t>
            </w:r>
            <w:r>
              <w:rPr>
                <w:color w:val="auto"/>
                <w:szCs w:val="21"/>
              </w:rPr>
              <w:t>14.46</w:t>
            </w:r>
            <w:r>
              <w:rPr>
                <w:rFonts w:hint="eastAsia"/>
                <w:color w:val="auto"/>
                <w:szCs w:val="21"/>
              </w:rPr>
              <w:t>年，开采方式为露天开采，开采矿种为饰面用花岗岩，开采标高为</w:t>
            </w:r>
            <w:r>
              <w:rPr>
                <w:color w:val="auto"/>
                <w:szCs w:val="21"/>
              </w:rPr>
              <w:t>1156</w:t>
            </w:r>
            <w:r>
              <w:rPr>
                <w:rFonts w:hint="eastAsia"/>
                <w:color w:val="auto"/>
                <w:szCs w:val="21"/>
              </w:rPr>
              <w:t>m至</w:t>
            </w:r>
            <w:r>
              <w:rPr>
                <w:color w:val="auto"/>
                <w:szCs w:val="21"/>
              </w:rPr>
              <w:t>970</w:t>
            </w:r>
            <w:r>
              <w:rPr>
                <w:rFonts w:hint="eastAsia"/>
                <w:color w:val="auto"/>
                <w:szCs w:val="21"/>
              </w:rPr>
              <w:t>m。1075m、1060m、1045m、1030m、1015m、1000m、985m、970m八个终了阶段。</w:t>
            </w:r>
          </w:p>
        </w:tc>
        <w:tc>
          <w:tcPr>
            <w:tcW w:w="887" w:type="pct"/>
            <w:vAlign w:val="center"/>
          </w:tcPr>
          <w:p w14:paraId="4B87E483">
            <w:pPr>
              <w:jc w:val="center"/>
              <w:rPr>
                <w:color w:val="auto"/>
                <w:szCs w:val="21"/>
                <w:highlight w:val="red"/>
              </w:rPr>
            </w:pPr>
            <w:r>
              <w:rPr>
                <w:rFonts w:hint="eastAsia"/>
                <w:color w:val="auto"/>
                <w:szCs w:val="21"/>
              </w:rPr>
              <w:t>矿区面积由</w:t>
            </w:r>
            <w:r>
              <w:rPr>
                <w:color w:val="auto"/>
                <w:szCs w:val="21"/>
              </w:rPr>
              <w:t>0.1245</w:t>
            </w:r>
            <w:r>
              <w:rPr>
                <w:rFonts w:hint="eastAsia"/>
                <w:color w:val="auto"/>
                <w:szCs w:val="21"/>
              </w:rPr>
              <w:t>km</w:t>
            </w:r>
            <w:r>
              <w:rPr>
                <w:rFonts w:hint="eastAsia"/>
                <w:color w:val="auto"/>
                <w:szCs w:val="21"/>
                <w:vertAlign w:val="superscript"/>
              </w:rPr>
              <w:t>2</w:t>
            </w:r>
            <w:r>
              <w:rPr>
                <w:rFonts w:hint="eastAsia"/>
                <w:color w:val="auto"/>
                <w:szCs w:val="21"/>
              </w:rPr>
              <w:t>，扩大至0.</w:t>
            </w:r>
            <w:r>
              <w:rPr>
                <w:color w:val="auto"/>
                <w:szCs w:val="21"/>
              </w:rPr>
              <w:t>2046</w:t>
            </w:r>
            <w:r>
              <w:rPr>
                <w:rFonts w:hint="eastAsia"/>
                <w:color w:val="auto"/>
                <w:szCs w:val="21"/>
              </w:rPr>
              <w:t>km</w:t>
            </w:r>
            <w:r>
              <w:rPr>
                <w:rFonts w:hint="eastAsia"/>
                <w:color w:val="auto"/>
                <w:szCs w:val="21"/>
                <w:vertAlign w:val="superscript"/>
              </w:rPr>
              <w:t>2</w:t>
            </w:r>
            <w:r>
              <w:rPr>
                <w:rFonts w:hint="eastAsia"/>
                <w:color w:val="auto"/>
                <w:szCs w:val="21"/>
              </w:rPr>
              <w:t>，开采规模、开采方式不发生变化</w:t>
            </w:r>
          </w:p>
        </w:tc>
      </w:tr>
      <w:tr w14:paraId="7D4C3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92" w:type="pct"/>
            <w:vAlign w:val="center"/>
          </w:tcPr>
          <w:p w14:paraId="049C5FD6">
            <w:pPr>
              <w:ind w:left="-105" w:leftChars="-50" w:right="-105" w:rightChars="-50"/>
              <w:jc w:val="center"/>
              <w:rPr>
                <w:color w:val="auto"/>
                <w:szCs w:val="21"/>
              </w:rPr>
            </w:pPr>
            <w:r>
              <w:rPr>
                <w:rFonts w:hint="eastAsia"/>
                <w:color w:val="auto"/>
                <w:szCs w:val="21"/>
              </w:rPr>
              <w:t>储运</w:t>
            </w:r>
          </w:p>
          <w:p w14:paraId="529396C9">
            <w:pPr>
              <w:ind w:left="-105" w:leftChars="-50" w:right="-105" w:rightChars="-50"/>
              <w:jc w:val="center"/>
              <w:rPr>
                <w:color w:val="auto"/>
                <w:szCs w:val="21"/>
              </w:rPr>
            </w:pPr>
            <w:r>
              <w:rPr>
                <w:rFonts w:hint="eastAsia"/>
                <w:color w:val="auto"/>
                <w:szCs w:val="21"/>
              </w:rPr>
              <w:t>工程</w:t>
            </w:r>
          </w:p>
        </w:tc>
        <w:tc>
          <w:tcPr>
            <w:tcW w:w="1022" w:type="pct"/>
            <w:gridSpan w:val="3"/>
            <w:vAlign w:val="center"/>
          </w:tcPr>
          <w:p w14:paraId="0F499F8B">
            <w:pPr>
              <w:jc w:val="center"/>
              <w:rPr>
                <w:color w:val="auto"/>
                <w:szCs w:val="21"/>
              </w:rPr>
            </w:pPr>
            <w:r>
              <w:rPr>
                <w:rFonts w:hint="eastAsia"/>
                <w:color w:val="auto"/>
                <w:szCs w:val="21"/>
              </w:rPr>
              <w:t>运矿</w:t>
            </w:r>
          </w:p>
          <w:p w14:paraId="741B6EF8">
            <w:pPr>
              <w:jc w:val="center"/>
              <w:rPr>
                <w:color w:val="auto"/>
                <w:szCs w:val="21"/>
                <w:highlight w:val="red"/>
              </w:rPr>
            </w:pPr>
            <w:r>
              <w:rPr>
                <w:rFonts w:hint="eastAsia"/>
                <w:color w:val="auto"/>
                <w:szCs w:val="21"/>
              </w:rPr>
              <w:t>道路</w:t>
            </w:r>
          </w:p>
        </w:tc>
        <w:tc>
          <w:tcPr>
            <w:tcW w:w="1138" w:type="pct"/>
            <w:vAlign w:val="center"/>
          </w:tcPr>
          <w:p w14:paraId="07F4C5F6">
            <w:pPr>
              <w:jc w:val="center"/>
              <w:rPr>
                <w:color w:val="auto"/>
                <w:szCs w:val="21"/>
                <w:highlight w:val="red"/>
              </w:rPr>
            </w:pPr>
            <w:r>
              <w:rPr>
                <w:rFonts w:hint="eastAsia"/>
                <w:color w:val="auto"/>
                <w:szCs w:val="21"/>
              </w:rPr>
              <w:t>道路长约3060m，宽度4.0～6.5m，占地面积13039m</w:t>
            </w:r>
            <w:r>
              <w:rPr>
                <w:rFonts w:hint="eastAsia"/>
                <w:color w:val="auto"/>
                <w:szCs w:val="21"/>
                <w:vertAlign w:val="superscript"/>
              </w:rPr>
              <w:t>2</w:t>
            </w:r>
            <w:r>
              <w:rPr>
                <w:rFonts w:hint="eastAsia"/>
                <w:color w:val="auto"/>
                <w:szCs w:val="21"/>
              </w:rPr>
              <w:t>，路面现状为素土路面。</w:t>
            </w:r>
          </w:p>
        </w:tc>
        <w:tc>
          <w:tcPr>
            <w:tcW w:w="1659" w:type="pct"/>
            <w:vAlign w:val="center"/>
          </w:tcPr>
          <w:p w14:paraId="1871E188">
            <w:pPr>
              <w:jc w:val="center"/>
              <w:rPr>
                <w:color w:val="auto"/>
                <w:szCs w:val="21"/>
                <w:highlight w:val="red"/>
              </w:rPr>
            </w:pPr>
            <w:r>
              <w:rPr>
                <w:rFonts w:hint="eastAsia"/>
                <w:color w:val="auto"/>
                <w:szCs w:val="21"/>
              </w:rPr>
              <w:t>利用现有道路长约3060m，宽度4.0～6.5m，占地面积13039m</w:t>
            </w:r>
            <w:r>
              <w:rPr>
                <w:rFonts w:hint="eastAsia"/>
                <w:color w:val="auto"/>
                <w:szCs w:val="21"/>
                <w:vertAlign w:val="superscript"/>
              </w:rPr>
              <w:t>2</w:t>
            </w:r>
            <w:r>
              <w:rPr>
                <w:rFonts w:hint="eastAsia"/>
                <w:color w:val="auto"/>
                <w:szCs w:val="21"/>
              </w:rPr>
              <w:t>，路面现状为素土路面，需改建为混凝土路面。新建道路长约350m，宽度4.0～6.5m，占地面积1500m</w:t>
            </w:r>
            <w:r>
              <w:rPr>
                <w:rFonts w:hint="eastAsia"/>
                <w:color w:val="auto"/>
                <w:szCs w:val="21"/>
                <w:vertAlign w:val="superscript"/>
              </w:rPr>
              <w:t>2</w:t>
            </w:r>
            <w:r>
              <w:rPr>
                <w:rFonts w:hint="eastAsia"/>
                <w:color w:val="auto"/>
                <w:szCs w:val="21"/>
              </w:rPr>
              <w:t>，采用混凝土硬化路面。</w:t>
            </w:r>
          </w:p>
        </w:tc>
        <w:tc>
          <w:tcPr>
            <w:tcW w:w="887" w:type="pct"/>
            <w:vAlign w:val="center"/>
          </w:tcPr>
          <w:p w14:paraId="7E887510">
            <w:pPr>
              <w:jc w:val="center"/>
              <w:rPr>
                <w:color w:val="auto"/>
                <w:szCs w:val="21"/>
                <w:highlight w:val="red"/>
              </w:rPr>
            </w:pPr>
            <w:r>
              <w:rPr>
                <w:rFonts w:hint="eastAsia"/>
                <w:color w:val="auto"/>
                <w:szCs w:val="21"/>
              </w:rPr>
              <w:t>新建运矿道路</w:t>
            </w:r>
            <w:r>
              <w:rPr>
                <w:color w:val="auto"/>
                <w:szCs w:val="21"/>
              </w:rPr>
              <w:t>350</w:t>
            </w:r>
            <w:r>
              <w:rPr>
                <w:rFonts w:hint="eastAsia"/>
                <w:color w:val="auto"/>
                <w:szCs w:val="21"/>
              </w:rPr>
              <w:t>m，现有道路改建为混凝土路面</w:t>
            </w:r>
          </w:p>
        </w:tc>
      </w:tr>
      <w:tr w14:paraId="73368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92" w:type="pct"/>
            <w:vMerge w:val="restart"/>
            <w:vAlign w:val="center"/>
          </w:tcPr>
          <w:p w14:paraId="323F90EE">
            <w:pPr>
              <w:ind w:left="-105" w:leftChars="-50" w:right="-105" w:rightChars="-50"/>
              <w:jc w:val="center"/>
              <w:rPr>
                <w:color w:val="auto"/>
                <w:szCs w:val="21"/>
              </w:rPr>
            </w:pPr>
            <w:r>
              <w:rPr>
                <w:rFonts w:hint="eastAsia"/>
                <w:color w:val="auto"/>
                <w:szCs w:val="21"/>
              </w:rPr>
              <w:t>辅助</w:t>
            </w:r>
          </w:p>
          <w:p w14:paraId="7E3693A8">
            <w:pPr>
              <w:ind w:left="-105" w:leftChars="-50" w:right="-105" w:rightChars="-50"/>
              <w:jc w:val="center"/>
              <w:rPr>
                <w:color w:val="auto"/>
                <w:szCs w:val="21"/>
              </w:rPr>
            </w:pPr>
            <w:r>
              <w:rPr>
                <w:rFonts w:hint="eastAsia"/>
                <w:color w:val="auto"/>
                <w:szCs w:val="21"/>
              </w:rPr>
              <w:t>工程</w:t>
            </w:r>
          </w:p>
        </w:tc>
        <w:tc>
          <w:tcPr>
            <w:tcW w:w="1022" w:type="pct"/>
            <w:gridSpan w:val="3"/>
            <w:vAlign w:val="center"/>
          </w:tcPr>
          <w:p w14:paraId="2D6B9B54">
            <w:pPr>
              <w:pStyle w:val="59"/>
              <w:widowControl w:val="0"/>
              <w:rPr>
                <w:color w:val="auto"/>
                <w:highlight w:val="red"/>
              </w:rPr>
            </w:pPr>
            <w:r>
              <w:rPr>
                <w:rFonts w:hint="eastAsia"/>
                <w:color w:val="auto"/>
              </w:rPr>
              <w:t>办公生活区</w:t>
            </w:r>
          </w:p>
        </w:tc>
        <w:tc>
          <w:tcPr>
            <w:tcW w:w="1138" w:type="pct"/>
            <w:vAlign w:val="center"/>
          </w:tcPr>
          <w:p w14:paraId="6D3DB26C">
            <w:pPr>
              <w:jc w:val="center"/>
              <w:rPr>
                <w:color w:val="auto"/>
                <w:szCs w:val="21"/>
                <w:highlight w:val="red"/>
              </w:rPr>
            </w:pPr>
            <w:r>
              <w:rPr>
                <w:rFonts w:hint="eastAsia"/>
                <w:color w:val="auto"/>
                <w:szCs w:val="21"/>
              </w:rPr>
              <w:t>1号办公生活区位于矿区东侧，为办公区，占地面积1782m</w:t>
            </w:r>
            <w:r>
              <w:rPr>
                <w:rFonts w:hint="eastAsia"/>
                <w:color w:val="auto"/>
                <w:szCs w:val="21"/>
                <w:vertAlign w:val="superscript"/>
              </w:rPr>
              <w:t>2</w:t>
            </w:r>
            <w:r>
              <w:rPr>
                <w:rFonts w:hint="eastAsia"/>
                <w:color w:val="auto"/>
                <w:szCs w:val="21"/>
              </w:rPr>
              <w:t>，已建设办公室、停车场，办公室占地面积400m</w:t>
            </w:r>
            <w:r>
              <w:rPr>
                <w:rFonts w:hint="eastAsia"/>
                <w:color w:val="auto"/>
                <w:szCs w:val="21"/>
                <w:vertAlign w:val="superscript"/>
              </w:rPr>
              <w:t>2</w:t>
            </w:r>
            <w:r>
              <w:rPr>
                <w:rFonts w:hint="eastAsia"/>
                <w:color w:val="auto"/>
                <w:szCs w:val="21"/>
              </w:rPr>
              <w:t>，砖混结构，1层</w:t>
            </w:r>
          </w:p>
        </w:tc>
        <w:tc>
          <w:tcPr>
            <w:tcW w:w="1659" w:type="pct"/>
            <w:vAlign w:val="center"/>
          </w:tcPr>
          <w:p w14:paraId="4A6E308D">
            <w:pPr>
              <w:jc w:val="center"/>
              <w:rPr>
                <w:color w:val="auto"/>
                <w:szCs w:val="21"/>
                <w:highlight w:val="red"/>
              </w:rPr>
            </w:pPr>
            <w:r>
              <w:rPr>
                <w:rFonts w:hint="eastAsia"/>
                <w:color w:val="auto"/>
                <w:szCs w:val="21"/>
              </w:rPr>
              <w:t>本项目共设置2处办公生活区，1号办公生活区位于矿区东侧，为办公区，占地面积1782m</w:t>
            </w:r>
            <w:r>
              <w:rPr>
                <w:rFonts w:hint="eastAsia"/>
                <w:color w:val="auto"/>
                <w:szCs w:val="21"/>
                <w:vertAlign w:val="superscript"/>
              </w:rPr>
              <w:t>2</w:t>
            </w:r>
            <w:r>
              <w:rPr>
                <w:rFonts w:hint="eastAsia"/>
                <w:color w:val="auto"/>
                <w:szCs w:val="21"/>
              </w:rPr>
              <w:t>，已建设办公室、停车场，办公室占地面积400m</w:t>
            </w:r>
            <w:r>
              <w:rPr>
                <w:rFonts w:hint="eastAsia"/>
                <w:color w:val="auto"/>
                <w:szCs w:val="21"/>
                <w:vertAlign w:val="superscript"/>
              </w:rPr>
              <w:t>2</w:t>
            </w:r>
            <w:r>
              <w:rPr>
                <w:rFonts w:hint="eastAsia"/>
                <w:color w:val="auto"/>
                <w:szCs w:val="21"/>
              </w:rPr>
              <w:t>，砖混结构，1层，办公设施齐全，满足依托需求。2号办公生活区位于排土场南侧，为休息区，占地面积1180m</w:t>
            </w:r>
            <w:r>
              <w:rPr>
                <w:rFonts w:hint="eastAsia"/>
                <w:color w:val="auto"/>
                <w:szCs w:val="21"/>
                <w:vertAlign w:val="superscript"/>
              </w:rPr>
              <w:t>2</w:t>
            </w:r>
            <w:r>
              <w:rPr>
                <w:rFonts w:hint="eastAsia"/>
                <w:color w:val="auto"/>
                <w:szCs w:val="21"/>
              </w:rPr>
              <w:t>，已建设一排宿舍，占地面积550m</w:t>
            </w:r>
            <w:r>
              <w:rPr>
                <w:rFonts w:hint="eastAsia"/>
                <w:color w:val="auto"/>
                <w:szCs w:val="21"/>
                <w:vertAlign w:val="superscript"/>
              </w:rPr>
              <w:t>2</w:t>
            </w:r>
            <w:r>
              <w:rPr>
                <w:rFonts w:hint="eastAsia"/>
                <w:color w:val="auto"/>
                <w:szCs w:val="21"/>
              </w:rPr>
              <w:t>，砖混结构，1层，生活区设施齐全，满足依托需求。</w:t>
            </w:r>
          </w:p>
        </w:tc>
        <w:tc>
          <w:tcPr>
            <w:tcW w:w="887" w:type="pct"/>
            <w:vAlign w:val="center"/>
          </w:tcPr>
          <w:p w14:paraId="7BB97D7C">
            <w:pPr>
              <w:jc w:val="center"/>
              <w:rPr>
                <w:color w:val="auto"/>
                <w:szCs w:val="21"/>
                <w:highlight w:val="red"/>
              </w:rPr>
            </w:pPr>
            <w:r>
              <w:rPr>
                <w:rFonts w:hint="eastAsia"/>
                <w:bCs/>
                <w:color w:val="auto"/>
                <w:szCs w:val="21"/>
              </w:rPr>
              <w:t>矿区资源整合完成后，盂县石鑫矿业有限公司及盂县西潘乡鑫盛石矿所有办公生活区均进行利用</w:t>
            </w:r>
          </w:p>
        </w:tc>
      </w:tr>
      <w:tr w14:paraId="00547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92" w:type="pct"/>
            <w:vMerge w:val="continue"/>
            <w:vAlign w:val="center"/>
          </w:tcPr>
          <w:p w14:paraId="2A67FC81">
            <w:pPr>
              <w:ind w:left="-105" w:leftChars="-50" w:right="-105" w:rightChars="-50"/>
              <w:jc w:val="center"/>
              <w:rPr>
                <w:color w:val="auto"/>
                <w:szCs w:val="21"/>
              </w:rPr>
            </w:pPr>
          </w:p>
        </w:tc>
        <w:tc>
          <w:tcPr>
            <w:tcW w:w="1022" w:type="pct"/>
            <w:gridSpan w:val="3"/>
            <w:vAlign w:val="center"/>
          </w:tcPr>
          <w:p w14:paraId="403F8E8C">
            <w:pPr>
              <w:jc w:val="center"/>
              <w:rPr>
                <w:color w:val="auto"/>
                <w:szCs w:val="21"/>
              </w:rPr>
            </w:pPr>
            <w:r>
              <w:rPr>
                <w:rFonts w:hint="eastAsia"/>
                <w:color w:val="auto"/>
                <w:szCs w:val="21"/>
              </w:rPr>
              <w:t>排土场</w:t>
            </w:r>
          </w:p>
        </w:tc>
        <w:tc>
          <w:tcPr>
            <w:tcW w:w="1138" w:type="pct"/>
            <w:vAlign w:val="center"/>
          </w:tcPr>
          <w:p w14:paraId="19C68D3D">
            <w:pPr>
              <w:jc w:val="center"/>
              <w:rPr>
                <w:color w:val="auto"/>
                <w:szCs w:val="21"/>
              </w:rPr>
            </w:pPr>
            <w:r>
              <w:rPr>
                <w:rFonts w:hint="eastAsia"/>
                <w:color w:val="auto"/>
                <w:szCs w:val="21"/>
              </w:rPr>
              <w:t>占地面积约5.9595hm</w:t>
            </w:r>
            <w:r>
              <w:rPr>
                <w:rFonts w:hint="eastAsia"/>
                <w:color w:val="auto"/>
                <w:szCs w:val="21"/>
                <w:vertAlign w:val="superscript"/>
              </w:rPr>
              <w:t>2</w:t>
            </w:r>
            <w:r>
              <w:rPr>
                <w:rFonts w:hint="eastAsia"/>
                <w:color w:val="auto"/>
                <w:szCs w:val="21"/>
              </w:rPr>
              <w:t>，排土场容积940.66万m</w:t>
            </w:r>
            <w:r>
              <w:rPr>
                <w:rFonts w:hint="eastAsia"/>
                <w:color w:val="auto"/>
                <w:szCs w:val="21"/>
                <w:vertAlign w:val="superscript"/>
              </w:rPr>
              <w:t>3</w:t>
            </w:r>
            <w:r>
              <w:rPr>
                <w:rFonts w:hint="eastAsia"/>
                <w:color w:val="auto"/>
                <w:szCs w:val="21"/>
              </w:rPr>
              <w:t>，排土场标高1085-904m，堆置高度181m。台阶高度20m，排土场坡面角45°，马道宽5m。</w:t>
            </w:r>
          </w:p>
        </w:tc>
        <w:tc>
          <w:tcPr>
            <w:tcW w:w="1659" w:type="pct"/>
            <w:vAlign w:val="center"/>
          </w:tcPr>
          <w:p w14:paraId="73FC2EB5">
            <w:pPr>
              <w:jc w:val="center"/>
              <w:rPr>
                <w:color w:val="auto"/>
                <w:szCs w:val="21"/>
              </w:rPr>
            </w:pPr>
            <w:r>
              <w:rPr>
                <w:rFonts w:hint="eastAsia"/>
                <w:color w:val="auto"/>
                <w:szCs w:val="21"/>
              </w:rPr>
              <w:t>占地面积约5.9595hm</w:t>
            </w:r>
            <w:r>
              <w:rPr>
                <w:rFonts w:hint="eastAsia"/>
                <w:color w:val="auto"/>
                <w:szCs w:val="21"/>
                <w:vertAlign w:val="superscript"/>
              </w:rPr>
              <w:t>2</w:t>
            </w:r>
            <w:r>
              <w:rPr>
                <w:rFonts w:hint="eastAsia"/>
                <w:color w:val="auto"/>
                <w:szCs w:val="21"/>
              </w:rPr>
              <w:t>，排土场容积940.66万m</w:t>
            </w:r>
            <w:r>
              <w:rPr>
                <w:rFonts w:hint="eastAsia"/>
                <w:color w:val="auto"/>
                <w:szCs w:val="21"/>
                <w:vertAlign w:val="superscript"/>
              </w:rPr>
              <w:t>3</w:t>
            </w:r>
            <w:r>
              <w:rPr>
                <w:rFonts w:hint="eastAsia"/>
                <w:color w:val="auto"/>
                <w:szCs w:val="21"/>
              </w:rPr>
              <w:t>，排土场标高1085-904m，堆置高度181m。台阶高度20m，排土场坡面角45°，马道宽5m。排土场已堆排废石408.6万m</w:t>
            </w:r>
            <w:r>
              <w:rPr>
                <w:rFonts w:hint="eastAsia"/>
                <w:color w:val="auto"/>
                <w:szCs w:val="21"/>
                <w:vertAlign w:val="superscript"/>
              </w:rPr>
              <w:t>3</w:t>
            </w:r>
            <w:r>
              <w:rPr>
                <w:rFonts w:hint="eastAsia"/>
                <w:color w:val="auto"/>
                <w:szCs w:val="21"/>
              </w:rPr>
              <w:t>，排土场剩余容积532.06万m</w:t>
            </w:r>
            <w:r>
              <w:rPr>
                <w:rFonts w:hint="eastAsia"/>
                <w:color w:val="auto"/>
                <w:szCs w:val="21"/>
                <w:vertAlign w:val="superscript"/>
              </w:rPr>
              <w:t>3</w:t>
            </w:r>
            <w:r>
              <w:rPr>
                <w:rFonts w:hint="eastAsia"/>
                <w:color w:val="auto"/>
                <w:szCs w:val="21"/>
              </w:rPr>
              <w:t>，满足外剥离量307.46万m</w:t>
            </w:r>
            <w:r>
              <w:rPr>
                <w:rFonts w:hint="eastAsia"/>
                <w:color w:val="auto"/>
                <w:szCs w:val="21"/>
                <w:vertAlign w:val="superscript"/>
              </w:rPr>
              <w:t>3</w:t>
            </w:r>
            <w:r>
              <w:rPr>
                <w:rFonts w:hint="eastAsia"/>
                <w:color w:val="auto"/>
                <w:szCs w:val="21"/>
              </w:rPr>
              <w:t>排土需求。</w:t>
            </w:r>
          </w:p>
        </w:tc>
        <w:tc>
          <w:tcPr>
            <w:tcW w:w="887" w:type="pct"/>
            <w:vAlign w:val="center"/>
          </w:tcPr>
          <w:p w14:paraId="187883B1">
            <w:pPr>
              <w:jc w:val="center"/>
              <w:rPr>
                <w:color w:val="auto"/>
                <w:szCs w:val="21"/>
              </w:rPr>
            </w:pPr>
            <w:r>
              <w:rPr>
                <w:rFonts w:hint="eastAsia"/>
                <w:color w:val="auto"/>
                <w:szCs w:val="21"/>
              </w:rPr>
              <w:t>利旧</w:t>
            </w:r>
          </w:p>
        </w:tc>
      </w:tr>
      <w:tr w14:paraId="3837A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92" w:type="pct"/>
            <w:vMerge w:val="continue"/>
            <w:vAlign w:val="center"/>
          </w:tcPr>
          <w:p w14:paraId="27C3A4A1">
            <w:pPr>
              <w:ind w:left="-105" w:leftChars="-50" w:right="-105" w:rightChars="-50"/>
              <w:jc w:val="center"/>
              <w:rPr>
                <w:color w:val="auto"/>
                <w:szCs w:val="21"/>
              </w:rPr>
            </w:pPr>
            <w:bookmarkStart w:id="5" w:name="_Hlk214405906"/>
          </w:p>
        </w:tc>
        <w:tc>
          <w:tcPr>
            <w:tcW w:w="262" w:type="pct"/>
            <w:vMerge w:val="restart"/>
            <w:vAlign w:val="center"/>
          </w:tcPr>
          <w:p w14:paraId="7C2C651E">
            <w:pPr>
              <w:autoSpaceDE w:val="0"/>
              <w:autoSpaceDN w:val="0"/>
              <w:adjustRightInd w:val="0"/>
              <w:snapToGrid w:val="0"/>
              <w:jc w:val="center"/>
              <w:rPr>
                <w:color w:val="auto"/>
                <w:szCs w:val="21"/>
              </w:rPr>
            </w:pPr>
            <w:r>
              <w:rPr>
                <w:rFonts w:hint="eastAsia"/>
                <w:color w:val="auto"/>
                <w:szCs w:val="21"/>
              </w:rPr>
              <w:t>排水工程</w:t>
            </w:r>
          </w:p>
        </w:tc>
        <w:tc>
          <w:tcPr>
            <w:tcW w:w="760" w:type="pct"/>
            <w:gridSpan w:val="2"/>
            <w:vAlign w:val="center"/>
          </w:tcPr>
          <w:p w14:paraId="6312991D">
            <w:pPr>
              <w:autoSpaceDE w:val="0"/>
              <w:autoSpaceDN w:val="0"/>
              <w:adjustRightInd w:val="0"/>
              <w:snapToGrid w:val="0"/>
              <w:jc w:val="center"/>
              <w:rPr>
                <w:color w:val="auto"/>
                <w:szCs w:val="21"/>
              </w:rPr>
            </w:pPr>
            <w:r>
              <w:rPr>
                <w:rFonts w:hint="eastAsia"/>
                <w:color w:val="auto"/>
                <w:szCs w:val="21"/>
              </w:rPr>
              <w:t>采场</w:t>
            </w:r>
          </w:p>
        </w:tc>
        <w:tc>
          <w:tcPr>
            <w:tcW w:w="1138" w:type="pct"/>
            <w:vAlign w:val="center"/>
          </w:tcPr>
          <w:p w14:paraId="10BA1EEB">
            <w:pPr>
              <w:jc w:val="center"/>
              <w:rPr>
                <w:color w:val="auto"/>
                <w:szCs w:val="21"/>
              </w:rPr>
            </w:pPr>
            <w:r>
              <w:rPr>
                <w:rFonts w:hint="eastAsia"/>
                <w:color w:val="auto"/>
                <w:szCs w:val="21"/>
              </w:rPr>
              <w:t>未设置。</w:t>
            </w:r>
          </w:p>
        </w:tc>
        <w:tc>
          <w:tcPr>
            <w:tcW w:w="1659" w:type="pct"/>
            <w:vAlign w:val="center"/>
          </w:tcPr>
          <w:p w14:paraId="791AAB68">
            <w:pPr>
              <w:jc w:val="center"/>
              <w:rPr>
                <w:color w:val="auto"/>
                <w:szCs w:val="21"/>
              </w:rPr>
            </w:pPr>
            <w:r>
              <w:rPr>
                <w:rFonts w:hint="eastAsia"/>
                <w:color w:val="auto"/>
                <w:szCs w:val="21"/>
              </w:rPr>
              <w:t>在采场平台内缘挖设</w:t>
            </w:r>
            <w:r>
              <w:rPr>
                <w:color w:val="auto"/>
                <w:szCs w:val="21"/>
              </w:rPr>
              <w:t>排水</w:t>
            </w:r>
            <w:r>
              <w:rPr>
                <w:rFonts w:hint="eastAsia"/>
                <w:color w:val="auto"/>
                <w:szCs w:val="21"/>
              </w:rPr>
              <w:t>沟，</w:t>
            </w:r>
            <w:r>
              <w:rPr>
                <w:color w:val="auto"/>
                <w:szCs w:val="21"/>
              </w:rPr>
              <w:t>排水沟断面为</w:t>
            </w:r>
            <w:r>
              <w:rPr>
                <w:rFonts w:hint="eastAsia"/>
                <w:color w:val="auto"/>
                <w:szCs w:val="21"/>
              </w:rPr>
              <w:t>矩形</w:t>
            </w:r>
            <w:r>
              <w:rPr>
                <w:color w:val="auto"/>
                <w:szCs w:val="21"/>
              </w:rPr>
              <w:t>，规格：0.</w:t>
            </w:r>
            <w:r>
              <w:rPr>
                <w:rFonts w:hint="eastAsia"/>
                <w:color w:val="auto"/>
                <w:szCs w:val="21"/>
              </w:rPr>
              <w:t>4</w:t>
            </w:r>
            <w:r>
              <w:rPr>
                <w:color w:val="auto"/>
                <w:szCs w:val="21"/>
              </w:rPr>
              <w:t>m（上宽）×0.4m（下宽）×0</w:t>
            </w:r>
            <w:r>
              <w:rPr>
                <w:rFonts w:hint="eastAsia"/>
                <w:color w:val="auto"/>
                <w:szCs w:val="21"/>
              </w:rPr>
              <w:t>.5</w:t>
            </w:r>
            <w:r>
              <w:rPr>
                <w:color w:val="auto"/>
                <w:szCs w:val="21"/>
              </w:rPr>
              <w:t>m（深度）</w:t>
            </w:r>
          </w:p>
        </w:tc>
        <w:tc>
          <w:tcPr>
            <w:tcW w:w="887" w:type="pct"/>
            <w:vAlign w:val="center"/>
          </w:tcPr>
          <w:p w14:paraId="0CF5D7C9">
            <w:pPr>
              <w:jc w:val="center"/>
              <w:rPr>
                <w:color w:val="auto"/>
                <w:szCs w:val="21"/>
              </w:rPr>
            </w:pPr>
            <w:r>
              <w:rPr>
                <w:rFonts w:hint="eastAsia"/>
                <w:color w:val="auto"/>
                <w:szCs w:val="21"/>
              </w:rPr>
              <w:t>新建</w:t>
            </w:r>
          </w:p>
        </w:tc>
      </w:tr>
      <w:tr w14:paraId="21BD6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 w:hRule="atLeast"/>
        </w:trPr>
        <w:tc>
          <w:tcPr>
            <w:tcW w:w="292" w:type="pct"/>
            <w:vMerge w:val="continue"/>
            <w:vAlign w:val="center"/>
          </w:tcPr>
          <w:p w14:paraId="404EB2FD">
            <w:pPr>
              <w:ind w:left="-105" w:leftChars="-50" w:right="-105" w:rightChars="-50"/>
              <w:jc w:val="center"/>
              <w:rPr>
                <w:color w:val="auto"/>
                <w:szCs w:val="21"/>
              </w:rPr>
            </w:pPr>
          </w:p>
        </w:tc>
        <w:tc>
          <w:tcPr>
            <w:tcW w:w="262" w:type="pct"/>
            <w:vMerge w:val="continue"/>
            <w:vAlign w:val="center"/>
          </w:tcPr>
          <w:p w14:paraId="5F5CFB44">
            <w:pPr>
              <w:autoSpaceDE w:val="0"/>
              <w:autoSpaceDN w:val="0"/>
              <w:adjustRightInd w:val="0"/>
              <w:snapToGrid w:val="0"/>
              <w:jc w:val="center"/>
              <w:rPr>
                <w:color w:val="auto"/>
                <w:szCs w:val="21"/>
                <w:highlight w:val="red"/>
              </w:rPr>
            </w:pPr>
          </w:p>
        </w:tc>
        <w:tc>
          <w:tcPr>
            <w:tcW w:w="760" w:type="pct"/>
            <w:gridSpan w:val="2"/>
            <w:vAlign w:val="center"/>
          </w:tcPr>
          <w:p w14:paraId="2C3C24DE">
            <w:pPr>
              <w:autoSpaceDE w:val="0"/>
              <w:autoSpaceDN w:val="0"/>
              <w:adjustRightInd w:val="0"/>
              <w:snapToGrid w:val="0"/>
              <w:jc w:val="center"/>
              <w:rPr>
                <w:color w:val="auto"/>
                <w:szCs w:val="21"/>
              </w:rPr>
            </w:pPr>
            <w:r>
              <w:rPr>
                <w:rFonts w:hint="eastAsia"/>
                <w:color w:val="auto"/>
                <w:szCs w:val="21"/>
              </w:rPr>
              <w:t>运矿道路</w:t>
            </w:r>
          </w:p>
        </w:tc>
        <w:tc>
          <w:tcPr>
            <w:tcW w:w="1138" w:type="pct"/>
            <w:vAlign w:val="center"/>
          </w:tcPr>
          <w:p w14:paraId="0D47DA81">
            <w:pPr>
              <w:jc w:val="center"/>
              <w:rPr>
                <w:color w:val="auto"/>
                <w:szCs w:val="21"/>
              </w:rPr>
            </w:pPr>
            <w:r>
              <w:rPr>
                <w:rFonts w:hint="eastAsia"/>
                <w:color w:val="auto"/>
                <w:szCs w:val="21"/>
              </w:rPr>
              <w:t>未设置。</w:t>
            </w:r>
          </w:p>
        </w:tc>
        <w:tc>
          <w:tcPr>
            <w:tcW w:w="1659" w:type="pct"/>
            <w:vAlign w:val="center"/>
          </w:tcPr>
          <w:p w14:paraId="462FDB04">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color w:val="auto"/>
                <w:szCs w:val="21"/>
              </w:rPr>
            </w:pPr>
            <w:r>
              <w:rPr>
                <w:rFonts w:hint="eastAsia"/>
                <w:color w:val="auto"/>
                <w:szCs w:val="21"/>
              </w:rPr>
              <w:t>新建运矿道路靠山侧设置</w:t>
            </w:r>
            <w:r>
              <w:rPr>
                <w:color w:val="auto"/>
                <w:szCs w:val="21"/>
              </w:rPr>
              <w:t>排水</w:t>
            </w:r>
            <w:r>
              <w:rPr>
                <w:rFonts w:hint="eastAsia"/>
                <w:color w:val="auto"/>
                <w:szCs w:val="21"/>
              </w:rPr>
              <w:t>沟，</w:t>
            </w:r>
            <w:r>
              <w:rPr>
                <w:color w:val="auto"/>
                <w:szCs w:val="21"/>
              </w:rPr>
              <w:t>排水沟断面为</w:t>
            </w:r>
            <w:r>
              <w:rPr>
                <w:rFonts w:hint="eastAsia"/>
                <w:color w:val="auto"/>
                <w:szCs w:val="21"/>
              </w:rPr>
              <w:t>矩形</w:t>
            </w:r>
            <w:r>
              <w:rPr>
                <w:color w:val="auto"/>
                <w:szCs w:val="21"/>
              </w:rPr>
              <w:t>，规格：0.</w:t>
            </w:r>
            <w:r>
              <w:rPr>
                <w:rFonts w:hint="eastAsia"/>
                <w:color w:val="auto"/>
                <w:szCs w:val="21"/>
              </w:rPr>
              <w:t>4</w:t>
            </w:r>
            <w:r>
              <w:rPr>
                <w:color w:val="auto"/>
                <w:szCs w:val="21"/>
              </w:rPr>
              <w:t>m（上宽）×0.4m（下宽）×0.</w:t>
            </w:r>
            <w:r>
              <w:rPr>
                <w:rFonts w:hint="eastAsia"/>
                <w:color w:val="auto"/>
                <w:szCs w:val="21"/>
              </w:rPr>
              <w:t>5</w:t>
            </w:r>
            <w:r>
              <w:rPr>
                <w:color w:val="auto"/>
                <w:szCs w:val="21"/>
              </w:rPr>
              <w:t>m（深度）</w:t>
            </w:r>
            <w:r>
              <w:rPr>
                <w:rFonts w:hint="eastAsia"/>
                <w:color w:val="auto"/>
                <w:szCs w:val="21"/>
              </w:rPr>
              <w:t>。</w:t>
            </w:r>
          </w:p>
        </w:tc>
        <w:tc>
          <w:tcPr>
            <w:tcW w:w="887" w:type="pct"/>
            <w:vAlign w:val="center"/>
          </w:tcPr>
          <w:p w14:paraId="71321FA8">
            <w:pPr>
              <w:jc w:val="center"/>
              <w:rPr>
                <w:color w:val="auto"/>
                <w:szCs w:val="21"/>
              </w:rPr>
            </w:pPr>
            <w:r>
              <w:rPr>
                <w:rFonts w:hint="eastAsia"/>
                <w:color w:val="auto"/>
                <w:szCs w:val="21"/>
              </w:rPr>
              <w:t>新建</w:t>
            </w:r>
          </w:p>
        </w:tc>
      </w:tr>
      <w:tr w14:paraId="2D5C6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92" w:type="pct"/>
            <w:vMerge w:val="continue"/>
            <w:vAlign w:val="center"/>
          </w:tcPr>
          <w:p w14:paraId="1F001176">
            <w:pPr>
              <w:ind w:left="-105" w:leftChars="-50" w:right="-105" w:rightChars="-50"/>
              <w:jc w:val="center"/>
              <w:rPr>
                <w:color w:val="auto"/>
                <w:szCs w:val="21"/>
              </w:rPr>
            </w:pPr>
          </w:p>
        </w:tc>
        <w:tc>
          <w:tcPr>
            <w:tcW w:w="262" w:type="pct"/>
            <w:vMerge w:val="continue"/>
            <w:vAlign w:val="center"/>
          </w:tcPr>
          <w:p w14:paraId="7D8AADD9">
            <w:pPr>
              <w:autoSpaceDE w:val="0"/>
              <w:autoSpaceDN w:val="0"/>
              <w:adjustRightInd w:val="0"/>
              <w:snapToGrid w:val="0"/>
              <w:jc w:val="center"/>
              <w:rPr>
                <w:color w:val="auto"/>
                <w:szCs w:val="21"/>
                <w:highlight w:val="red"/>
              </w:rPr>
            </w:pPr>
          </w:p>
        </w:tc>
        <w:tc>
          <w:tcPr>
            <w:tcW w:w="760" w:type="pct"/>
            <w:gridSpan w:val="2"/>
            <w:vAlign w:val="center"/>
          </w:tcPr>
          <w:p w14:paraId="706C2C1C">
            <w:pPr>
              <w:autoSpaceDE w:val="0"/>
              <w:autoSpaceDN w:val="0"/>
              <w:adjustRightInd w:val="0"/>
              <w:snapToGrid w:val="0"/>
              <w:jc w:val="center"/>
              <w:rPr>
                <w:color w:val="auto"/>
                <w:szCs w:val="21"/>
              </w:rPr>
            </w:pPr>
            <w:r>
              <w:rPr>
                <w:rFonts w:hint="eastAsia"/>
                <w:color w:val="auto"/>
                <w:szCs w:val="21"/>
              </w:rPr>
              <w:t>排土场</w:t>
            </w:r>
          </w:p>
        </w:tc>
        <w:tc>
          <w:tcPr>
            <w:tcW w:w="1138" w:type="pct"/>
            <w:vAlign w:val="center"/>
          </w:tcPr>
          <w:p w14:paraId="50FE912B">
            <w:pPr>
              <w:pStyle w:val="49"/>
              <w:keepNext w:val="0"/>
              <w:keepLines w:val="0"/>
              <w:pageBreakBefore w:val="0"/>
              <w:widowControl w:val="0"/>
              <w:kinsoku/>
              <w:wordWrap/>
              <w:overflowPunct/>
              <w:topLinePunct w:val="0"/>
              <w:bidi w:val="0"/>
              <w:spacing w:line="240" w:lineRule="auto"/>
              <w:ind w:left="0" w:leftChars="0" w:right="0" w:rightChars="0" w:firstLine="0" w:firstLineChars="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未设置。</w:t>
            </w:r>
          </w:p>
        </w:tc>
        <w:tc>
          <w:tcPr>
            <w:tcW w:w="1659" w:type="pct"/>
            <w:vAlign w:val="center"/>
          </w:tcPr>
          <w:p w14:paraId="352A6D77">
            <w:pPr>
              <w:widowControl/>
              <w:jc w:val="center"/>
              <w:rPr>
                <w:rFonts w:hint="default" w:ascii="Times New Roman" w:hAnsi="Times New Roman" w:cs="Times New Roman"/>
                <w:color w:val="auto"/>
                <w:sz w:val="21"/>
                <w:szCs w:val="21"/>
              </w:rPr>
            </w:pPr>
            <w:r>
              <w:rPr>
                <w:rFonts w:hint="default" w:ascii="Times New Roman" w:hAnsi="Times New Roman" w:eastAsia="宋体" w:cs="Times New Roman"/>
                <w:bCs/>
                <w:color w:val="auto"/>
                <w:kern w:val="0"/>
                <w:sz w:val="21"/>
                <w:szCs w:val="21"/>
                <w:lang w:val="en-US" w:eastAsia="zh-CN" w:bidi="ar"/>
              </w:rPr>
              <w:t>排土场周边设截水沟，设计截水沟净断面为0.5m（上宽）×0.4m（下宽）×0.4m（深度）；</w:t>
            </w:r>
            <w:r>
              <w:rPr>
                <w:rFonts w:hint="default" w:ascii="Times New Roman" w:hAnsi="Times New Roman" w:eastAsia="宋体" w:cs="Times New Roman"/>
                <w:bCs/>
                <w:color w:val="auto"/>
                <w:kern w:val="0"/>
                <w:sz w:val="21"/>
                <w:szCs w:val="21"/>
                <w:highlight w:val="none"/>
                <w:lang w:val="en-US" w:eastAsia="zh-CN" w:bidi="ar"/>
              </w:rPr>
              <w:t>在台阶平台靠近边坡一侧设置马道排水沟，0.5m（上宽）×0.4m（下宽）×0.4m（深度），采用浆砌石结构；排土场底部设消力池</w:t>
            </w:r>
          </w:p>
        </w:tc>
        <w:tc>
          <w:tcPr>
            <w:tcW w:w="887" w:type="pct"/>
            <w:vAlign w:val="center"/>
          </w:tcPr>
          <w:p w14:paraId="52E03DB1">
            <w:pPr>
              <w:pStyle w:val="49"/>
              <w:keepNext w:val="0"/>
              <w:keepLines w:val="0"/>
              <w:pageBreakBefore w:val="0"/>
              <w:widowControl w:val="0"/>
              <w:kinsoku/>
              <w:wordWrap/>
              <w:overflowPunct/>
              <w:topLinePunct w:val="0"/>
              <w:bidi w:val="0"/>
              <w:spacing w:line="240" w:lineRule="auto"/>
              <w:ind w:left="0" w:leftChars="0" w:right="0" w:rightChars="0" w:firstLine="0" w:firstLineChars="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新建</w:t>
            </w:r>
          </w:p>
        </w:tc>
      </w:tr>
      <w:bookmarkEnd w:id="5"/>
      <w:tr w14:paraId="66148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92" w:type="pct"/>
            <w:vMerge w:val="restart"/>
            <w:vAlign w:val="center"/>
          </w:tcPr>
          <w:p w14:paraId="0EA81334">
            <w:pPr>
              <w:ind w:left="-105" w:leftChars="-50" w:right="-105" w:rightChars="-50"/>
              <w:jc w:val="center"/>
              <w:rPr>
                <w:color w:val="auto"/>
                <w:szCs w:val="21"/>
              </w:rPr>
            </w:pPr>
            <w:r>
              <w:rPr>
                <w:rFonts w:hint="eastAsia"/>
                <w:color w:val="auto"/>
                <w:szCs w:val="21"/>
              </w:rPr>
              <w:t>公用</w:t>
            </w:r>
          </w:p>
          <w:p w14:paraId="0A3615CD">
            <w:pPr>
              <w:ind w:left="-105" w:leftChars="-50" w:right="-105" w:rightChars="-50"/>
              <w:jc w:val="center"/>
              <w:rPr>
                <w:color w:val="auto"/>
                <w:szCs w:val="21"/>
              </w:rPr>
            </w:pPr>
            <w:r>
              <w:rPr>
                <w:rFonts w:hint="eastAsia"/>
                <w:color w:val="auto"/>
                <w:szCs w:val="21"/>
              </w:rPr>
              <w:t>工程</w:t>
            </w:r>
          </w:p>
        </w:tc>
        <w:tc>
          <w:tcPr>
            <w:tcW w:w="1022" w:type="pct"/>
            <w:gridSpan w:val="3"/>
            <w:vAlign w:val="center"/>
          </w:tcPr>
          <w:p w14:paraId="069808AD">
            <w:pPr>
              <w:jc w:val="center"/>
              <w:rPr>
                <w:color w:val="auto"/>
                <w:szCs w:val="21"/>
              </w:rPr>
            </w:pPr>
            <w:r>
              <w:rPr>
                <w:rFonts w:hint="eastAsia"/>
                <w:color w:val="auto"/>
                <w:szCs w:val="21"/>
              </w:rPr>
              <w:t>供电</w:t>
            </w:r>
          </w:p>
        </w:tc>
        <w:tc>
          <w:tcPr>
            <w:tcW w:w="1138" w:type="pct"/>
            <w:vAlign w:val="center"/>
          </w:tcPr>
          <w:p w14:paraId="6905025D">
            <w:pPr>
              <w:jc w:val="center"/>
              <w:rPr>
                <w:color w:val="auto"/>
                <w:szCs w:val="21"/>
              </w:rPr>
            </w:pPr>
            <w:r>
              <w:rPr>
                <w:rFonts w:hint="eastAsia"/>
                <w:color w:val="auto"/>
                <w:szCs w:val="21"/>
              </w:rPr>
              <w:t>电源引自西潘乡供电所</w:t>
            </w:r>
            <w:r>
              <w:rPr>
                <w:color w:val="auto"/>
                <w:szCs w:val="21"/>
              </w:rPr>
              <w:t xml:space="preserve"> </w:t>
            </w:r>
          </w:p>
        </w:tc>
        <w:tc>
          <w:tcPr>
            <w:tcW w:w="4665" w:type="dxa"/>
            <w:vAlign w:val="center"/>
          </w:tcPr>
          <w:p w14:paraId="05441465">
            <w:pPr>
              <w:jc w:val="center"/>
              <w:rPr>
                <w:color w:val="auto"/>
                <w:szCs w:val="21"/>
                <w:highlight w:val="none"/>
              </w:rPr>
            </w:pPr>
            <w:r>
              <w:rPr>
                <w:rFonts w:hint="eastAsia"/>
                <w:color w:val="auto"/>
                <w:szCs w:val="21"/>
              </w:rPr>
              <w:t>电源引自西潘乡供电所</w:t>
            </w:r>
            <w:r>
              <w:rPr>
                <w:color w:val="auto"/>
                <w:szCs w:val="21"/>
              </w:rPr>
              <w:t xml:space="preserve"> </w:t>
            </w:r>
          </w:p>
        </w:tc>
        <w:tc>
          <w:tcPr>
            <w:tcW w:w="887" w:type="pct"/>
            <w:vAlign w:val="center"/>
          </w:tcPr>
          <w:p w14:paraId="7764F3C7">
            <w:pPr>
              <w:jc w:val="center"/>
              <w:rPr>
                <w:color w:val="auto"/>
                <w:szCs w:val="21"/>
              </w:rPr>
            </w:pPr>
            <w:r>
              <w:rPr>
                <w:rFonts w:hint="eastAsia"/>
                <w:color w:val="auto"/>
                <w:szCs w:val="21"/>
              </w:rPr>
              <w:t>利旧</w:t>
            </w:r>
          </w:p>
        </w:tc>
      </w:tr>
      <w:tr w14:paraId="5603B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92" w:type="pct"/>
            <w:vMerge w:val="continue"/>
            <w:vAlign w:val="center"/>
          </w:tcPr>
          <w:p w14:paraId="1321479B">
            <w:pPr>
              <w:ind w:left="-105" w:leftChars="-50" w:right="-105" w:rightChars="-50"/>
              <w:jc w:val="center"/>
              <w:rPr>
                <w:color w:val="auto"/>
                <w:szCs w:val="21"/>
              </w:rPr>
            </w:pPr>
          </w:p>
        </w:tc>
        <w:tc>
          <w:tcPr>
            <w:tcW w:w="1022" w:type="pct"/>
            <w:gridSpan w:val="3"/>
            <w:vAlign w:val="center"/>
          </w:tcPr>
          <w:p w14:paraId="103B5D71">
            <w:pPr>
              <w:jc w:val="center"/>
              <w:rPr>
                <w:color w:val="auto"/>
                <w:szCs w:val="21"/>
              </w:rPr>
            </w:pPr>
            <w:r>
              <w:rPr>
                <w:rFonts w:hint="eastAsia"/>
                <w:color w:val="auto"/>
                <w:szCs w:val="21"/>
              </w:rPr>
              <w:t>供水</w:t>
            </w:r>
          </w:p>
        </w:tc>
        <w:tc>
          <w:tcPr>
            <w:tcW w:w="1138" w:type="pct"/>
            <w:vAlign w:val="center"/>
          </w:tcPr>
          <w:p w14:paraId="69225AB0">
            <w:pPr>
              <w:jc w:val="center"/>
              <w:rPr>
                <w:snapToGrid w:val="0"/>
                <w:color w:val="auto"/>
                <w:szCs w:val="21"/>
              </w:rPr>
            </w:pPr>
            <w:r>
              <w:rPr>
                <w:rFonts w:hint="eastAsia"/>
                <w:snapToGrid w:val="0"/>
                <w:color w:val="auto"/>
                <w:szCs w:val="21"/>
              </w:rPr>
              <w:t>外购于周边村庄</w:t>
            </w:r>
            <w:r>
              <w:rPr>
                <w:rFonts w:hint="eastAsia"/>
                <w:color w:val="auto"/>
                <w:szCs w:val="21"/>
              </w:rPr>
              <w:t>，采用罐车拉水。</w:t>
            </w:r>
          </w:p>
        </w:tc>
        <w:tc>
          <w:tcPr>
            <w:tcW w:w="4665" w:type="dxa"/>
            <w:vAlign w:val="center"/>
          </w:tcPr>
          <w:p w14:paraId="004B12CD">
            <w:pPr>
              <w:jc w:val="center"/>
              <w:rPr>
                <w:color w:val="auto"/>
                <w:szCs w:val="21"/>
                <w:highlight w:val="none"/>
              </w:rPr>
            </w:pPr>
            <w:r>
              <w:rPr>
                <w:rFonts w:hint="eastAsia"/>
                <w:snapToGrid w:val="0"/>
                <w:color w:val="auto"/>
                <w:szCs w:val="21"/>
              </w:rPr>
              <w:t>外购于周边村庄</w:t>
            </w:r>
            <w:r>
              <w:rPr>
                <w:rFonts w:hint="eastAsia"/>
                <w:color w:val="auto"/>
                <w:szCs w:val="21"/>
              </w:rPr>
              <w:t>，采用罐车拉水。</w:t>
            </w:r>
          </w:p>
        </w:tc>
        <w:tc>
          <w:tcPr>
            <w:tcW w:w="887" w:type="pct"/>
            <w:vAlign w:val="center"/>
          </w:tcPr>
          <w:p w14:paraId="05E2AA2B">
            <w:pPr>
              <w:jc w:val="center"/>
              <w:rPr>
                <w:color w:val="auto"/>
                <w:szCs w:val="21"/>
              </w:rPr>
            </w:pPr>
            <w:r>
              <w:rPr>
                <w:rFonts w:hint="eastAsia"/>
                <w:color w:val="auto"/>
                <w:szCs w:val="21"/>
              </w:rPr>
              <w:t>利旧</w:t>
            </w:r>
          </w:p>
        </w:tc>
      </w:tr>
      <w:tr w14:paraId="7B81B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92" w:type="pct"/>
            <w:vMerge w:val="continue"/>
            <w:vAlign w:val="center"/>
          </w:tcPr>
          <w:p w14:paraId="5795D77B">
            <w:pPr>
              <w:ind w:left="-105" w:leftChars="-50" w:right="-105" w:rightChars="-50"/>
              <w:jc w:val="center"/>
              <w:rPr>
                <w:color w:val="auto"/>
                <w:szCs w:val="21"/>
              </w:rPr>
            </w:pPr>
          </w:p>
        </w:tc>
        <w:tc>
          <w:tcPr>
            <w:tcW w:w="1022" w:type="pct"/>
            <w:gridSpan w:val="3"/>
            <w:vAlign w:val="center"/>
          </w:tcPr>
          <w:p w14:paraId="528BE39B">
            <w:pPr>
              <w:pStyle w:val="59"/>
              <w:widowControl w:val="0"/>
              <w:rPr>
                <w:color w:val="auto"/>
              </w:rPr>
            </w:pPr>
            <w:r>
              <w:rPr>
                <w:rFonts w:hint="eastAsia"/>
                <w:color w:val="auto"/>
              </w:rPr>
              <w:t>供暖</w:t>
            </w:r>
          </w:p>
        </w:tc>
        <w:tc>
          <w:tcPr>
            <w:tcW w:w="1138" w:type="pct"/>
            <w:vAlign w:val="center"/>
          </w:tcPr>
          <w:p w14:paraId="12F1D850">
            <w:pPr>
              <w:jc w:val="center"/>
              <w:rPr>
                <w:color w:val="auto"/>
                <w:szCs w:val="21"/>
              </w:rPr>
            </w:pPr>
            <w:r>
              <w:rPr>
                <w:rFonts w:hint="eastAsia"/>
                <w:color w:val="auto"/>
                <w:szCs w:val="21"/>
              </w:rPr>
              <w:t>生产时间集中在非采暖期，生产区无需采暖，办公区冬季值班采暖采用电暖器。</w:t>
            </w:r>
          </w:p>
        </w:tc>
        <w:tc>
          <w:tcPr>
            <w:tcW w:w="4665" w:type="dxa"/>
            <w:vAlign w:val="center"/>
          </w:tcPr>
          <w:p w14:paraId="46A6648B">
            <w:pPr>
              <w:jc w:val="center"/>
              <w:rPr>
                <w:color w:val="auto"/>
                <w:szCs w:val="21"/>
                <w:highlight w:val="none"/>
              </w:rPr>
            </w:pPr>
            <w:r>
              <w:rPr>
                <w:rFonts w:hint="eastAsia"/>
                <w:color w:val="auto"/>
                <w:szCs w:val="21"/>
              </w:rPr>
              <w:t>生产时间集中在非采暖期，生产区无需采暖，办公区冬季值班采暖采用电暖器。</w:t>
            </w:r>
          </w:p>
        </w:tc>
        <w:tc>
          <w:tcPr>
            <w:tcW w:w="887" w:type="pct"/>
            <w:vAlign w:val="center"/>
          </w:tcPr>
          <w:p w14:paraId="2E14B60C">
            <w:pPr>
              <w:jc w:val="center"/>
              <w:rPr>
                <w:color w:val="auto"/>
                <w:szCs w:val="21"/>
              </w:rPr>
            </w:pPr>
            <w:r>
              <w:rPr>
                <w:rFonts w:hint="eastAsia"/>
                <w:color w:val="auto"/>
                <w:szCs w:val="21"/>
              </w:rPr>
              <w:t>利旧</w:t>
            </w:r>
          </w:p>
        </w:tc>
      </w:tr>
      <w:tr w14:paraId="30FA0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92" w:type="pct"/>
            <w:vMerge w:val="restart"/>
            <w:vAlign w:val="center"/>
          </w:tcPr>
          <w:p w14:paraId="64550588">
            <w:pPr>
              <w:ind w:left="-105" w:leftChars="-50" w:right="-105" w:rightChars="-50"/>
              <w:jc w:val="center"/>
              <w:rPr>
                <w:color w:val="auto"/>
                <w:szCs w:val="21"/>
              </w:rPr>
            </w:pPr>
            <w:r>
              <w:rPr>
                <w:rFonts w:hint="eastAsia"/>
                <w:color w:val="auto"/>
                <w:szCs w:val="21"/>
              </w:rPr>
              <w:t>环保</w:t>
            </w:r>
          </w:p>
          <w:p w14:paraId="4352F62C">
            <w:pPr>
              <w:ind w:left="-105" w:leftChars="-50" w:right="-105" w:rightChars="-50"/>
              <w:jc w:val="center"/>
              <w:rPr>
                <w:color w:val="auto"/>
                <w:szCs w:val="21"/>
              </w:rPr>
            </w:pPr>
            <w:r>
              <w:rPr>
                <w:rFonts w:hint="eastAsia"/>
                <w:color w:val="auto"/>
                <w:szCs w:val="21"/>
              </w:rPr>
              <w:t>工程</w:t>
            </w:r>
          </w:p>
        </w:tc>
        <w:tc>
          <w:tcPr>
            <w:tcW w:w="262" w:type="pct"/>
            <w:vMerge w:val="restart"/>
            <w:vAlign w:val="center"/>
          </w:tcPr>
          <w:p w14:paraId="04B11C9F">
            <w:pPr>
              <w:ind w:left="-105" w:leftChars="-50" w:right="-105" w:rightChars="-50"/>
              <w:jc w:val="center"/>
              <w:rPr>
                <w:color w:val="auto"/>
                <w:szCs w:val="21"/>
                <w:highlight w:val="red"/>
              </w:rPr>
            </w:pPr>
            <w:r>
              <w:rPr>
                <w:rFonts w:hint="eastAsia"/>
                <w:color w:val="auto"/>
                <w:szCs w:val="21"/>
              </w:rPr>
              <w:t>废气</w:t>
            </w:r>
          </w:p>
        </w:tc>
        <w:tc>
          <w:tcPr>
            <w:tcW w:w="760" w:type="pct"/>
            <w:gridSpan w:val="2"/>
            <w:vAlign w:val="center"/>
          </w:tcPr>
          <w:p w14:paraId="5DBDA907">
            <w:pPr>
              <w:jc w:val="center"/>
              <w:rPr>
                <w:color w:val="auto"/>
              </w:rPr>
            </w:pPr>
            <w:r>
              <w:rPr>
                <w:rFonts w:hint="eastAsia"/>
                <w:color w:val="auto"/>
              </w:rPr>
              <w:t>运输扬尘</w:t>
            </w:r>
          </w:p>
        </w:tc>
        <w:tc>
          <w:tcPr>
            <w:tcW w:w="1138" w:type="pct"/>
            <w:vAlign w:val="center"/>
          </w:tcPr>
          <w:p w14:paraId="2067E0C2">
            <w:pPr>
              <w:jc w:val="center"/>
              <w:rPr>
                <w:color w:val="auto"/>
              </w:rPr>
            </w:pPr>
            <w:r>
              <w:rPr>
                <w:rFonts w:hint="eastAsia"/>
                <w:color w:val="auto"/>
              </w:rPr>
              <w:t>运输车辆加盖篷布，矿区内道路硬化，定期清扫、洒水抑尘；</w:t>
            </w:r>
            <w:r>
              <w:rPr>
                <w:rFonts w:hint="eastAsia"/>
                <w:color w:val="auto"/>
                <w:lang w:val="en-US" w:eastAsia="zh-CN"/>
              </w:rPr>
              <w:t>利用工业场地内现有</w:t>
            </w:r>
            <w:r>
              <w:rPr>
                <w:rFonts w:hint="eastAsia"/>
                <w:color w:val="auto"/>
              </w:rPr>
              <w:t>洗车平台</w:t>
            </w:r>
          </w:p>
        </w:tc>
        <w:tc>
          <w:tcPr>
            <w:tcW w:w="1659" w:type="pct"/>
            <w:vAlign w:val="center"/>
          </w:tcPr>
          <w:p w14:paraId="5B210D5E">
            <w:pPr>
              <w:jc w:val="center"/>
              <w:rPr>
                <w:color w:val="auto"/>
                <w:szCs w:val="21"/>
                <w:highlight w:val="none"/>
              </w:rPr>
            </w:pPr>
            <w:r>
              <w:rPr>
                <w:rFonts w:hint="eastAsia"/>
                <w:color w:val="auto"/>
              </w:rPr>
              <w:t>运输车辆加盖篷布，矿区内道路硬化，定期清扫、洒水抑尘；</w:t>
            </w:r>
            <w:r>
              <w:rPr>
                <w:rFonts w:hint="eastAsia"/>
                <w:color w:val="auto"/>
                <w:lang w:val="en-US" w:eastAsia="zh-CN"/>
              </w:rPr>
              <w:t>利用工业场地内现有</w:t>
            </w:r>
            <w:r>
              <w:rPr>
                <w:rFonts w:hint="eastAsia"/>
                <w:color w:val="auto"/>
              </w:rPr>
              <w:t>洗车平台</w:t>
            </w:r>
            <w:r>
              <w:rPr>
                <w:rFonts w:hint="eastAsia"/>
                <w:color w:val="auto"/>
                <w:highlight w:val="none"/>
              </w:rPr>
              <w:t>。</w:t>
            </w:r>
          </w:p>
        </w:tc>
        <w:tc>
          <w:tcPr>
            <w:tcW w:w="887" w:type="pct"/>
            <w:vAlign w:val="center"/>
          </w:tcPr>
          <w:p w14:paraId="345E05B9">
            <w:pPr>
              <w:jc w:val="center"/>
              <w:rPr>
                <w:color w:val="auto"/>
                <w:szCs w:val="21"/>
              </w:rPr>
            </w:pPr>
            <w:r>
              <w:rPr>
                <w:rFonts w:hint="eastAsia"/>
                <w:color w:val="auto"/>
                <w:szCs w:val="21"/>
              </w:rPr>
              <w:t>利旧</w:t>
            </w:r>
          </w:p>
        </w:tc>
      </w:tr>
      <w:tr w14:paraId="1EB12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92" w:type="pct"/>
            <w:vMerge w:val="continue"/>
            <w:vAlign w:val="center"/>
          </w:tcPr>
          <w:p w14:paraId="386C57CA">
            <w:pPr>
              <w:ind w:left="-105" w:leftChars="-50" w:right="-105" w:rightChars="-50"/>
              <w:jc w:val="center"/>
              <w:rPr>
                <w:color w:val="auto"/>
                <w:szCs w:val="21"/>
              </w:rPr>
            </w:pPr>
            <w:bookmarkStart w:id="6" w:name="_Hlk214493752"/>
          </w:p>
        </w:tc>
        <w:tc>
          <w:tcPr>
            <w:tcW w:w="262" w:type="pct"/>
            <w:vMerge w:val="continue"/>
            <w:vAlign w:val="center"/>
          </w:tcPr>
          <w:p w14:paraId="78B93C50">
            <w:pPr>
              <w:ind w:left="-105" w:leftChars="-50" w:right="-105" w:rightChars="-50"/>
              <w:jc w:val="center"/>
              <w:rPr>
                <w:color w:val="auto"/>
                <w:szCs w:val="21"/>
                <w:highlight w:val="red"/>
              </w:rPr>
            </w:pPr>
          </w:p>
        </w:tc>
        <w:tc>
          <w:tcPr>
            <w:tcW w:w="760" w:type="pct"/>
            <w:gridSpan w:val="2"/>
            <w:vAlign w:val="center"/>
          </w:tcPr>
          <w:p w14:paraId="14765572">
            <w:pPr>
              <w:jc w:val="center"/>
              <w:rPr>
                <w:color w:val="auto"/>
              </w:rPr>
            </w:pPr>
            <w:r>
              <w:rPr>
                <w:rFonts w:hint="eastAsia"/>
                <w:color w:val="auto"/>
              </w:rPr>
              <w:t>采剥粉尘</w:t>
            </w:r>
          </w:p>
        </w:tc>
        <w:tc>
          <w:tcPr>
            <w:tcW w:w="1138" w:type="pct"/>
            <w:vAlign w:val="center"/>
          </w:tcPr>
          <w:p w14:paraId="2E420D5A">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color w:val="auto"/>
              </w:rPr>
            </w:pPr>
            <w:r>
              <w:rPr>
                <w:rFonts w:hint="eastAsia"/>
                <w:color w:val="auto"/>
              </w:rPr>
              <w:t>露天开采工作面</w:t>
            </w:r>
            <w:r>
              <w:rPr>
                <w:rFonts w:hint="eastAsia"/>
                <w:color w:val="auto"/>
                <w:lang w:val="en-US" w:eastAsia="zh-CN"/>
              </w:rPr>
              <w:t>采用雾炮车</w:t>
            </w:r>
            <w:r>
              <w:rPr>
                <w:rFonts w:hint="eastAsia"/>
                <w:color w:val="auto"/>
              </w:rPr>
              <w:t>喷雾洒水抑尘</w:t>
            </w:r>
            <w:r>
              <w:rPr>
                <w:rFonts w:hint="eastAsia"/>
                <w:color w:val="auto"/>
                <w:lang w:eastAsia="zh-CN"/>
              </w:rPr>
              <w:t>，</w:t>
            </w:r>
            <w:r>
              <w:rPr>
                <w:rFonts w:hint="eastAsia"/>
                <w:color w:val="auto"/>
              </w:rPr>
              <w:t>工作面</w:t>
            </w:r>
            <w:r>
              <w:rPr>
                <w:rFonts w:hint="eastAsia"/>
                <w:color w:val="auto"/>
                <w:lang w:val="en-US" w:eastAsia="zh-CN"/>
              </w:rPr>
              <w:t>配备雾炮机</w:t>
            </w:r>
            <w:r>
              <w:rPr>
                <w:rFonts w:hint="eastAsia"/>
                <w:color w:val="auto"/>
              </w:rPr>
              <w:t>。</w:t>
            </w:r>
          </w:p>
        </w:tc>
        <w:tc>
          <w:tcPr>
            <w:tcW w:w="1659" w:type="pct"/>
            <w:vAlign w:val="center"/>
          </w:tcPr>
          <w:p w14:paraId="04C54207">
            <w:pPr>
              <w:jc w:val="center"/>
              <w:rPr>
                <w:color w:val="auto"/>
                <w:highlight w:val="none"/>
              </w:rPr>
            </w:pPr>
            <w:r>
              <w:rPr>
                <w:rFonts w:hint="eastAsia"/>
                <w:color w:val="auto"/>
              </w:rPr>
              <w:t>露天开采工作面</w:t>
            </w:r>
            <w:r>
              <w:rPr>
                <w:rFonts w:hint="eastAsia"/>
                <w:color w:val="auto"/>
                <w:lang w:val="en-US" w:eastAsia="zh-CN"/>
              </w:rPr>
              <w:t>采用雾炮车</w:t>
            </w:r>
            <w:r>
              <w:rPr>
                <w:rFonts w:hint="eastAsia"/>
                <w:color w:val="auto"/>
              </w:rPr>
              <w:t>喷雾洒水抑尘</w:t>
            </w:r>
            <w:r>
              <w:rPr>
                <w:rFonts w:hint="eastAsia"/>
                <w:color w:val="auto"/>
                <w:lang w:eastAsia="zh-CN"/>
              </w:rPr>
              <w:t>，</w:t>
            </w:r>
            <w:r>
              <w:rPr>
                <w:rFonts w:hint="eastAsia"/>
                <w:color w:val="auto"/>
              </w:rPr>
              <w:t>工作面</w:t>
            </w:r>
            <w:r>
              <w:rPr>
                <w:rFonts w:hint="eastAsia"/>
                <w:color w:val="auto"/>
                <w:lang w:val="en-US" w:eastAsia="zh-CN"/>
              </w:rPr>
              <w:t>配备1台雾炮车</w:t>
            </w:r>
            <w:r>
              <w:rPr>
                <w:rFonts w:hint="eastAsia"/>
                <w:color w:val="auto"/>
              </w:rPr>
              <w:t>。</w:t>
            </w:r>
          </w:p>
        </w:tc>
        <w:tc>
          <w:tcPr>
            <w:tcW w:w="887" w:type="pct"/>
            <w:vAlign w:val="center"/>
          </w:tcPr>
          <w:p w14:paraId="0BA51747">
            <w:pPr>
              <w:jc w:val="center"/>
              <w:rPr>
                <w:rFonts w:hint="default" w:eastAsia="宋体"/>
                <w:color w:val="auto"/>
                <w:lang w:val="en-US" w:eastAsia="zh-CN"/>
              </w:rPr>
            </w:pPr>
            <w:r>
              <w:rPr>
                <w:rFonts w:hint="eastAsia"/>
                <w:color w:val="auto"/>
                <w:lang w:val="en-US" w:eastAsia="zh-CN"/>
              </w:rPr>
              <w:t>雾炮机更换为雾炮车</w:t>
            </w:r>
          </w:p>
        </w:tc>
      </w:tr>
      <w:bookmarkEnd w:id="6"/>
      <w:tr w14:paraId="25B2B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92" w:type="pct"/>
            <w:vMerge w:val="continue"/>
            <w:vAlign w:val="center"/>
          </w:tcPr>
          <w:p w14:paraId="29A3CBA9">
            <w:pPr>
              <w:ind w:left="-105" w:leftChars="-50" w:right="-105" w:rightChars="-50"/>
              <w:jc w:val="center"/>
              <w:rPr>
                <w:color w:val="auto"/>
                <w:szCs w:val="21"/>
              </w:rPr>
            </w:pPr>
          </w:p>
        </w:tc>
        <w:tc>
          <w:tcPr>
            <w:tcW w:w="262" w:type="pct"/>
            <w:vMerge w:val="continue"/>
            <w:vAlign w:val="center"/>
          </w:tcPr>
          <w:p w14:paraId="6299FD8C">
            <w:pPr>
              <w:ind w:left="-105" w:leftChars="-50" w:right="-105" w:rightChars="-50"/>
              <w:jc w:val="center"/>
              <w:rPr>
                <w:color w:val="auto"/>
                <w:szCs w:val="21"/>
                <w:highlight w:val="red"/>
              </w:rPr>
            </w:pPr>
          </w:p>
        </w:tc>
        <w:tc>
          <w:tcPr>
            <w:tcW w:w="760" w:type="pct"/>
            <w:gridSpan w:val="2"/>
            <w:vAlign w:val="center"/>
          </w:tcPr>
          <w:p w14:paraId="32735CA8">
            <w:pPr>
              <w:jc w:val="center"/>
              <w:rPr>
                <w:color w:val="auto"/>
              </w:rPr>
            </w:pPr>
            <w:r>
              <w:rPr>
                <w:rFonts w:hint="eastAsia"/>
                <w:color w:val="auto"/>
              </w:rPr>
              <w:t>分割、整形粉尘</w:t>
            </w:r>
          </w:p>
        </w:tc>
        <w:tc>
          <w:tcPr>
            <w:tcW w:w="1138" w:type="pct"/>
            <w:vAlign w:val="center"/>
          </w:tcPr>
          <w:p w14:paraId="5C433230">
            <w:pPr>
              <w:jc w:val="center"/>
              <w:rPr>
                <w:color w:val="auto"/>
              </w:rPr>
            </w:pPr>
            <w:r>
              <w:rPr>
                <w:rFonts w:hint="eastAsia"/>
                <w:color w:val="auto"/>
                <w:highlight w:val="none"/>
              </w:rPr>
              <w:t>湿式切割，</w:t>
            </w:r>
            <w:r>
              <w:rPr>
                <w:rFonts w:hint="eastAsia"/>
                <w:color w:val="auto"/>
              </w:rPr>
              <w:t>雾炮机</w:t>
            </w:r>
            <w:r>
              <w:rPr>
                <w:rFonts w:hint="eastAsia"/>
                <w:color w:val="auto"/>
                <w:highlight w:val="none"/>
                <w:lang w:val="en-US" w:eastAsia="zh-CN"/>
              </w:rPr>
              <w:t>喷雾</w:t>
            </w:r>
            <w:r>
              <w:rPr>
                <w:rFonts w:hint="eastAsia"/>
                <w:color w:val="auto"/>
                <w:highlight w:val="none"/>
              </w:rPr>
              <w:t>降尘</w:t>
            </w:r>
            <w:r>
              <w:rPr>
                <w:rFonts w:hint="eastAsia"/>
                <w:color w:val="auto"/>
                <w:lang w:eastAsia="zh-CN"/>
              </w:rPr>
              <w:t>，</w:t>
            </w:r>
            <w:r>
              <w:rPr>
                <w:rFonts w:hint="eastAsia"/>
                <w:color w:val="auto"/>
              </w:rPr>
              <w:t>工作</w:t>
            </w:r>
            <w:r>
              <w:rPr>
                <w:rFonts w:hint="eastAsia"/>
                <w:color w:val="auto"/>
                <w:lang w:val="en-US" w:eastAsia="zh-CN"/>
              </w:rPr>
              <w:t>点配备1台雾炮机</w:t>
            </w:r>
            <w:r>
              <w:rPr>
                <w:rFonts w:hint="eastAsia"/>
                <w:color w:val="auto"/>
                <w:highlight w:val="none"/>
              </w:rPr>
              <w:t>。</w:t>
            </w:r>
          </w:p>
        </w:tc>
        <w:tc>
          <w:tcPr>
            <w:tcW w:w="1659" w:type="pct"/>
            <w:vAlign w:val="center"/>
          </w:tcPr>
          <w:p w14:paraId="53C85ABF">
            <w:pPr>
              <w:jc w:val="center"/>
              <w:rPr>
                <w:color w:val="auto"/>
                <w:highlight w:val="none"/>
              </w:rPr>
            </w:pPr>
            <w:r>
              <w:rPr>
                <w:rFonts w:hint="eastAsia"/>
                <w:color w:val="auto"/>
                <w:highlight w:val="none"/>
              </w:rPr>
              <w:t>湿式切割，</w:t>
            </w:r>
            <w:r>
              <w:rPr>
                <w:rFonts w:hint="eastAsia"/>
                <w:color w:val="auto"/>
              </w:rPr>
              <w:t>雾炮机</w:t>
            </w:r>
            <w:r>
              <w:rPr>
                <w:rFonts w:hint="eastAsia"/>
                <w:color w:val="auto"/>
                <w:highlight w:val="none"/>
                <w:lang w:val="en-US" w:eastAsia="zh-CN"/>
              </w:rPr>
              <w:t>喷雾</w:t>
            </w:r>
            <w:r>
              <w:rPr>
                <w:rFonts w:hint="eastAsia"/>
                <w:color w:val="auto"/>
                <w:highlight w:val="none"/>
              </w:rPr>
              <w:t>降尘</w:t>
            </w:r>
            <w:r>
              <w:rPr>
                <w:rFonts w:hint="eastAsia"/>
                <w:color w:val="auto"/>
                <w:lang w:eastAsia="zh-CN"/>
              </w:rPr>
              <w:t>，</w:t>
            </w:r>
            <w:r>
              <w:rPr>
                <w:rFonts w:hint="eastAsia"/>
                <w:color w:val="auto"/>
              </w:rPr>
              <w:t>工作</w:t>
            </w:r>
            <w:r>
              <w:rPr>
                <w:rFonts w:hint="eastAsia"/>
                <w:color w:val="auto"/>
                <w:lang w:val="en-US" w:eastAsia="zh-CN"/>
              </w:rPr>
              <w:t>点配备1台雾炮机</w:t>
            </w:r>
            <w:r>
              <w:rPr>
                <w:rFonts w:hint="eastAsia"/>
                <w:color w:val="auto"/>
                <w:highlight w:val="none"/>
              </w:rPr>
              <w:t>。</w:t>
            </w:r>
          </w:p>
        </w:tc>
        <w:tc>
          <w:tcPr>
            <w:tcW w:w="887" w:type="pct"/>
            <w:vAlign w:val="center"/>
          </w:tcPr>
          <w:p w14:paraId="050E2DC4">
            <w:pPr>
              <w:jc w:val="center"/>
              <w:rPr>
                <w:color w:val="auto"/>
              </w:rPr>
            </w:pPr>
            <w:r>
              <w:rPr>
                <w:rFonts w:hint="eastAsia"/>
                <w:color w:val="auto"/>
              </w:rPr>
              <w:t>利旧</w:t>
            </w:r>
          </w:p>
        </w:tc>
      </w:tr>
      <w:tr w14:paraId="5AAED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92" w:type="pct"/>
            <w:vMerge w:val="continue"/>
            <w:vAlign w:val="center"/>
          </w:tcPr>
          <w:p w14:paraId="3A50F983">
            <w:pPr>
              <w:ind w:left="-105" w:leftChars="-50" w:right="-105" w:rightChars="-50"/>
              <w:jc w:val="center"/>
              <w:rPr>
                <w:color w:val="auto"/>
                <w:szCs w:val="21"/>
              </w:rPr>
            </w:pPr>
          </w:p>
        </w:tc>
        <w:tc>
          <w:tcPr>
            <w:tcW w:w="262" w:type="pct"/>
            <w:vMerge w:val="continue"/>
            <w:vAlign w:val="center"/>
          </w:tcPr>
          <w:p w14:paraId="4EA8799F">
            <w:pPr>
              <w:ind w:left="-105" w:leftChars="-50" w:right="-105" w:rightChars="-50"/>
              <w:jc w:val="center"/>
              <w:rPr>
                <w:color w:val="auto"/>
                <w:szCs w:val="21"/>
                <w:highlight w:val="red"/>
              </w:rPr>
            </w:pPr>
          </w:p>
        </w:tc>
        <w:tc>
          <w:tcPr>
            <w:tcW w:w="760" w:type="pct"/>
            <w:gridSpan w:val="2"/>
            <w:vAlign w:val="center"/>
          </w:tcPr>
          <w:p w14:paraId="5D1BDC84">
            <w:pPr>
              <w:jc w:val="center"/>
              <w:rPr>
                <w:color w:val="auto"/>
              </w:rPr>
            </w:pPr>
            <w:r>
              <w:rPr>
                <w:rFonts w:hint="eastAsia"/>
                <w:color w:val="auto"/>
              </w:rPr>
              <w:t>采装粉尘</w:t>
            </w:r>
          </w:p>
        </w:tc>
        <w:tc>
          <w:tcPr>
            <w:tcW w:w="1138" w:type="pct"/>
            <w:vAlign w:val="center"/>
          </w:tcPr>
          <w:p w14:paraId="6F1B8AA0">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eastAsia" w:eastAsia="宋体"/>
                <w:color w:val="auto"/>
                <w:lang w:eastAsia="zh-CN"/>
              </w:rPr>
            </w:pPr>
            <w:r>
              <w:rPr>
                <w:rFonts w:hint="eastAsia"/>
                <w:color w:val="auto"/>
              </w:rPr>
              <w:t>物料装卸过程中采用雾炮机定点喷雾降尘</w:t>
            </w:r>
            <w:r>
              <w:rPr>
                <w:rFonts w:hint="eastAsia"/>
                <w:color w:val="auto"/>
                <w:lang w:eastAsia="zh-CN"/>
              </w:rPr>
              <w:t>，</w:t>
            </w:r>
            <w:r>
              <w:rPr>
                <w:rFonts w:hint="eastAsia"/>
                <w:color w:val="auto"/>
              </w:rPr>
              <w:t>装卸</w:t>
            </w:r>
            <w:r>
              <w:rPr>
                <w:rFonts w:hint="eastAsia"/>
                <w:color w:val="auto"/>
                <w:lang w:val="en-US" w:eastAsia="zh-CN"/>
              </w:rPr>
              <w:t>点配备2台雾炮机</w:t>
            </w:r>
            <w:r>
              <w:rPr>
                <w:rFonts w:hint="eastAsia"/>
                <w:color w:val="auto"/>
                <w:lang w:eastAsia="zh-CN"/>
              </w:rPr>
              <w:t>。</w:t>
            </w:r>
          </w:p>
        </w:tc>
        <w:tc>
          <w:tcPr>
            <w:tcW w:w="1659" w:type="pct"/>
            <w:vAlign w:val="center"/>
          </w:tcPr>
          <w:p w14:paraId="15F19ABA">
            <w:pPr>
              <w:jc w:val="center"/>
              <w:rPr>
                <w:color w:val="auto"/>
                <w:highlight w:val="none"/>
              </w:rPr>
            </w:pPr>
            <w:r>
              <w:rPr>
                <w:rFonts w:hint="eastAsia"/>
                <w:color w:val="auto"/>
              </w:rPr>
              <w:t>物料装卸过程中采用雾炮机定点喷雾降尘</w:t>
            </w:r>
            <w:r>
              <w:rPr>
                <w:rFonts w:hint="eastAsia"/>
                <w:color w:val="auto"/>
                <w:lang w:eastAsia="zh-CN"/>
              </w:rPr>
              <w:t>，</w:t>
            </w:r>
            <w:r>
              <w:rPr>
                <w:rFonts w:hint="eastAsia"/>
                <w:color w:val="auto"/>
              </w:rPr>
              <w:t>装卸</w:t>
            </w:r>
            <w:r>
              <w:rPr>
                <w:rFonts w:hint="eastAsia"/>
                <w:color w:val="auto"/>
                <w:lang w:val="en-US" w:eastAsia="zh-CN"/>
              </w:rPr>
              <w:t>点配备2台雾炮机</w:t>
            </w:r>
            <w:r>
              <w:rPr>
                <w:rFonts w:hint="eastAsia"/>
                <w:color w:val="auto"/>
                <w:highlight w:val="none"/>
              </w:rPr>
              <w:t>。</w:t>
            </w:r>
          </w:p>
        </w:tc>
        <w:tc>
          <w:tcPr>
            <w:tcW w:w="887" w:type="pct"/>
            <w:vAlign w:val="center"/>
          </w:tcPr>
          <w:p w14:paraId="036DFB91">
            <w:pPr>
              <w:jc w:val="center"/>
              <w:rPr>
                <w:color w:val="auto"/>
              </w:rPr>
            </w:pPr>
            <w:r>
              <w:rPr>
                <w:rFonts w:hint="eastAsia"/>
                <w:color w:val="auto"/>
              </w:rPr>
              <w:t>利旧</w:t>
            </w:r>
          </w:p>
        </w:tc>
      </w:tr>
      <w:tr w14:paraId="57F07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92" w:type="pct"/>
            <w:vMerge w:val="continue"/>
            <w:vAlign w:val="center"/>
          </w:tcPr>
          <w:p w14:paraId="7AE530EF">
            <w:pPr>
              <w:ind w:left="-105" w:leftChars="-50" w:right="-105" w:rightChars="-50"/>
              <w:jc w:val="center"/>
              <w:rPr>
                <w:color w:val="auto"/>
                <w:szCs w:val="21"/>
              </w:rPr>
            </w:pPr>
          </w:p>
        </w:tc>
        <w:tc>
          <w:tcPr>
            <w:tcW w:w="262" w:type="pct"/>
            <w:vMerge w:val="continue"/>
            <w:vAlign w:val="center"/>
          </w:tcPr>
          <w:p w14:paraId="2FDC8531">
            <w:pPr>
              <w:ind w:left="-105" w:leftChars="-50" w:right="-105" w:rightChars="-50"/>
              <w:jc w:val="center"/>
              <w:rPr>
                <w:color w:val="auto"/>
                <w:szCs w:val="21"/>
                <w:highlight w:val="red"/>
              </w:rPr>
            </w:pPr>
          </w:p>
        </w:tc>
        <w:tc>
          <w:tcPr>
            <w:tcW w:w="760" w:type="pct"/>
            <w:gridSpan w:val="2"/>
            <w:vAlign w:val="center"/>
          </w:tcPr>
          <w:p w14:paraId="11E3C7C8">
            <w:pPr>
              <w:jc w:val="center"/>
              <w:rPr>
                <w:color w:val="auto"/>
              </w:rPr>
            </w:pPr>
            <w:r>
              <w:rPr>
                <w:rFonts w:hint="eastAsia"/>
                <w:color w:val="auto"/>
              </w:rPr>
              <w:t>排土场粉尘</w:t>
            </w:r>
          </w:p>
        </w:tc>
        <w:tc>
          <w:tcPr>
            <w:tcW w:w="1138" w:type="pct"/>
            <w:vAlign w:val="center"/>
          </w:tcPr>
          <w:p w14:paraId="65059447">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eastAsia" w:eastAsia="宋体"/>
                <w:color w:val="auto"/>
                <w:lang w:eastAsia="zh-CN"/>
              </w:rPr>
            </w:pPr>
            <w:r>
              <w:rPr>
                <w:rFonts w:hint="eastAsia"/>
                <w:color w:val="auto"/>
              </w:rPr>
              <w:t>采取卸料过程设置雾炮机抑尘、大风天气禁止作业、规范堆存作业</w:t>
            </w:r>
            <w:r>
              <w:rPr>
                <w:rFonts w:hint="eastAsia"/>
                <w:color w:val="auto"/>
                <w:lang w:eastAsia="zh-CN"/>
              </w:rPr>
              <w:t>。</w:t>
            </w:r>
            <w:r>
              <w:rPr>
                <w:rFonts w:hint="eastAsia"/>
                <w:color w:val="auto"/>
              </w:rPr>
              <w:t>卸料</w:t>
            </w:r>
            <w:r>
              <w:rPr>
                <w:rFonts w:hint="eastAsia"/>
                <w:color w:val="auto"/>
                <w:lang w:val="en-US" w:eastAsia="zh-CN"/>
              </w:rPr>
              <w:t>点配备2台雾炮机</w:t>
            </w:r>
            <w:r>
              <w:rPr>
                <w:rFonts w:hint="eastAsia"/>
                <w:color w:val="auto"/>
                <w:lang w:eastAsia="zh-CN"/>
              </w:rPr>
              <w:t>。</w:t>
            </w:r>
          </w:p>
        </w:tc>
        <w:tc>
          <w:tcPr>
            <w:tcW w:w="1659" w:type="pct"/>
            <w:vAlign w:val="center"/>
          </w:tcPr>
          <w:p w14:paraId="13439978">
            <w:pPr>
              <w:jc w:val="center"/>
              <w:rPr>
                <w:color w:val="auto"/>
                <w:highlight w:val="none"/>
              </w:rPr>
            </w:pPr>
            <w:r>
              <w:rPr>
                <w:rFonts w:hint="eastAsia"/>
                <w:color w:val="auto"/>
              </w:rPr>
              <w:t>采取卸料过程设置雾炮机抑尘、大风天气禁止作业、规范堆存作业</w:t>
            </w:r>
            <w:r>
              <w:rPr>
                <w:rFonts w:hint="eastAsia"/>
                <w:color w:val="auto"/>
                <w:lang w:eastAsia="zh-CN"/>
              </w:rPr>
              <w:t>。</w:t>
            </w:r>
            <w:r>
              <w:rPr>
                <w:rFonts w:hint="eastAsia"/>
                <w:color w:val="auto"/>
              </w:rPr>
              <w:t>卸料</w:t>
            </w:r>
            <w:r>
              <w:rPr>
                <w:rFonts w:hint="eastAsia"/>
                <w:color w:val="auto"/>
                <w:lang w:val="en-US" w:eastAsia="zh-CN"/>
              </w:rPr>
              <w:t>点配备2台雾炮机</w:t>
            </w:r>
            <w:r>
              <w:rPr>
                <w:rFonts w:hint="eastAsia"/>
                <w:color w:val="auto"/>
                <w:highlight w:val="none"/>
              </w:rPr>
              <w:t>。</w:t>
            </w:r>
          </w:p>
        </w:tc>
        <w:tc>
          <w:tcPr>
            <w:tcW w:w="887" w:type="pct"/>
            <w:vAlign w:val="center"/>
          </w:tcPr>
          <w:p w14:paraId="266752E8">
            <w:pPr>
              <w:jc w:val="center"/>
              <w:rPr>
                <w:color w:val="auto"/>
              </w:rPr>
            </w:pPr>
            <w:r>
              <w:rPr>
                <w:rFonts w:hint="eastAsia"/>
                <w:color w:val="auto"/>
              </w:rPr>
              <w:t>利旧</w:t>
            </w:r>
          </w:p>
        </w:tc>
      </w:tr>
      <w:tr w14:paraId="1D7B0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92" w:type="pct"/>
            <w:vMerge w:val="continue"/>
            <w:vAlign w:val="center"/>
          </w:tcPr>
          <w:p w14:paraId="3F49F2B7">
            <w:pPr>
              <w:jc w:val="center"/>
              <w:rPr>
                <w:color w:val="auto"/>
                <w:szCs w:val="21"/>
              </w:rPr>
            </w:pPr>
          </w:p>
        </w:tc>
        <w:tc>
          <w:tcPr>
            <w:tcW w:w="262" w:type="pct"/>
            <w:vAlign w:val="center"/>
          </w:tcPr>
          <w:p w14:paraId="68221331">
            <w:pPr>
              <w:adjustRightInd w:val="0"/>
              <w:snapToGrid w:val="0"/>
              <w:ind w:left="-105" w:leftChars="-50" w:right="-105" w:rightChars="-50"/>
              <w:jc w:val="center"/>
              <w:rPr>
                <w:color w:val="auto"/>
                <w:szCs w:val="21"/>
              </w:rPr>
            </w:pPr>
            <w:r>
              <w:rPr>
                <w:rFonts w:hint="eastAsia"/>
                <w:color w:val="auto"/>
                <w:szCs w:val="21"/>
              </w:rPr>
              <w:t>废水</w:t>
            </w:r>
          </w:p>
        </w:tc>
        <w:tc>
          <w:tcPr>
            <w:tcW w:w="760" w:type="pct"/>
            <w:gridSpan w:val="2"/>
            <w:shd w:val="clear" w:color="auto" w:fill="auto"/>
            <w:vAlign w:val="center"/>
          </w:tcPr>
          <w:p w14:paraId="5F053BAE">
            <w:pPr>
              <w:adjustRightInd w:val="0"/>
              <w:snapToGrid w:val="0"/>
              <w:ind w:left="-105" w:leftChars="-50" w:right="-105" w:rightChars="-50"/>
              <w:jc w:val="center"/>
              <w:rPr>
                <w:bCs/>
                <w:color w:val="auto"/>
                <w:spacing w:val="10"/>
                <w:szCs w:val="21"/>
              </w:rPr>
            </w:pPr>
            <w:r>
              <w:rPr>
                <w:rFonts w:hint="eastAsia"/>
                <w:color w:val="auto"/>
                <w:szCs w:val="21"/>
              </w:rPr>
              <w:t>生活污水</w:t>
            </w:r>
          </w:p>
        </w:tc>
        <w:tc>
          <w:tcPr>
            <w:tcW w:w="1138" w:type="pct"/>
            <w:shd w:val="clear" w:color="auto" w:fill="auto"/>
            <w:vAlign w:val="center"/>
          </w:tcPr>
          <w:p w14:paraId="480DF220">
            <w:pPr>
              <w:adjustRightInd w:val="0"/>
              <w:snapToGrid w:val="0"/>
              <w:jc w:val="center"/>
              <w:rPr>
                <w:rFonts w:hint="eastAsia" w:eastAsia="宋体"/>
                <w:color w:val="auto"/>
                <w:szCs w:val="21"/>
                <w:lang w:eastAsia="zh-CN"/>
              </w:rPr>
            </w:pPr>
            <w:r>
              <w:rPr>
                <w:rFonts w:hint="eastAsia"/>
                <w:color w:val="auto"/>
                <w:szCs w:val="21"/>
              </w:rPr>
              <w:t>收集至化粪池，定期清掏</w:t>
            </w:r>
            <w:r>
              <w:rPr>
                <w:rFonts w:hint="eastAsia"/>
                <w:color w:val="auto"/>
                <w:szCs w:val="21"/>
                <w:lang w:eastAsia="zh-CN"/>
              </w:rPr>
              <w:t>。</w:t>
            </w:r>
          </w:p>
        </w:tc>
        <w:tc>
          <w:tcPr>
            <w:tcW w:w="1659" w:type="pct"/>
            <w:shd w:val="clear" w:color="auto" w:fill="auto"/>
            <w:vAlign w:val="center"/>
          </w:tcPr>
          <w:p w14:paraId="6D919A86">
            <w:pPr>
              <w:adjustRightInd w:val="0"/>
              <w:snapToGrid w:val="0"/>
              <w:jc w:val="center"/>
              <w:rPr>
                <w:color w:val="auto"/>
                <w:kern w:val="0"/>
                <w:szCs w:val="21"/>
                <w:highlight w:val="none"/>
                <w:lang w:bidi="ar"/>
              </w:rPr>
            </w:pPr>
            <w:r>
              <w:rPr>
                <w:rFonts w:hint="eastAsia"/>
                <w:color w:val="auto"/>
                <w:highlight w:val="none"/>
              </w:rPr>
              <w:t>新增1套油水分离器，经处理后的食堂废水与其余生活污水一并排入化粪池，定期清掏。</w:t>
            </w:r>
          </w:p>
        </w:tc>
        <w:tc>
          <w:tcPr>
            <w:tcW w:w="887" w:type="pct"/>
            <w:vAlign w:val="center"/>
          </w:tcPr>
          <w:p w14:paraId="6ED1199B">
            <w:pPr>
              <w:jc w:val="center"/>
              <w:rPr>
                <w:color w:val="auto"/>
                <w:szCs w:val="21"/>
              </w:rPr>
            </w:pPr>
            <w:r>
              <w:rPr>
                <w:rFonts w:hint="eastAsia"/>
                <w:color w:val="auto"/>
                <w:highlight w:val="none"/>
                <w:lang w:val="en-US" w:eastAsia="zh-CN"/>
              </w:rPr>
              <w:t>食堂</w:t>
            </w:r>
            <w:r>
              <w:rPr>
                <w:rFonts w:hint="eastAsia"/>
                <w:color w:val="auto"/>
                <w:highlight w:val="none"/>
              </w:rPr>
              <w:t>新增1套油水分离器</w:t>
            </w:r>
          </w:p>
        </w:tc>
      </w:tr>
      <w:tr w14:paraId="3E77F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292" w:type="pct"/>
            <w:vMerge w:val="continue"/>
            <w:vAlign w:val="center"/>
          </w:tcPr>
          <w:p w14:paraId="17B12C16">
            <w:pPr>
              <w:jc w:val="center"/>
              <w:rPr>
                <w:color w:val="auto"/>
                <w:szCs w:val="21"/>
              </w:rPr>
            </w:pPr>
          </w:p>
        </w:tc>
        <w:tc>
          <w:tcPr>
            <w:tcW w:w="262" w:type="pct"/>
            <w:vMerge w:val="restart"/>
            <w:vAlign w:val="center"/>
          </w:tcPr>
          <w:p w14:paraId="45C65C29">
            <w:pPr>
              <w:ind w:left="-105" w:leftChars="-50" w:right="-105" w:rightChars="-50"/>
              <w:jc w:val="center"/>
              <w:rPr>
                <w:color w:val="auto"/>
                <w:szCs w:val="21"/>
              </w:rPr>
            </w:pPr>
            <w:r>
              <w:rPr>
                <w:rFonts w:hint="eastAsia"/>
                <w:color w:val="auto"/>
                <w:szCs w:val="21"/>
              </w:rPr>
              <w:t>噪声</w:t>
            </w:r>
          </w:p>
        </w:tc>
        <w:tc>
          <w:tcPr>
            <w:tcW w:w="760" w:type="pct"/>
            <w:gridSpan w:val="2"/>
            <w:shd w:val="clear" w:color="auto" w:fill="auto"/>
            <w:vAlign w:val="center"/>
          </w:tcPr>
          <w:p w14:paraId="76B806BD">
            <w:pPr>
              <w:adjustRightInd w:val="0"/>
              <w:snapToGrid w:val="0"/>
              <w:ind w:left="-105" w:leftChars="-50" w:right="-105" w:rightChars="-50"/>
              <w:jc w:val="center"/>
              <w:rPr>
                <w:bCs/>
                <w:color w:val="auto"/>
                <w:spacing w:val="10"/>
                <w:szCs w:val="21"/>
              </w:rPr>
            </w:pPr>
            <w:r>
              <w:rPr>
                <w:rFonts w:hint="eastAsia"/>
                <w:color w:val="auto"/>
                <w:szCs w:val="21"/>
              </w:rPr>
              <w:t>设备噪声</w:t>
            </w:r>
          </w:p>
        </w:tc>
        <w:tc>
          <w:tcPr>
            <w:tcW w:w="1138" w:type="pct"/>
            <w:shd w:val="clear" w:color="auto" w:fill="auto"/>
            <w:vAlign w:val="center"/>
          </w:tcPr>
          <w:p w14:paraId="6466CE21">
            <w:pPr>
              <w:adjustRightInd w:val="0"/>
              <w:snapToGrid w:val="0"/>
              <w:jc w:val="center"/>
              <w:rPr>
                <w:color w:val="auto"/>
                <w:szCs w:val="21"/>
              </w:rPr>
            </w:pPr>
            <w:r>
              <w:rPr>
                <w:rFonts w:hint="eastAsia"/>
                <w:color w:val="auto"/>
                <w:szCs w:val="21"/>
              </w:rPr>
              <w:t>采用低噪声设备；加装消声器；加装减震装置；注意设备润滑；更换老化和性能降低的旧设备。</w:t>
            </w:r>
          </w:p>
        </w:tc>
        <w:tc>
          <w:tcPr>
            <w:tcW w:w="1659" w:type="pct"/>
            <w:shd w:val="clear" w:color="auto" w:fill="auto"/>
            <w:vAlign w:val="center"/>
          </w:tcPr>
          <w:p w14:paraId="59F5922F">
            <w:pPr>
              <w:adjustRightInd w:val="0"/>
              <w:snapToGrid w:val="0"/>
              <w:jc w:val="center"/>
              <w:rPr>
                <w:color w:val="auto"/>
                <w:kern w:val="0"/>
                <w:szCs w:val="21"/>
                <w:highlight w:val="none"/>
                <w:lang w:bidi="ar"/>
              </w:rPr>
            </w:pPr>
            <w:r>
              <w:rPr>
                <w:rFonts w:hint="eastAsia"/>
                <w:color w:val="auto"/>
                <w:szCs w:val="21"/>
              </w:rPr>
              <w:t>采用低噪声设备；加装消声器；加装减震装置；注意设备润滑；更换老化和性能降低的旧设备</w:t>
            </w:r>
            <w:r>
              <w:rPr>
                <w:rFonts w:hint="eastAsia"/>
                <w:color w:val="auto"/>
                <w:highlight w:val="none"/>
              </w:rPr>
              <w:t>。</w:t>
            </w:r>
          </w:p>
        </w:tc>
        <w:tc>
          <w:tcPr>
            <w:tcW w:w="887" w:type="pct"/>
            <w:vAlign w:val="center"/>
          </w:tcPr>
          <w:p w14:paraId="4F764315">
            <w:pPr>
              <w:jc w:val="center"/>
              <w:rPr>
                <w:color w:val="auto"/>
                <w:szCs w:val="21"/>
              </w:rPr>
            </w:pPr>
            <w:r>
              <w:rPr>
                <w:rFonts w:hint="eastAsia"/>
                <w:color w:val="auto"/>
                <w:szCs w:val="21"/>
              </w:rPr>
              <w:t>利旧</w:t>
            </w:r>
          </w:p>
        </w:tc>
      </w:tr>
      <w:tr w14:paraId="09A6D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92" w:type="pct"/>
            <w:vMerge w:val="continue"/>
            <w:vAlign w:val="center"/>
          </w:tcPr>
          <w:p w14:paraId="138F6E49">
            <w:pPr>
              <w:jc w:val="center"/>
              <w:rPr>
                <w:color w:val="auto"/>
                <w:szCs w:val="21"/>
              </w:rPr>
            </w:pPr>
          </w:p>
        </w:tc>
        <w:tc>
          <w:tcPr>
            <w:tcW w:w="262" w:type="pct"/>
            <w:vMerge w:val="continue"/>
            <w:vAlign w:val="center"/>
          </w:tcPr>
          <w:p w14:paraId="4664E978">
            <w:pPr>
              <w:ind w:left="-105" w:leftChars="-50" w:right="-105" w:rightChars="-50"/>
              <w:jc w:val="center"/>
              <w:rPr>
                <w:color w:val="auto"/>
                <w:szCs w:val="21"/>
              </w:rPr>
            </w:pPr>
          </w:p>
        </w:tc>
        <w:tc>
          <w:tcPr>
            <w:tcW w:w="760" w:type="pct"/>
            <w:gridSpan w:val="2"/>
            <w:shd w:val="clear" w:color="auto" w:fill="auto"/>
            <w:vAlign w:val="center"/>
          </w:tcPr>
          <w:p w14:paraId="0E4A0855">
            <w:pPr>
              <w:adjustRightInd w:val="0"/>
              <w:snapToGrid w:val="0"/>
              <w:ind w:left="-105" w:leftChars="-50" w:right="-105" w:rightChars="-50"/>
              <w:jc w:val="center"/>
              <w:rPr>
                <w:bCs/>
                <w:color w:val="auto"/>
                <w:spacing w:val="10"/>
                <w:szCs w:val="21"/>
              </w:rPr>
            </w:pPr>
            <w:r>
              <w:rPr>
                <w:rFonts w:hint="eastAsia"/>
                <w:color w:val="auto"/>
                <w:szCs w:val="21"/>
              </w:rPr>
              <w:t>交通噪声</w:t>
            </w:r>
          </w:p>
        </w:tc>
        <w:tc>
          <w:tcPr>
            <w:tcW w:w="1138" w:type="pct"/>
            <w:shd w:val="clear" w:color="auto" w:fill="auto"/>
            <w:vAlign w:val="center"/>
          </w:tcPr>
          <w:p w14:paraId="09883145">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eastAsia="宋体"/>
                <w:color w:val="auto"/>
                <w:szCs w:val="21"/>
                <w:highlight w:val="red"/>
                <w:lang w:eastAsia="zh-CN"/>
              </w:rPr>
            </w:pPr>
            <w:r>
              <w:rPr>
                <w:rFonts w:hint="eastAsia"/>
                <w:color w:val="auto"/>
                <w:szCs w:val="21"/>
                <w:highlight w:val="none"/>
              </w:rPr>
              <w:t>优先选择低噪声设备，加强对运输车辆的维护；确保关键部件的良好运转。</w:t>
            </w:r>
            <w:r>
              <w:rPr>
                <w:rFonts w:hint="eastAsia" w:eastAsia="宋体"/>
                <w:color w:val="auto"/>
                <w:highlight w:val="none"/>
              </w:rPr>
              <w:t>运输车辆经过村庄时限速行驶、严禁鸣笛，严禁夜间运输</w:t>
            </w:r>
            <w:r>
              <w:rPr>
                <w:rFonts w:hint="eastAsia"/>
                <w:color w:val="auto"/>
                <w:lang w:eastAsia="zh-CN"/>
              </w:rPr>
              <w:t>。</w:t>
            </w:r>
          </w:p>
        </w:tc>
        <w:tc>
          <w:tcPr>
            <w:tcW w:w="1659" w:type="pct"/>
            <w:shd w:val="clear" w:color="auto" w:fill="auto"/>
            <w:vAlign w:val="center"/>
          </w:tcPr>
          <w:p w14:paraId="066DE176">
            <w:pPr>
              <w:adjustRightInd w:val="0"/>
              <w:snapToGrid w:val="0"/>
              <w:jc w:val="center"/>
              <w:rPr>
                <w:color w:val="auto"/>
                <w:kern w:val="0"/>
                <w:szCs w:val="21"/>
                <w:highlight w:val="none"/>
                <w:lang w:bidi="ar"/>
              </w:rPr>
            </w:pPr>
            <w:r>
              <w:rPr>
                <w:rFonts w:hint="eastAsia"/>
                <w:color w:val="auto"/>
                <w:szCs w:val="21"/>
                <w:highlight w:val="none"/>
              </w:rPr>
              <w:t>优先选择低噪声设备，加强对运输车辆的维护；确保关键部件的良好运转。</w:t>
            </w:r>
            <w:r>
              <w:rPr>
                <w:rFonts w:hint="eastAsia" w:eastAsia="宋体"/>
                <w:color w:val="auto"/>
                <w:highlight w:val="none"/>
              </w:rPr>
              <w:t>运输车辆经过村庄时限速行驶、严禁鸣笛，严禁夜间运输</w:t>
            </w:r>
            <w:r>
              <w:rPr>
                <w:rFonts w:hint="eastAsia"/>
                <w:color w:val="auto"/>
                <w:highlight w:val="none"/>
              </w:rPr>
              <w:t>。</w:t>
            </w:r>
          </w:p>
        </w:tc>
        <w:tc>
          <w:tcPr>
            <w:tcW w:w="887" w:type="pct"/>
            <w:vAlign w:val="center"/>
          </w:tcPr>
          <w:p w14:paraId="09B3F9BA">
            <w:pPr>
              <w:jc w:val="center"/>
              <w:rPr>
                <w:color w:val="auto"/>
                <w:szCs w:val="21"/>
              </w:rPr>
            </w:pPr>
            <w:r>
              <w:rPr>
                <w:rFonts w:hint="eastAsia"/>
                <w:color w:val="auto"/>
                <w:szCs w:val="21"/>
              </w:rPr>
              <w:t>利旧</w:t>
            </w:r>
          </w:p>
        </w:tc>
      </w:tr>
      <w:tr w14:paraId="3A178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92" w:type="pct"/>
            <w:vMerge w:val="continue"/>
            <w:vAlign w:val="center"/>
          </w:tcPr>
          <w:p w14:paraId="7602B799">
            <w:pPr>
              <w:jc w:val="center"/>
              <w:rPr>
                <w:color w:val="auto"/>
                <w:szCs w:val="21"/>
              </w:rPr>
            </w:pPr>
          </w:p>
        </w:tc>
        <w:tc>
          <w:tcPr>
            <w:tcW w:w="262" w:type="pct"/>
            <w:vMerge w:val="restart"/>
            <w:vAlign w:val="center"/>
          </w:tcPr>
          <w:p w14:paraId="40B31D4B">
            <w:pPr>
              <w:ind w:left="-105" w:leftChars="-50" w:right="-105" w:rightChars="-50"/>
              <w:jc w:val="center"/>
              <w:rPr>
                <w:color w:val="auto"/>
                <w:szCs w:val="21"/>
              </w:rPr>
            </w:pPr>
            <w:r>
              <w:rPr>
                <w:rFonts w:hint="eastAsia"/>
                <w:color w:val="auto"/>
                <w:szCs w:val="21"/>
              </w:rPr>
              <w:t>固废</w:t>
            </w:r>
          </w:p>
        </w:tc>
        <w:tc>
          <w:tcPr>
            <w:tcW w:w="760" w:type="pct"/>
            <w:gridSpan w:val="2"/>
            <w:shd w:val="clear" w:color="auto" w:fill="auto"/>
            <w:vAlign w:val="center"/>
          </w:tcPr>
          <w:p w14:paraId="70ABD8B9">
            <w:pPr>
              <w:jc w:val="center"/>
              <w:rPr>
                <w:bCs/>
                <w:color w:val="auto"/>
                <w:spacing w:val="10"/>
                <w:szCs w:val="21"/>
              </w:rPr>
            </w:pPr>
            <w:r>
              <w:rPr>
                <w:rFonts w:hint="eastAsia"/>
                <w:color w:val="auto"/>
                <w:szCs w:val="21"/>
              </w:rPr>
              <w:t>剥离物</w:t>
            </w:r>
          </w:p>
        </w:tc>
        <w:tc>
          <w:tcPr>
            <w:tcW w:w="1138" w:type="pct"/>
            <w:shd w:val="clear" w:color="auto" w:fill="auto"/>
            <w:vAlign w:val="center"/>
          </w:tcPr>
          <w:p w14:paraId="2B15C746">
            <w:pPr>
              <w:jc w:val="center"/>
              <w:rPr>
                <w:color w:val="auto"/>
                <w:szCs w:val="21"/>
                <w:highlight w:val="red"/>
              </w:rPr>
            </w:pPr>
            <w:r>
              <w:rPr>
                <w:rFonts w:hint="eastAsia"/>
                <w:color w:val="auto"/>
                <w:szCs w:val="21"/>
                <w:highlight w:val="none"/>
              </w:rPr>
              <w:t>外剥离产生的废土废石运至排土场堆排，内剥离产生的大块碎石运送至本项目配套工业场地破碎成不同粒径的碎石进行销售，小块碎石直接外售。</w:t>
            </w:r>
          </w:p>
        </w:tc>
        <w:tc>
          <w:tcPr>
            <w:tcW w:w="1659" w:type="pct"/>
            <w:shd w:val="clear" w:color="auto" w:fill="auto"/>
            <w:vAlign w:val="center"/>
          </w:tcPr>
          <w:p w14:paraId="68D9B988">
            <w:pPr>
              <w:jc w:val="center"/>
              <w:rPr>
                <w:color w:val="auto"/>
                <w:highlight w:val="none"/>
              </w:rPr>
            </w:pPr>
            <w:r>
              <w:rPr>
                <w:rFonts w:hint="eastAsia"/>
                <w:color w:val="auto"/>
                <w:highlight w:val="none"/>
              </w:rPr>
              <w:t>外剥离产生的废土废石运至排土场堆排，内剥离产生的大块碎石（约10万吨/年）运送至本项目配套工业场地破碎成不同粒径的碎石进行销售，小块碎石直接外售。</w:t>
            </w:r>
          </w:p>
        </w:tc>
        <w:tc>
          <w:tcPr>
            <w:tcW w:w="887" w:type="pct"/>
            <w:vAlign w:val="center"/>
          </w:tcPr>
          <w:p w14:paraId="1AEB4365">
            <w:pPr>
              <w:jc w:val="center"/>
              <w:rPr>
                <w:color w:val="auto"/>
              </w:rPr>
            </w:pPr>
            <w:r>
              <w:rPr>
                <w:rFonts w:hint="eastAsia"/>
                <w:color w:val="auto"/>
                <w:szCs w:val="21"/>
              </w:rPr>
              <w:t>利旧</w:t>
            </w:r>
          </w:p>
        </w:tc>
      </w:tr>
      <w:tr w14:paraId="3D788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92" w:type="pct"/>
            <w:vMerge w:val="continue"/>
            <w:vAlign w:val="center"/>
          </w:tcPr>
          <w:p w14:paraId="2F0BC522">
            <w:pPr>
              <w:jc w:val="center"/>
              <w:rPr>
                <w:color w:val="auto"/>
                <w:szCs w:val="21"/>
              </w:rPr>
            </w:pPr>
          </w:p>
        </w:tc>
        <w:tc>
          <w:tcPr>
            <w:tcW w:w="262" w:type="pct"/>
            <w:vMerge w:val="continue"/>
            <w:vAlign w:val="center"/>
          </w:tcPr>
          <w:p w14:paraId="1957998B">
            <w:pPr>
              <w:jc w:val="center"/>
              <w:rPr>
                <w:color w:val="auto"/>
                <w:szCs w:val="21"/>
              </w:rPr>
            </w:pPr>
          </w:p>
        </w:tc>
        <w:tc>
          <w:tcPr>
            <w:tcW w:w="760" w:type="pct"/>
            <w:gridSpan w:val="2"/>
            <w:shd w:val="clear" w:color="auto" w:fill="auto"/>
            <w:vAlign w:val="center"/>
          </w:tcPr>
          <w:p w14:paraId="2B57CFD3">
            <w:pPr>
              <w:adjustRightInd w:val="0"/>
              <w:snapToGrid w:val="0"/>
              <w:ind w:left="-105" w:leftChars="-50" w:right="-105" w:rightChars="-50"/>
              <w:jc w:val="center"/>
              <w:rPr>
                <w:color w:val="auto"/>
                <w:szCs w:val="21"/>
              </w:rPr>
            </w:pPr>
            <w:r>
              <w:rPr>
                <w:rFonts w:hint="eastAsia"/>
                <w:color w:val="auto"/>
                <w:szCs w:val="21"/>
              </w:rPr>
              <w:t>危险废物</w:t>
            </w:r>
          </w:p>
        </w:tc>
        <w:tc>
          <w:tcPr>
            <w:tcW w:w="1138" w:type="pct"/>
            <w:shd w:val="clear" w:color="auto" w:fill="auto"/>
            <w:vAlign w:val="center"/>
          </w:tcPr>
          <w:p w14:paraId="1E4E59E8">
            <w:pPr>
              <w:adjustRightInd w:val="0"/>
              <w:snapToGrid w:val="0"/>
              <w:jc w:val="center"/>
              <w:rPr>
                <w:color w:val="auto"/>
                <w:szCs w:val="21"/>
              </w:rPr>
            </w:pPr>
            <w:r>
              <w:rPr>
                <w:rFonts w:hint="eastAsia"/>
                <w:color w:val="auto"/>
                <w:szCs w:val="21"/>
              </w:rPr>
              <w:t>暂存于工业场地危废贮存点，定期交由有资质单位进行处置。</w:t>
            </w:r>
          </w:p>
        </w:tc>
        <w:tc>
          <w:tcPr>
            <w:tcW w:w="4665" w:type="dxa"/>
            <w:shd w:val="clear" w:color="auto" w:fill="auto"/>
            <w:vAlign w:val="center"/>
          </w:tcPr>
          <w:p w14:paraId="2167D0F0">
            <w:pPr>
              <w:adjustRightInd w:val="0"/>
              <w:snapToGrid w:val="0"/>
              <w:jc w:val="center"/>
              <w:rPr>
                <w:color w:val="auto"/>
                <w:highlight w:val="none"/>
              </w:rPr>
            </w:pPr>
            <w:r>
              <w:rPr>
                <w:rFonts w:hint="eastAsia"/>
                <w:color w:val="auto"/>
                <w:szCs w:val="21"/>
              </w:rPr>
              <w:t>暂存于工业场地危废贮存点，定期交由有资质单位进行处置。</w:t>
            </w:r>
          </w:p>
        </w:tc>
        <w:tc>
          <w:tcPr>
            <w:tcW w:w="887" w:type="pct"/>
            <w:vAlign w:val="center"/>
          </w:tcPr>
          <w:p w14:paraId="09E3AF5E">
            <w:pPr>
              <w:jc w:val="center"/>
              <w:rPr>
                <w:color w:val="auto"/>
              </w:rPr>
            </w:pPr>
            <w:r>
              <w:rPr>
                <w:rFonts w:hint="eastAsia"/>
                <w:color w:val="auto"/>
                <w:szCs w:val="21"/>
              </w:rPr>
              <w:t>利旧</w:t>
            </w:r>
          </w:p>
        </w:tc>
      </w:tr>
      <w:tr w14:paraId="4F711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92" w:type="pct"/>
            <w:vMerge w:val="continue"/>
            <w:vAlign w:val="center"/>
          </w:tcPr>
          <w:p w14:paraId="12952ED8">
            <w:pPr>
              <w:jc w:val="center"/>
              <w:rPr>
                <w:color w:val="auto"/>
                <w:szCs w:val="21"/>
              </w:rPr>
            </w:pPr>
          </w:p>
        </w:tc>
        <w:tc>
          <w:tcPr>
            <w:tcW w:w="262" w:type="pct"/>
            <w:vMerge w:val="continue"/>
            <w:vAlign w:val="center"/>
          </w:tcPr>
          <w:p w14:paraId="72554900">
            <w:pPr>
              <w:jc w:val="center"/>
              <w:rPr>
                <w:color w:val="auto"/>
                <w:szCs w:val="21"/>
              </w:rPr>
            </w:pPr>
          </w:p>
        </w:tc>
        <w:tc>
          <w:tcPr>
            <w:tcW w:w="760" w:type="pct"/>
            <w:gridSpan w:val="2"/>
            <w:shd w:val="clear" w:color="auto" w:fill="auto"/>
            <w:vAlign w:val="center"/>
          </w:tcPr>
          <w:p w14:paraId="045A39F5">
            <w:pPr>
              <w:ind w:left="-105" w:leftChars="-50" w:right="-105" w:rightChars="-50"/>
              <w:jc w:val="center"/>
              <w:rPr>
                <w:color w:val="auto"/>
                <w:szCs w:val="21"/>
              </w:rPr>
            </w:pPr>
            <w:r>
              <w:rPr>
                <w:color w:val="auto"/>
                <w:szCs w:val="21"/>
              </w:rPr>
              <w:t>生活垃圾</w:t>
            </w:r>
          </w:p>
        </w:tc>
        <w:tc>
          <w:tcPr>
            <w:tcW w:w="1138" w:type="pct"/>
            <w:shd w:val="clear" w:color="auto" w:fill="auto"/>
            <w:vAlign w:val="center"/>
          </w:tcPr>
          <w:p w14:paraId="188F7447">
            <w:pPr>
              <w:jc w:val="center"/>
              <w:rPr>
                <w:color w:val="auto"/>
                <w:szCs w:val="21"/>
              </w:rPr>
            </w:pPr>
            <w:r>
              <w:rPr>
                <w:rFonts w:hint="eastAsia"/>
                <w:color w:val="auto"/>
                <w:szCs w:val="21"/>
              </w:rPr>
              <w:t>厂内设垃圾桶，收集后送至当地环卫部门指定地点。</w:t>
            </w:r>
          </w:p>
        </w:tc>
        <w:tc>
          <w:tcPr>
            <w:tcW w:w="4665" w:type="dxa"/>
            <w:shd w:val="clear" w:color="auto" w:fill="auto"/>
            <w:vAlign w:val="center"/>
          </w:tcPr>
          <w:p w14:paraId="698347BF">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color w:val="auto"/>
                <w:highlight w:val="none"/>
              </w:rPr>
            </w:pPr>
            <w:r>
              <w:rPr>
                <w:rFonts w:hint="eastAsia"/>
                <w:color w:val="auto"/>
                <w:szCs w:val="21"/>
              </w:rPr>
              <w:t>厂内设垃圾桶，收集后送至当地环卫部门指定地点。</w:t>
            </w:r>
          </w:p>
        </w:tc>
        <w:tc>
          <w:tcPr>
            <w:tcW w:w="887" w:type="pct"/>
            <w:vAlign w:val="center"/>
          </w:tcPr>
          <w:p w14:paraId="40C831A5">
            <w:pPr>
              <w:jc w:val="center"/>
              <w:rPr>
                <w:color w:val="auto"/>
              </w:rPr>
            </w:pPr>
            <w:r>
              <w:rPr>
                <w:rFonts w:hint="eastAsia"/>
                <w:color w:val="auto"/>
                <w:szCs w:val="21"/>
              </w:rPr>
              <w:t>利旧</w:t>
            </w:r>
          </w:p>
        </w:tc>
      </w:tr>
      <w:tr w14:paraId="047FA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292" w:type="pct"/>
            <w:vMerge w:val="continue"/>
            <w:vAlign w:val="center"/>
          </w:tcPr>
          <w:p w14:paraId="28F31723">
            <w:pPr>
              <w:jc w:val="center"/>
              <w:rPr>
                <w:color w:val="auto"/>
                <w:szCs w:val="21"/>
              </w:rPr>
            </w:pPr>
          </w:p>
        </w:tc>
        <w:tc>
          <w:tcPr>
            <w:tcW w:w="262" w:type="pct"/>
            <w:vMerge w:val="restart"/>
            <w:vAlign w:val="center"/>
          </w:tcPr>
          <w:p w14:paraId="7634DABA">
            <w:pPr>
              <w:jc w:val="center"/>
              <w:rPr>
                <w:color w:val="auto"/>
                <w:szCs w:val="21"/>
              </w:rPr>
            </w:pPr>
            <w:r>
              <w:rPr>
                <w:rFonts w:hint="eastAsia"/>
                <w:color w:val="auto"/>
                <w:szCs w:val="21"/>
              </w:rPr>
              <w:t>生态恢复</w:t>
            </w:r>
          </w:p>
        </w:tc>
        <w:tc>
          <w:tcPr>
            <w:tcW w:w="330" w:type="pct"/>
            <w:vMerge w:val="restart"/>
            <w:vAlign w:val="center"/>
          </w:tcPr>
          <w:p w14:paraId="381B8567">
            <w:pPr>
              <w:jc w:val="center"/>
              <w:rPr>
                <w:color w:val="auto"/>
                <w:szCs w:val="21"/>
              </w:rPr>
            </w:pPr>
            <w:r>
              <w:rPr>
                <w:rFonts w:hint="eastAsia"/>
                <w:color w:val="auto"/>
                <w:szCs w:val="21"/>
              </w:rPr>
              <w:t>运营期</w:t>
            </w:r>
          </w:p>
        </w:tc>
        <w:tc>
          <w:tcPr>
            <w:tcW w:w="430" w:type="pct"/>
            <w:vAlign w:val="center"/>
          </w:tcPr>
          <w:p w14:paraId="43969E84">
            <w:pPr>
              <w:ind w:left="-105" w:leftChars="-50" w:right="-105" w:rightChars="-50"/>
              <w:jc w:val="center"/>
              <w:rPr>
                <w:rFonts w:hint="eastAsia" w:eastAsia="宋体"/>
                <w:color w:val="auto"/>
                <w:szCs w:val="21"/>
                <w:lang w:val="en-US" w:eastAsia="zh-CN"/>
              </w:rPr>
            </w:pPr>
            <w:r>
              <w:rPr>
                <w:rFonts w:hint="eastAsia"/>
                <w:color w:val="auto"/>
                <w:szCs w:val="21"/>
                <w:lang w:val="en-US" w:eastAsia="zh-CN"/>
              </w:rPr>
              <w:t>办公生活区</w:t>
            </w:r>
          </w:p>
        </w:tc>
        <w:tc>
          <w:tcPr>
            <w:tcW w:w="1138" w:type="pct"/>
            <w:shd w:val="clear" w:color="auto" w:fill="auto"/>
            <w:vAlign w:val="center"/>
          </w:tcPr>
          <w:p w14:paraId="45E84909">
            <w:pPr>
              <w:jc w:val="center"/>
              <w:rPr>
                <w:color w:val="auto"/>
                <w:szCs w:val="21"/>
              </w:rPr>
            </w:pPr>
            <w:r>
              <w:rPr>
                <w:rFonts w:hint="eastAsia"/>
                <w:color w:val="auto"/>
                <w:szCs w:val="21"/>
                <w:lang w:val="en-US" w:eastAsia="zh-CN"/>
              </w:rPr>
              <w:t>未进行绿化</w:t>
            </w:r>
            <w:r>
              <w:rPr>
                <w:rFonts w:hint="eastAsia"/>
                <w:color w:val="auto"/>
                <w:szCs w:val="21"/>
              </w:rPr>
              <w:t>。</w:t>
            </w:r>
          </w:p>
        </w:tc>
        <w:tc>
          <w:tcPr>
            <w:tcW w:w="4665" w:type="dxa"/>
            <w:shd w:val="clear" w:color="auto" w:fill="auto"/>
            <w:vAlign w:val="center"/>
          </w:tcPr>
          <w:p w14:paraId="7368E215">
            <w:pPr>
              <w:keepNext w:val="0"/>
              <w:keepLines w:val="0"/>
              <w:pageBreakBefore w:val="0"/>
              <w:widowControl w:val="0"/>
              <w:kinsoku/>
              <w:wordWrap/>
              <w:overflowPunct/>
              <w:topLinePunct w:val="0"/>
              <w:autoSpaceDE/>
              <w:autoSpaceDN/>
              <w:bidi w:val="0"/>
              <w:ind w:left="0" w:leftChars="0" w:right="0" w:rightChars="0"/>
              <w:jc w:val="center"/>
              <w:textAlignment w:val="auto"/>
              <w:rPr>
                <w:rFonts w:hint="default" w:eastAsia="宋体"/>
                <w:bCs/>
                <w:color w:val="auto"/>
                <w:spacing w:val="10"/>
                <w:szCs w:val="21"/>
                <w:highlight w:val="none"/>
                <w:lang w:val="en-US" w:eastAsia="zh-CN"/>
              </w:rPr>
            </w:pPr>
            <w:r>
              <w:rPr>
                <w:rFonts w:hint="eastAsia"/>
                <w:bCs/>
                <w:color w:val="auto"/>
                <w:spacing w:val="10"/>
                <w:szCs w:val="21"/>
                <w:highlight w:val="none"/>
                <w:lang w:val="en-US" w:eastAsia="zh-CN"/>
              </w:rPr>
              <w:t>总绿化面积600m</w:t>
            </w:r>
            <w:r>
              <w:rPr>
                <w:rFonts w:hint="eastAsia"/>
                <w:bCs/>
                <w:color w:val="auto"/>
                <w:spacing w:val="10"/>
                <w:szCs w:val="21"/>
                <w:highlight w:val="none"/>
                <w:vertAlign w:val="superscript"/>
                <w:lang w:val="en-US" w:eastAsia="zh-CN"/>
              </w:rPr>
              <w:t>2</w:t>
            </w:r>
            <w:r>
              <w:rPr>
                <w:rFonts w:hint="eastAsia"/>
                <w:bCs/>
                <w:color w:val="auto"/>
                <w:spacing w:val="10"/>
                <w:szCs w:val="21"/>
                <w:highlight w:val="none"/>
                <w:lang w:val="en-US" w:eastAsia="zh-CN"/>
              </w:rPr>
              <w:t>，共计需种植垂柳300株、丁香100株、连翘100株、榆叶梅100株、播撒黑麦草0.03hm</w:t>
            </w:r>
            <w:r>
              <w:rPr>
                <w:rFonts w:hint="eastAsia"/>
                <w:bCs/>
                <w:color w:val="auto"/>
                <w:spacing w:val="10"/>
                <w:szCs w:val="21"/>
                <w:highlight w:val="none"/>
                <w:vertAlign w:val="superscript"/>
                <w:lang w:val="en-US" w:eastAsia="zh-CN"/>
              </w:rPr>
              <w:t>2</w:t>
            </w:r>
            <w:r>
              <w:rPr>
                <w:rFonts w:hint="eastAsia"/>
                <w:bCs/>
                <w:color w:val="auto"/>
                <w:spacing w:val="10"/>
                <w:szCs w:val="21"/>
                <w:highlight w:val="none"/>
                <w:lang w:val="en-US" w:eastAsia="zh-CN"/>
              </w:rPr>
              <w:t>、白三叶0.02hm</w:t>
            </w:r>
            <w:r>
              <w:rPr>
                <w:rFonts w:hint="eastAsia"/>
                <w:bCs/>
                <w:color w:val="auto"/>
                <w:spacing w:val="10"/>
                <w:szCs w:val="21"/>
                <w:highlight w:val="none"/>
                <w:vertAlign w:val="superscript"/>
                <w:lang w:val="en-US" w:eastAsia="zh-CN"/>
              </w:rPr>
              <w:t>2</w:t>
            </w:r>
            <w:r>
              <w:rPr>
                <w:rFonts w:hint="eastAsia"/>
                <w:bCs/>
                <w:color w:val="auto"/>
                <w:spacing w:val="10"/>
                <w:szCs w:val="21"/>
                <w:highlight w:val="none"/>
                <w:lang w:val="en-US" w:eastAsia="zh-CN"/>
              </w:rPr>
              <w:t>、八宝景天0.01hm</w:t>
            </w:r>
            <w:r>
              <w:rPr>
                <w:rFonts w:hint="eastAsia"/>
                <w:bCs/>
                <w:color w:val="auto"/>
                <w:spacing w:val="10"/>
                <w:szCs w:val="21"/>
                <w:highlight w:val="none"/>
                <w:vertAlign w:val="superscript"/>
                <w:lang w:val="en-US" w:eastAsia="zh-CN"/>
              </w:rPr>
              <w:t>2</w:t>
            </w:r>
            <w:r>
              <w:rPr>
                <w:rFonts w:hint="eastAsia"/>
                <w:bCs/>
                <w:color w:val="auto"/>
                <w:spacing w:val="10"/>
                <w:szCs w:val="21"/>
                <w:highlight w:val="none"/>
                <w:vertAlign w:val="baseline"/>
                <w:lang w:val="en-US" w:eastAsia="zh-CN"/>
              </w:rPr>
              <w:t>。</w:t>
            </w:r>
          </w:p>
        </w:tc>
        <w:tc>
          <w:tcPr>
            <w:tcW w:w="887" w:type="pct"/>
            <w:shd w:val="clear" w:color="auto" w:fill="auto"/>
            <w:vAlign w:val="center"/>
          </w:tcPr>
          <w:p w14:paraId="0A675BB4">
            <w:pPr>
              <w:pStyle w:val="73"/>
              <w:jc w:val="center"/>
              <w:rPr>
                <w:rFonts w:ascii="Times New Roman" w:hAnsi="Times New Roman" w:cs="Times New Roman"/>
                <w:color w:val="auto"/>
                <w:kern w:val="0"/>
                <w:lang w:bidi="ar"/>
              </w:rPr>
            </w:pPr>
            <w:r>
              <w:rPr>
                <w:rFonts w:hint="eastAsia" w:cs="Times New Roman"/>
                <w:color w:val="auto"/>
              </w:rPr>
              <w:t>新建</w:t>
            </w:r>
          </w:p>
        </w:tc>
      </w:tr>
      <w:tr w14:paraId="155A8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292" w:type="pct"/>
            <w:vMerge w:val="continue"/>
            <w:vAlign w:val="center"/>
          </w:tcPr>
          <w:p w14:paraId="02A3114E">
            <w:pPr>
              <w:jc w:val="center"/>
              <w:rPr>
                <w:color w:val="auto"/>
                <w:szCs w:val="21"/>
              </w:rPr>
            </w:pPr>
          </w:p>
        </w:tc>
        <w:tc>
          <w:tcPr>
            <w:tcW w:w="262" w:type="pct"/>
            <w:vMerge w:val="continue"/>
            <w:vAlign w:val="center"/>
          </w:tcPr>
          <w:p w14:paraId="701FCD83">
            <w:pPr>
              <w:jc w:val="center"/>
              <w:rPr>
                <w:rFonts w:hint="eastAsia"/>
                <w:color w:val="auto"/>
                <w:szCs w:val="21"/>
              </w:rPr>
            </w:pPr>
          </w:p>
        </w:tc>
        <w:tc>
          <w:tcPr>
            <w:tcW w:w="330" w:type="pct"/>
            <w:vMerge w:val="continue"/>
            <w:vAlign w:val="center"/>
          </w:tcPr>
          <w:p w14:paraId="6D33A511">
            <w:pPr>
              <w:jc w:val="center"/>
              <w:rPr>
                <w:rFonts w:hint="eastAsia"/>
                <w:color w:val="auto"/>
                <w:szCs w:val="21"/>
              </w:rPr>
            </w:pPr>
          </w:p>
        </w:tc>
        <w:tc>
          <w:tcPr>
            <w:tcW w:w="1209" w:type="dxa"/>
            <w:vAlign w:val="center"/>
          </w:tcPr>
          <w:p w14:paraId="77C0FF28">
            <w:pPr>
              <w:ind w:left="-105" w:leftChars="-50" w:right="-105" w:rightChars="-50"/>
              <w:jc w:val="center"/>
              <w:rPr>
                <w:rFonts w:hint="eastAsia"/>
                <w:color w:val="auto"/>
                <w:szCs w:val="21"/>
              </w:rPr>
            </w:pPr>
            <w:r>
              <w:rPr>
                <w:rFonts w:hint="eastAsia"/>
                <w:color w:val="auto"/>
                <w:szCs w:val="21"/>
              </w:rPr>
              <w:t>运矿道路</w:t>
            </w:r>
          </w:p>
        </w:tc>
        <w:tc>
          <w:tcPr>
            <w:tcW w:w="3200" w:type="dxa"/>
            <w:shd w:val="clear" w:color="auto" w:fill="auto"/>
            <w:vAlign w:val="center"/>
          </w:tcPr>
          <w:p w14:paraId="64B89C9F">
            <w:pPr>
              <w:jc w:val="center"/>
              <w:rPr>
                <w:rFonts w:hint="eastAsia"/>
                <w:color w:val="auto"/>
                <w:szCs w:val="21"/>
                <w:lang w:val="en-US" w:eastAsia="zh-CN"/>
              </w:rPr>
            </w:pPr>
            <w:r>
              <w:rPr>
                <w:rFonts w:hint="eastAsia"/>
                <w:color w:val="auto"/>
                <w:szCs w:val="21"/>
                <w:lang w:val="en-US" w:eastAsia="zh-CN"/>
              </w:rPr>
              <w:t>道路两侧未进行绿化</w:t>
            </w:r>
            <w:r>
              <w:rPr>
                <w:rFonts w:hint="eastAsia"/>
                <w:color w:val="auto"/>
                <w:szCs w:val="21"/>
              </w:rPr>
              <w:t>。</w:t>
            </w:r>
          </w:p>
        </w:tc>
        <w:tc>
          <w:tcPr>
            <w:tcW w:w="4665" w:type="dxa"/>
            <w:shd w:val="clear" w:color="auto" w:fill="auto"/>
            <w:vAlign w:val="center"/>
          </w:tcPr>
          <w:p w14:paraId="1065E0F2">
            <w:pPr>
              <w:keepNext w:val="0"/>
              <w:keepLines w:val="0"/>
              <w:pageBreakBefore w:val="0"/>
              <w:widowControl w:val="0"/>
              <w:kinsoku/>
              <w:wordWrap/>
              <w:overflowPunct/>
              <w:topLinePunct w:val="0"/>
              <w:autoSpaceDE/>
              <w:autoSpaceDN/>
              <w:bidi w:val="0"/>
              <w:ind w:left="0" w:leftChars="0" w:right="0" w:rightChars="0"/>
              <w:jc w:val="center"/>
              <w:textAlignment w:val="auto"/>
              <w:rPr>
                <w:rFonts w:hint="eastAsia"/>
                <w:color w:val="auto"/>
                <w:szCs w:val="21"/>
                <w:highlight w:val="none"/>
                <w:lang w:val="en-US" w:eastAsia="zh-CN"/>
              </w:rPr>
            </w:pPr>
            <w:r>
              <w:rPr>
                <w:rFonts w:hint="eastAsia"/>
                <w:color w:val="auto"/>
                <w:szCs w:val="21"/>
                <w:highlight w:val="none"/>
                <w:lang w:val="en-US" w:eastAsia="zh-CN"/>
              </w:rPr>
              <w:t>运矿</w:t>
            </w:r>
            <w:r>
              <w:rPr>
                <w:rFonts w:hint="eastAsia"/>
                <w:color w:val="auto"/>
                <w:szCs w:val="21"/>
                <w:highlight w:val="none"/>
              </w:rPr>
              <w:t>道路两侧种植行道树，树种选择新疆杨，间距3米</w:t>
            </w:r>
            <w:r>
              <w:rPr>
                <w:rFonts w:hint="eastAsia"/>
                <w:color w:val="auto"/>
                <w:szCs w:val="21"/>
                <w:highlight w:val="none"/>
                <w:lang w:eastAsia="zh-CN"/>
              </w:rPr>
              <w:t>，</w:t>
            </w:r>
            <w:r>
              <w:rPr>
                <w:rFonts w:hint="eastAsia"/>
                <w:color w:val="auto"/>
                <w:szCs w:val="21"/>
                <w:highlight w:val="none"/>
                <w:lang w:val="en-US" w:eastAsia="zh-CN"/>
              </w:rPr>
              <w:t>共种植新疆杨2274株</w:t>
            </w:r>
          </w:p>
        </w:tc>
        <w:tc>
          <w:tcPr>
            <w:tcW w:w="2495" w:type="dxa"/>
            <w:shd w:val="clear" w:color="auto" w:fill="auto"/>
            <w:vAlign w:val="center"/>
          </w:tcPr>
          <w:p w14:paraId="74469732">
            <w:pPr>
              <w:pStyle w:val="73"/>
              <w:jc w:val="center"/>
              <w:rPr>
                <w:rFonts w:hint="eastAsia" w:cs="Times New Roman"/>
                <w:color w:val="auto"/>
              </w:rPr>
            </w:pPr>
            <w:r>
              <w:rPr>
                <w:rFonts w:hint="eastAsia" w:cs="Times New Roman"/>
                <w:color w:val="auto"/>
              </w:rPr>
              <w:t>新建</w:t>
            </w:r>
          </w:p>
        </w:tc>
      </w:tr>
      <w:tr w14:paraId="6E7C6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92" w:type="pct"/>
            <w:vMerge w:val="continue"/>
            <w:vAlign w:val="center"/>
          </w:tcPr>
          <w:p w14:paraId="0B671499">
            <w:pPr>
              <w:jc w:val="center"/>
              <w:rPr>
                <w:color w:val="auto"/>
                <w:szCs w:val="21"/>
              </w:rPr>
            </w:pPr>
          </w:p>
        </w:tc>
        <w:tc>
          <w:tcPr>
            <w:tcW w:w="262" w:type="pct"/>
            <w:vMerge w:val="continue"/>
            <w:vAlign w:val="center"/>
          </w:tcPr>
          <w:p w14:paraId="61E38569">
            <w:pPr>
              <w:jc w:val="center"/>
              <w:rPr>
                <w:color w:val="auto"/>
                <w:szCs w:val="21"/>
              </w:rPr>
            </w:pPr>
          </w:p>
        </w:tc>
        <w:tc>
          <w:tcPr>
            <w:tcW w:w="330" w:type="pct"/>
            <w:vMerge w:val="continue"/>
            <w:vAlign w:val="center"/>
          </w:tcPr>
          <w:p w14:paraId="24853D0E">
            <w:pPr>
              <w:jc w:val="center"/>
              <w:rPr>
                <w:color w:val="auto"/>
                <w:szCs w:val="21"/>
              </w:rPr>
            </w:pPr>
          </w:p>
        </w:tc>
        <w:tc>
          <w:tcPr>
            <w:tcW w:w="430" w:type="pct"/>
            <w:vAlign w:val="center"/>
          </w:tcPr>
          <w:p w14:paraId="4A3464DB">
            <w:pPr>
              <w:ind w:left="-105" w:leftChars="-50" w:right="-105" w:rightChars="-50"/>
              <w:jc w:val="center"/>
              <w:rPr>
                <w:color w:val="auto"/>
                <w:szCs w:val="21"/>
              </w:rPr>
            </w:pPr>
            <w:r>
              <w:rPr>
                <w:rFonts w:hint="eastAsia"/>
                <w:color w:val="auto"/>
                <w:szCs w:val="21"/>
              </w:rPr>
              <w:t>已采区</w:t>
            </w:r>
          </w:p>
        </w:tc>
        <w:tc>
          <w:tcPr>
            <w:tcW w:w="1138" w:type="pct"/>
            <w:shd w:val="clear" w:color="auto" w:fill="auto"/>
            <w:vAlign w:val="center"/>
          </w:tcPr>
          <w:p w14:paraId="02E54AED">
            <w:pPr>
              <w:jc w:val="center"/>
              <w:rPr>
                <w:color w:val="auto"/>
                <w:szCs w:val="21"/>
              </w:rPr>
            </w:pPr>
            <w:r>
              <w:rPr>
                <w:rFonts w:hint="eastAsia"/>
                <w:color w:val="auto"/>
                <w:szCs w:val="21"/>
              </w:rPr>
              <w:t>未进行生态恢复。</w:t>
            </w:r>
          </w:p>
        </w:tc>
        <w:tc>
          <w:tcPr>
            <w:tcW w:w="4665" w:type="dxa"/>
            <w:shd w:val="clear" w:color="auto" w:fill="auto"/>
            <w:vAlign w:val="center"/>
          </w:tcPr>
          <w:p w14:paraId="59475677">
            <w:pPr>
              <w:keepNext w:val="0"/>
              <w:keepLines w:val="0"/>
              <w:pageBreakBefore w:val="0"/>
              <w:widowControl w:val="0"/>
              <w:kinsoku/>
              <w:wordWrap/>
              <w:overflowPunct/>
              <w:topLinePunct w:val="0"/>
              <w:autoSpaceDE/>
              <w:autoSpaceDN/>
              <w:bidi w:val="0"/>
              <w:ind w:left="0" w:leftChars="0" w:right="0" w:rightChars="0"/>
              <w:jc w:val="center"/>
              <w:textAlignment w:val="auto"/>
              <w:rPr>
                <w:color w:val="auto"/>
                <w:szCs w:val="21"/>
                <w:highlight w:val="none"/>
              </w:rPr>
            </w:pPr>
            <w:r>
              <w:rPr>
                <w:rFonts w:hint="eastAsia"/>
                <w:color w:val="auto"/>
                <w:szCs w:val="21"/>
                <w:highlight w:val="none"/>
              </w:rPr>
              <w:t>矿界外已</w:t>
            </w:r>
            <w:r>
              <w:rPr>
                <w:rFonts w:hint="eastAsia"/>
                <w:color w:val="auto"/>
                <w:szCs w:val="21"/>
                <w:highlight w:val="none"/>
                <w:lang w:val="en-US" w:eastAsia="zh-CN"/>
              </w:rPr>
              <w:t>采</w:t>
            </w:r>
            <w:r>
              <w:rPr>
                <w:rFonts w:hint="eastAsia"/>
                <w:color w:val="auto"/>
                <w:szCs w:val="21"/>
                <w:highlight w:val="none"/>
              </w:rPr>
              <w:t>区面积</w:t>
            </w:r>
            <w:r>
              <w:rPr>
                <w:rFonts w:hint="eastAsia"/>
                <w:color w:val="auto"/>
                <w:szCs w:val="21"/>
                <w:highlight w:val="none"/>
                <w:lang w:val="en-US" w:eastAsia="zh-CN"/>
              </w:rPr>
              <w:t>9.3020</w:t>
            </w:r>
            <w:r>
              <w:rPr>
                <w:rFonts w:hint="eastAsia"/>
                <w:color w:val="auto"/>
                <w:szCs w:val="21"/>
                <w:highlight w:val="none"/>
              </w:rPr>
              <w:t>hm</w:t>
            </w:r>
            <w:r>
              <w:rPr>
                <w:rFonts w:hint="eastAsia"/>
                <w:color w:val="auto"/>
                <w:szCs w:val="21"/>
                <w:highlight w:val="none"/>
                <w:vertAlign w:val="superscript"/>
              </w:rPr>
              <w:t>2</w:t>
            </w:r>
            <w:r>
              <w:rPr>
                <w:rFonts w:hint="eastAsia"/>
                <w:color w:val="auto"/>
                <w:szCs w:val="21"/>
                <w:highlight w:val="none"/>
              </w:rPr>
              <w:t>，复垦为灌木林地。</w:t>
            </w:r>
          </w:p>
        </w:tc>
        <w:tc>
          <w:tcPr>
            <w:tcW w:w="887" w:type="pct"/>
            <w:shd w:val="clear" w:color="auto" w:fill="auto"/>
            <w:vAlign w:val="center"/>
          </w:tcPr>
          <w:p w14:paraId="45D6A5E9">
            <w:pPr>
              <w:pStyle w:val="73"/>
              <w:jc w:val="center"/>
              <w:rPr>
                <w:rFonts w:cs="Times New Roman"/>
                <w:color w:val="auto"/>
              </w:rPr>
            </w:pPr>
            <w:r>
              <w:rPr>
                <w:rFonts w:hint="eastAsia" w:cs="Times New Roman"/>
                <w:color w:val="auto"/>
              </w:rPr>
              <w:t>新建</w:t>
            </w:r>
          </w:p>
        </w:tc>
      </w:tr>
      <w:tr w14:paraId="1BEEE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292" w:type="pct"/>
            <w:vMerge w:val="continue"/>
            <w:vAlign w:val="center"/>
          </w:tcPr>
          <w:p w14:paraId="6C52CFA7">
            <w:pPr>
              <w:jc w:val="center"/>
              <w:rPr>
                <w:color w:val="auto"/>
                <w:szCs w:val="21"/>
              </w:rPr>
            </w:pPr>
          </w:p>
        </w:tc>
        <w:tc>
          <w:tcPr>
            <w:tcW w:w="262" w:type="pct"/>
            <w:vMerge w:val="continue"/>
            <w:vAlign w:val="center"/>
          </w:tcPr>
          <w:p w14:paraId="1F83812C">
            <w:pPr>
              <w:jc w:val="center"/>
              <w:rPr>
                <w:color w:val="auto"/>
                <w:szCs w:val="21"/>
              </w:rPr>
            </w:pPr>
          </w:p>
        </w:tc>
        <w:tc>
          <w:tcPr>
            <w:tcW w:w="330" w:type="pct"/>
            <w:vMerge w:val="continue"/>
            <w:vAlign w:val="center"/>
          </w:tcPr>
          <w:p w14:paraId="50FDAE7B">
            <w:pPr>
              <w:jc w:val="center"/>
              <w:rPr>
                <w:color w:val="auto"/>
                <w:szCs w:val="21"/>
              </w:rPr>
            </w:pPr>
          </w:p>
        </w:tc>
        <w:tc>
          <w:tcPr>
            <w:tcW w:w="430" w:type="pct"/>
            <w:vAlign w:val="center"/>
          </w:tcPr>
          <w:p w14:paraId="78EE05CD">
            <w:pPr>
              <w:ind w:left="-105" w:leftChars="-50" w:right="-105" w:rightChars="-50"/>
              <w:jc w:val="center"/>
              <w:rPr>
                <w:rFonts w:hint="eastAsia"/>
                <w:color w:val="auto"/>
                <w:szCs w:val="21"/>
              </w:rPr>
            </w:pPr>
            <w:r>
              <w:rPr>
                <w:rFonts w:hint="eastAsia"/>
                <w:color w:val="auto"/>
                <w:szCs w:val="21"/>
              </w:rPr>
              <w:t>排土场已形成平台及边坡</w:t>
            </w:r>
          </w:p>
        </w:tc>
        <w:tc>
          <w:tcPr>
            <w:tcW w:w="1138" w:type="pct"/>
            <w:shd w:val="clear" w:color="auto" w:fill="auto"/>
            <w:vAlign w:val="center"/>
          </w:tcPr>
          <w:p w14:paraId="1991E30C">
            <w:pPr>
              <w:jc w:val="center"/>
              <w:rPr>
                <w:rFonts w:hint="eastAsia"/>
                <w:color w:val="auto"/>
                <w:szCs w:val="21"/>
              </w:rPr>
            </w:pPr>
            <w:r>
              <w:rPr>
                <w:rFonts w:hint="eastAsia"/>
                <w:color w:val="auto"/>
                <w:szCs w:val="21"/>
              </w:rPr>
              <w:t>未进行生态恢复。</w:t>
            </w:r>
          </w:p>
        </w:tc>
        <w:tc>
          <w:tcPr>
            <w:tcW w:w="4665" w:type="dxa"/>
            <w:shd w:val="clear" w:color="auto" w:fill="auto"/>
            <w:vAlign w:val="center"/>
          </w:tcPr>
          <w:p w14:paraId="561A9035">
            <w:pPr>
              <w:keepNext w:val="0"/>
              <w:keepLines w:val="0"/>
              <w:pageBreakBefore w:val="0"/>
              <w:widowControl w:val="0"/>
              <w:kinsoku/>
              <w:wordWrap/>
              <w:overflowPunct/>
              <w:topLinePunct w:val="0"/>
              <w:autoSpaceDE/>
              <w:autoSpaceDN/>
              <w:bidi w:val="0"/>
              <w:ind w:left="0" w:leftChars="0" w:right="0" w:rightChars="0"/>
              <w:jc w:val="center"/>
              <w:textAlignment w:val="auto"/>
              <w:rPr>
                <w:rFonts w:hint="eastAsia"/>
                <w:color w:val="auto"/>
                <w:szCs w:val="21"/>
                <w:highlight w:val="none"/>
              </w:rPr>
            </w:pPr>
            <w:r>
              <w:rPr>
                <w:rFonts w:hint="eastAsia"/>
                <w:color w:val="auto"/>
                <w:szCs w:val="21"/>
                <w:highlight w:val="none"/>
              </w:rPr>
              <w:t>恢复总面积1.3976hm</w:t>
            </w:r>
            <w:r>
              <w:rPr>
                <w:rFonts w:hint="eastAsia"/>
                <w:color w:val="auto"/>
                <w:szCs w:val="21"/>
                <w:highlight w:val="none"/>
                <w:vertAlign w:val="superscript"/>
              </w:rPr>
              <w:t>2</w:t>
            </w:r>
            <w:r>
              <w:rPr>
                <w:rFonts w:hint="eastAsia"/>
                <w:color w:val="auto"/>
                <w:szCs w:val="21"/>
                <w:highlight w:val="none"/>
              </w:rPr>
              <w:t>，排土平台恢复面积0.26hm</w:t>
            </w:r>
            <w:r>
              <w:rPr>
                <w:rFonts w:hint="eastAsia"/>
                <w:color w:val="auto"/>
                <w:szCs w:val="21"/>
                <w:highlight w:val="none"/>
                <w:vertAlign w:val="superscript"/>
              </w:rPr>
              <w:t>2</w:t>
            </w:r>
            <w:r>
              <w:rPr>
                <w:rFonts w:hint="eastAsia"/>
                <w:color w:val="auto"/>
                <w:szCs w:val="21"/>
                <w:highlight w:val="none"/>
              </w:rPr>
              <w:t>，边坡恢复面积1.1376hm</w:t>
            </w:r>
            <w:r>
              <w:rPr>
                <w:rFonts w:hint="eastAsia"/>
                <w:color w:val="auto"/>
                <w:szCs w:val="21"/>
                <w:highlight w:val="none"/>
                <w:vertAlign w:val="superscript"/>
              </w:rPr>
              <w:t>2</w:t>
            </w:r>
            <w:r>
              <w:rPr>
                <w:rFonts w:hint="eastAsia"/>
                <w:color w:val="auto"/>
                <w:szCs w:val="21"/>
                <w:highlight w:val="none"/>
                <w:lang w:eastAsia="zh-CN"/>
              </w:rPr>
              <w:t>，排土平台复垦为乔木林地，边坡复垦为灌木林地</w:t>
            </w:r>
          </w:p>
        </w:tc>
        <w:tc>
          <w:tcPr>
            <w:tcW w:w="887" w:type="pct"/>
            <w:shd w:val="clear" w:color="auto" w:fill="auto"/>
            <w:vAlign w:val="center"/>
          </w:tcPr>
          <w:p w14:paraId="2472A36E">
            <w:pPr>
              <w:pStyle w:val="73"/>
              <w:jc w:val="center"/>
              <w:rPr>
                <w:rFonts w:hint="eastAsia" w:cs="Times New Roman"/>
                <w:color w:val="auto"/>
              </w:rPr>
            </w:pPr>
            <w:r>
              <w:rPr>
                <w:rFonts w:hint="eastAsia" w:cs="Times New Roman"/>
                <w:color w:val="auto"/>
              </w:rPr>
              <w:t>新建</w:t>
            </w:r>
          </w:p>
        </w:tc>
      </w:tr>
      <w:tr w14:paraId="5F604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92" w:type="pct"/>
            <w:vMerge w:val="continue"/>
            <w:vAlign w:val="center"/>
          </w:tcPr>
          <w:p w14:paraId="38F41150">
            <w:pPr>
              <w:jc w:val="center"/>
              <w:rPr>
                <w:color w:val="auto"/>
                <w:szCs w:val="21"/>
              </w:rPr>
            </w:pPr>
          </w:p>
        </w:tc>
        <w:tc>
          <w:tcPr>
            <w:tcW w:w="262" w:type="pct"/>
            <w:vMerge w:val="continue"/>
            <w:vAlign w:val="center"/>
          </w:tcPr>
          <w:p w14:paraId="17C6BA00">
            <w:pPr>
              <w:jc w:val="center"/>
              <w:rPr>
                <w:color w:val="auto"/>
                <w:szCs w:val="21"/>
              </w:rPr>
            </w:pPr>
          </w:p>
        </w:tc>
        <w:tc>
          <w:tcPr>
            <w:tcW w:w="330" w:type="pct"/>
            <w:vMerge w:val="restart"/>
            <w:vAlign w:val="center"/>
          </w:tcPr>
          <w:p w14:paraId="2CE804FB">
            <w:pPr>
              <w:jc w:val="center"/>
              <w:rPr>
                <w:color w:val="auto"/>
                <w:szCs w:val="21"/>
              </w:rPr>
            </w:pPr>
            <w:r>
              <w:rPr>
                <w:rFonts w:hint="eastAsia"/>
                <w:color w:val="auto"/>
                <w:szCs w:val="21"/>
              </w:rPr>
              <w:t>服务</w:t>
            </w:r>
          </w:p>
          <w:p w14:paraId="1ACFA309">
            <w:pPr>
              <w:jc w:val="center"/>
              <w:rPr>
                <w:color w:val="auto"/>
                <w:szCs w:val="21"/>
              </w:rPr>
            </w:pPr>
            <w:r>
              <w:rPr>
                <w:rFonts w:hint="eastAsia"/>
                <w:color w:val="auto"/>
                <w:szCs w:val="21"/>
              </w:rPr>
              <w:t xml:space="preserve">期满 </w:t>
            </w:r>
          </w:p>
        </w:tc>
        <w:tc>
          <w:tcPr>
            <w:tcW w:w="430" w:type="pct"/>
            <w:vAlign w:val="center"/>
          </w:tcPr>
          <w:p w14:paraId="53F5CE88">
            <w:pPr>
              <w:jc w:val="center"/>
              <w:rPr>
                <w:color w:val="auto"/>
              </w:rPr>
            </w:pPr>
            <w:r>
              <w:rPr>
                <w:rFonts w:hint="eastAsia"/>
                <w:color w:val="auto"/>
              </w:rPr>
              <w:t>露天采场</w:t>
            </w:r>
          </w:p>
        </w:tc>
        <w:tc>
          <w:tcPr>
            <w:tcW w:w="1138" w:type="pct"/>
            <w:shd w:val="clear" w:color="auto" w:fill="auto"/>
            <w:vAlign w:val="center"/>
          </w:tcPr>
          <w:p w14:paraId="598F4623">
            <w:pPr>
              <w:jc w:val="center"/>
              <w:rPr>
                <w:color w:val="auto"/>
                <w:szCs w:val="21"/>
              </w:rPr>
            </w:pPr>
            <w:r>
              <w:rPr>
                <w:rFonts w:hint="eastAsia"/>
                <w:color w:val="auto"/>
                <w:szCs w:val="21"/>
              </w:rPr>
              <w:t>未进行生态恢复。</w:t>
            </w:r>
          </w:p>
        </w:tc>
        <w:tc>
          <w:tcPr>
            <w:tcW w:w="4665" w:type="dxa"/>
            <w:shd w:val="clear" w:color="auto" w:fill="auto"/>
            <w:vAlign w:val="center"/>
          </w:tcPr>
          <w:p w14:paraId="6ABD69D7">
            <w:pPr>
              <w:keepNext w:val="0"/>
              <w:keepLines w:val="0"/>
              <w:pageBreakBefore w:val="0"/>
              <w:widowControl w:val="0"/>
              <w:kinsoku/>
              <w:wordWrap/>
              <w:overflowPunct/>
              <w:topLinePunct w:val="0"/>
              <w:autoSpaceDE/>
              <w:autoSpaceDN/>
              <w:bidi w:val="0"/>
              <w:ind w:left="0" w:leftChars="0" w:right="0" w:rightChars="0"/>
              <w:jc w:val="center"/>
              <w:textAlignment w:val="auto"/>
              <w:rPr>
                <w:color w:val="auto"/>
                <w:highlight w:val="none"/>
              </w:rPr>
            </w:pPr>
            <w:r>
              <w:rPr>
                <w:rFonts w:hint="eastAsia"/>
                <w:color w:val="auto"/>
                <w:szCs w:val="21"/>
                <w:highlight w:val="none"/>
              </w:rPr>
              <w:t>生态恢复面积共计</w:t>
            </w:r>
            <w:r>
              <w:rPr>
                <w:color w:val="auto"/>
                <w:szCs w:val="21"/>
                <w:highlight w:val="none"/>
              </w:rPr>
              <w:t>16.1157</w:t>
            </w:r>
            <w:r>
              <w:rPr>
                <w:rFonts w:hint="eastAsia"/>
                <w:color w:val="auto"/>
                <w:szCs w:val="21"/>
                <w:highlight w:val="none"/>
              </w:rPr>
              <w:t>hm</w:t>
            </w:r>
            <w:r>
              <w:rPr>
                <w:rFonts w:hint="eastAsia"/>
                <w:color w:val="auto"/>
                <w:szCs w:val="21"/>
                <w:highlight w:val="none"/>
                <w:vertAlign w:val="superscript"/>
              </w:rPr>
              <w:t>2</w:t>
            </w:r>
            <w:r>
              <w:rPr>
                <w:rFonts w:hint="eastAsia"/>
                <w:color w:val="auto"/>
                <w:szCs w:val="21"/>
                <w:highlight w:val="none"/>
              </w:rPr>
              <w:t>，其中</w:t>
            </w:r>
            <w:r>
              <w:rPr>
                <w:color w:val="auto"/>
                <w:kern w:val="0"/>
                <w:szCs w:val="21"/>
                <w:highlight w:val="none"/>
                <w:lang w:bidi="ar"/>
              </w:rPr>
              <w:t>底平台3.7869</w:t>
            </w:r>
            <w:r>
              <w:rPr>
                <w:rFonts w:hint="eastAsia"/>
                <w:color w:val="auto"/>
                <w:szCs w:val="21"/>
                <w:highlight w:val="none"/>
              </w:rPr>
              <w:t>hm</w:t>
            </w:r>
            <w:r>
              <w:rPr>
                <w:rFonts w:hint="eastAsia"/>
                <w:color w:val="auto"/>
                <w:szCs w:val="21"/>
                <w:highlight w:val="none"/>
                <w:vertAlign w:val="superscript"/>
              </w:rPr>
              <w:t>2</w:t>
            </w:r>
            <w:r>
              <w:rPr>
                <w:rFonts w:hint="eastAsia"/>
                <w:color w:val="auto"/>
                <w:szCs w:val="21"/>
                <w:highlight w:val="none"/>
              </w:rPr>
              <w:t>，复垦为乔木林地。台阶平台</w:t>
            </w:r>
            <w:r>
              <w:rPr>
                <w:color w:val="auto"/>
                <w:szCs w:val="21"/>
                <w:highlight w:val="none"/>
              </w:rPr>
              <w:t>5.9282</w:t>
            </w:r>
            <w:r>
              <w:rPr>
                <w:rFonts w:hint="eastAsia"/>
                <w:color w:val="auto"/>
                <w:szCs w:val="21"/>
                <w:highlight w:val="none"/>
              </w:rPr>
              <w:t>hm</w:t>
            </w:r>
            <w:r>
              <w:rPr>
                <w:rFonts w:hint="eastAsia"/>
                <w:color w:val="auto"/>
                <w:szCs w:val="21"/>
                <w:highlight w:val="none"/>
                <w:vertAlign w:val="superscript"/>
              </w:rPr>
              <w:t>2</w:t>
            </w:r>
            <w:r>
              <w:rPr>
                <w:rFonts w:hint="eastAsia"/>
                <w:color w:val="auto"/>
                <w:szCs w:val="21"/>
                <w:highlight w:val="none"/>
              </w:rPr>
              <w:t>，复垦为灌木林地。边坡</w:t>
            </w:r>
            <w:r>
              <w:rPr>
                <w:color w:val="auto"/>
                <w:kern w:val="0"/>
                <w:szCs w:val="21"/>
                <w:highlight w:val="none"/>
                <w:lang w:bidi="ar"/>
              </w:rPr>
              <w:t>6.4006</w:t>
            </w:r>
            <w:r>
              <w:rPr>
                <w:rFonts w:hint="eastAsia"/>
                <w:color w:val="auto"/>
                <w:szCs w:val="21"/>
                <w:highlight w:val="none"/>
              </w:rPr>
              <w:t>hm</w:t>
            </w:r>
            <w:r>
              <w:rPr>
                <w:rFonts w:hint="eastAsia"/>
                <w:color w:val="auto"/>
                <w:szCs w:val="21"/>
                <w:highlight w:val="none"/>
                <w:vertAlign w:val="superscript"/>
              </w:rPr>
              <w:t>2</w:t>
            </w:r>
            <w:r>
              <w:rPr>
                <w:rFonts w:hint="eastAsia"/>
                <w:color w:val="auto"/>
                <w:szCs w:val="21"/>
                <w:highlight w:val="none"/>
              </w:rPr>
              <w:t>，种植爬山虎</w:t>
            </w:r>
          </w:p>
        </w:tc>
        <w:tc>
          <w:tcPr>
            <w:tcW w:w="887" w:type="pct"/>
            <w:shd w:val="clear" w:color="auto" w:fill="auto"/>
            <w:vAlign w:val="center"/>
          </w:tcPr>
          <w:p w14:paraId="0F5B9FE2">
            <w:pPr>
              <w:pStyle w:val="73"/>
              <w:jc w:val="center"/>
              <w:rPr>
                <w:rFonts w:ascii="Times New Roman" w:hAnsi="Times New Roman" w:cs="Times New Roman"/>
                <w:color w:val="auto"/>
                <w:kern w:val="0"/>
                <w:lang w:bidi="ar"/>
              </w:rPr>
            </w:pPr>
            <w:r>
              <w:rPr>
                <w:rFonts w:hint="eastAsia" w:cs="Times New Roman"/>
                <w:color w:val="auto"/>
              </w:rPr>
              <w:t>新建</w:t>
            </w:r>
          </w:p>
        </w:tc>
      </w:tr>
      <w:tr w14:paraId="5C5CA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92" w:type="pct"/>
            <w:vMerge w:val="continue"/>
            <w:vAlign w:val="center"/>
          </w:tcPr>
          <w:p w14:paraId="23950BB6">
            <w:pPr>
              <w:jc w:val="center"/>
              <w:rPr>
                <w:color w:val="auto"/>
                <w:szCs w:val="21"/>
              </w:rPr>
            </w:pPr>
          </w:p>
        </w:tc>
        <w:tc>
          <w:tcPr>
            <w:tcW w:w="262" w:type="pct"/>
            <w:vMerge w:val="continue"/>
            <w:vAlign w:val="center"/>
          </w:tcPr>
          <w:p w14:paraId="0959E0CD">
            <w:pPr>
              <w:jc w:val="center"/>
              <w:rPr>
                <w:color w:val="auto"/>
                <w:szCs w:val="21"/>
              </w:rPr>
            </w:pPr>
          </w:p>
        </w:tc>
        <w:tc>
          <w:tcPr>
            <w:tcW w:w="330" w:type="pct"/>
            <w:vMerge w:val="continue"/>
            <w:vAlign w:val="center"/>
          </w:tcPr>
          <w:p w14:paraId="370E4884">
            <w:pPr>
              <w:jc w:val="center"/>
              <w:rPr>
                <w:color w:val="auto"/>
                <w:szCs w:val="21"/>
              </w:rPr>
            </w:pPr>
          </w:p>
        </w:tc>
        <w:tc>
          <w:tcPr>
            <w:tcW w:w="430" w:type="pct"/>
            <w:vAlign w:val="center"/>
          </w:tcPr>
          <w:p w14:paraId="2A10C895">
            <w:pPr>
              <w:jc w:val="center"/>
              <w:rPr>
                <w:color w:val="auto"/>
              </w:rPr>
            </w:pPr>
            <w:r>
              <w:rPr>
                <w:rFonts w:hint="eastAsia"/>
                <w:color w:val="auto"/>
              </w:rPr>
              <w:t>排土场</w:t>
            </w:r>
          </w:p>
        </w:tc>
        <w:tc>
          <w:tcPr>
            <w:tcW w:w="1138" w:type="pct"/>
            <w:shd w:val="clear" w:color="auto" w:fill="auto"/>
            <w:vAlign w:val="center"/>
          </w:tcPr>
          <w:p w14:paraId="01FCA899">
            <w:pPr>
              <w:jc w:val="center"/>
              <w:rPr>
                <w:color w:val="auto"/>
                <w:szCs w:val="21"/>
              </w:rPr>
            </w:pPr>
            <w:r>
              <w:rPr>
                <w:rFonts w:hint="eastAsia"/>
                <w:color w:val="auto"/>
                <w:szCs w:val="21"/>
              </w:rPr>
              <w:t>未进行生态恢复。</w:t>
            </w:r>
          </w:p>
        </w:tc>
        <w:tc>
          <w:tcPr>
            <w:tcW w:w="4665" w:type="dxa"/>
            <w:shd w:val="clear" w:color="auto" w:fill="auto"/>
            <w:vAlign w:val="center"/>
          </w:tcPr>
          <w:p w14:paraId="295074D0">
            <w:pPr>
              <w:keepNext w:val="0"/>
              <w:keepLines w:val="0"/>
              <w:pageBreakBefore w:val="0"/>
              <w:widowControl w:val="0"/>
              <w:kinsoku/>
              <w:wordWrap/>
              <w:overflowPunct/>
              <w:topLinePunct w:val="0"/>
              <w:autoSpaceDE/>
              <w:autoSpaceDN/>
              <w:bidi w:val="0"/>
              <w:ind w:left="0" w:leftChars="0" w:right="0" w:rightChars="0"/>
              <w:jc w:val="center"/>
              <w:textAlignment w:val="auto"/>
              <w:rPr>
                <w:color w:val="auto"/>
                <w:highlight w:val="none"/>
              </w:rPr>
            </w:pPr>
            <w:r>
              <w:rPr>
                <w:rFonts w:hint="eastAsia"/>
                <w:color w:val="auto"/>
                <w:szCs w:val="21"/>
                <w:highlight w:val="none"/>
              </w:rPr>
              <w:t>生态恢复面积共计4.5619hm</w:t>
            </w:r>
            <w:r>
              <w:rPr>
                <w:rFonts w:hint="eastAsia"/>
                <w:color w:val="auto"/>
                <w:szCs w:val="21"/>
                <w:highlight w:val="none"/>
                <w:vertAlign w:val="superscript"/>
              </w:rPr>
              <w:t>2</w:t>
            </w:r>
            <w:r>
              <w:rPr>
                <w:rFonts w:hint="eastAsia"/>
                <w:color w:val="auto"/>
                <w:szCs w:val="21"/>
                <w:highlight w:val="none"/>
              </w:rPr>
              <w:t>，其中</w:t>
            </w:r>
            <w:r>
              <w:rPr>
                <w:color w:val="auto"/>
                <w:kern w:val="0"/>
                <w:szCs w:val="21"/>
                <w:highlight w:val="none"/>
                <w:lang w:bidi="ar"/>
              </w:rPr>
              <w:t>平台</w:t>
            </w:r>
            <w:r>
              <w:rPr>
                <w:rFonts w:hint="eastAsia"/>
                <w:color w:val="auto"/>
                <w:kern w:val="0"/>
                <w:szCs w:val="21"/>
                <w:highlight w:val="none"/>
                <w:lang w:bidi="ar"/>
              </w:rPr>
              <w:t>2.2720</w:t>
            </w:r>
            <w:r>
              <w:rPr>
                <w:rFonts w:hint="eastAsia"/>
                <w:color w:val="auto"/>
                <w:szCs w:val="21"/>
                <w:highlight w:val="none"/>
              </w:rPr>
              <w:t>hm</w:t>
            </w:r>
            <w:r>
              <w:rPr>
                <w:rFonts w:hint="eastAsia"/>
                <w:color w:val="auto"/>
                <w:szCs w:val="21"/>
                <w:highlight w:val="none"/>
                <w:vertAlign w:val="superscript"/>
              </w:rPr>
              <w:t>2</w:t>
            </w:r>
            <w:r>
              <w:rPr>
                <w:rFonts w:hint="eastAsia"/>
                <w:color w:val="auto"/>
                <w:szCs w:val="21"/>
                <w:highlight w:val="none"/>
              </w:rPr>
              <w:t>，复垦为乔木林地。边坡2.2899hm</w:t>
            </w:r>
            <w:r>
              <w:rPr>
                <w:rFonts w:hint="eastAsia"/>
                <w:color w:val="auto"/>
                <w:szCs w:val="21"/>
                <w:highlight w:val="none"/>
                <w:vertAlign w:val="superscript"/>
              </w:rPr>
              <w:t>2</w:t>
            </w:r>
            <w:r>
              <w:rPr>
                <w:rFonts w:hint="eastAsia"/>
                <w:color w:val="auto"/>
                <w:szCs w:val="21"/>
                <w:highlight w:val="none"/>
              </w:rPr>
              <w:t>，复垦为灌木林地。</w:t>
            </w:r>
          </w:p>
        </w:tc>
        <w:tc>
          <w:tcPr>
            <w:tcW w:w="887" w:type="pct"/>
            <w:shd w:val="clear" w:color="auto" w:fill="auto"/>
            <w:vAlign w:val="center"/>
          </w:tcPr>
          <w:p w14:paraId="4DF49E87">
            <w:pPr>
              <w:pStyle w:val="73"/>
              <w:jc w:val="center"/>
              <w:rPr>
                <w:rFonts w:ascii="Times New Roman" w:hAnsi="Times New Roman" w:cs="Times New Roman"/>
                <w:color w:val="auto"/>
                <w:kern w:val="0"/>
                <w:lang w:bidi="ar"/>
              </w:rPr>
            </w:pPr>
            <w:r>
              <w:rPr>
                <w:rFonts w:hint="eastAsia" w:cs="Times New Roman"/>
                <w:color w:val="auto"/>
              </w:rPr>
              <w:t>新建</w:t>
            </w:r>
          </w:p>
        </w:tc>
      </w:tr>
      <w:tr w14:paraId="781AF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292" w:type="pct"/>
            <w:vMerge w:val="continue"/>
            <w:vAlign w:val="center"/>
          </w:tcPr>
          <w:p w14:paraId="179B8086">
            <w:pPr>
              <w:jc w:val="center"/>
              <w:rPr>
                <w:color w:val="auto"/>
                <w:szCs w:val="21"/>
              </w:rPr>
            </w:pPr>
          </w:p>
        </w:tc>
        <w:tc>
          <w:tcPr>
            <w:tcW w:w="262" w:type="pct"/>
            <w:vMerge w:val="continue"/>
            <w:vAlign w:val="center"/>
          </w:tcPr>
          <w:p w14:paraId="5C403F40">
            <w:pPr>
              <w:jc w:val="center"/>
              <w:rPr>
                <w:color w:val="auto"/>
                <w:szCs w:val="21"/>
              </w:rPr>
            </w:pPr>
          </w:p>
        </w:tc>
        <w:tc>
          <w:tcPr>
            <w:tcW w:w="330" w:type="pct"/>
            <w:vMerge w:val="continue"/>
            <w:vAlign w:val="center"/>
          </w:tcPr>
          <w:p w14:paraId="4E603A4E">
            <w:pPr>
              <w:jc w:val="center"/>
              <w:rPr>
                <w:color w:val="auto"/>
                <w:szCs w:val="21"/>
              </w:rPr>
            </w:pPr>
          </w:p>
        </w:tc>
        <w:tc>
          <w:tcPr>
            <w:tcW w:w="430" w:type="pct"/>
            <w:vAlign w:val="center"/>
          </w:tcPr>
          <w:p w14:paraId="285237B8">
            <w:pPr>
              <w:jc w:val="center"/>
              <w:rPr>
                <w:color w:val="auto"/>
              </w:rPr>
            </w:pPr>
            <w:r>
              <w:rPr>
                <w:rFonts w:hint="eastAsia"/>
                <w:color w:val="auto"/>
              </w:rPr>
              <w:t>办公室区</w:t>
            </w:r>
          </w:p>
        </w:tc>
        <w:tc>
          <w:tcPr>
            <w:tcW w:w="1138" w:type="pct"/>
            <w:shd w:val="clear" w:color="auto" w:fill="auto"/>
            <w:vAlign w:val="center"/>
          </w:tcPr>
          <w:p w14:paraId="23DE2CD9">
            <w:pPr>
              <w:jc w:val="center"/>
              <w:rPr>
                <w:color w:val="auto"/>
                <w:szCs w:val="21"/>
              </w:rPr>
            </w:pPr>
            <w:r>
              <w:rPr>
                <w:rFonts w:hint="eastAsia"/>
                <w:color w:val="auto"/>
                <w:szCs w:val="21"/>
              </w:rPr>
              <w:t>未进行生态恢复。</w:t>
            </w:r>
          </w:p>
        </w:tc>
        <w:tc>
          <w:tcPr>
            <w:tcW w:w="1659" w:type="pct"/>
            <w:shd w:val="clear" w:color="auto" w:fill="auto"/>
            <w:vAlign w:val="center"/>
          </w:tcPr>
          <w:p w14:paraId="762C7E70">
            <w:pPr>
              <w:jc w:val="center"/>
              <w:rPr>
                <w:color w:val="auto"/>
                <w:highlight w:val="none"/>
              </w:rPr>
            </w:pPr>
            <w:r>
              <w:rPr>
                <w:rFonts w:hint="eastAsia"/>
                <w:color w:val="auto"/>
                <w:szCs w:val="21"/>
                <w:highlight w:val="none"/>
              </w:rPr>
              <w:t>办公室区面积</w:t>
            </w:r>
            <w:r>
              <w:rPr>
                <w:color w:val="auto"/>
                <w:szCs w:val="21"/>
                <w:highlight w:val="none"/>
              </w:rPr>
              <w:t>0.2962</w:t>
            </w:r>
            <w:r>
              <w:rPr>
                <w:rFonts w:hint="eastAsia"/>
                <w:color w:val="auto"/>
                <w:szCs w:val="21"/>
                <w:highlight w:val="none"/>
              </w:rPr>
              <w:t>hm</w:t>
            </w:r>
            <w:r>
              <w:rPr>
                <w:rFonts w:hint="eastAsia"/>
                <w:color w:val="auto"/>
                <w:szCs w:val="21"/>
                <w:highlight w:val="none"/>
                <w:vertAlign w:val="superscript"/>
              </w:rPr>
              <w:t>2</w:t>
            </w:r>
            <w:r>
              <w:rPr>
                <w:rFonts w:hint="eastAsia"/>
                <w:color w:val="auto"/>
                <w:szCs w:val="21"/>
                <w:highlight w:val="none"/>
              </w:rPr>
              <w:t>，复垦为乔木林地。</w:t>
            </w:r>
          </w:p>
        </w:tc>
        <w:tc>
          <w:tcPr>
            <w:tcW w:w="887" w:type="pct"/>
            <w:shd w:val="clear" w:color="auto" w:fill="auto"/>
            <w:vAlign w:val="center"/>
          </w:tcPr>
          <w:p w14:paraId="65E6369D">
            <w:pPr>
              <w:pStyle w:val="73"/>
              <w:jc w:val="center"/>
              <w:rPr>
                <w:rFonts w:cs="Times New Roman"/>
                <w:color w:val="auto"/>
              </w:rPr>
            </w:pPr>
            <w:r>
              <w:rPr>
                <w:rFonts w:hint="eastAsia" w:cs="Times New Roman"/>
                <w:color w:val="auto"/>
              </w:rPr>
              <w:t>新建</w:t>
            </w:r>
          </w:p>
        </w:tc>
      </w:tr>
    </w:tbl>
    <w:p w14:paraId="17F9F969">
      <w:pPr>
        <w:pStyle w:val="13"/>
        <w:ind w:right="25" w:firstLine="461"/>
        <w:sectPr>
          <w:pgSz w:w="16838" w:h="11906" w:orient="landscape"/>
          <w:pgMar w:top="1800" w:right="1440" w:bottom="1800" w:left="1440" w:header="851" w:footer="1077" w:gutter="0"/>
          <w:cols w:space="720" w:num="1"/>
          <w:docGrid w:linePitch="312" w:charSpace="0"/>
        </w:sectPr>
      </w:pPr>
    </w:p>
    <w:tbl>
      <w:tblPr>
        <w:tblStyle w:val="30"/>
        <w:tblW w:w="9746" w:type="dxa"/>
        <w:tblInd w:w="-61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3"/>
        <w:gridCol w:w="8733"/>
      </w:tblGrid>
      <w:tr w14:paraId="62613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3" w:type="dxa"/>
          </w:tcPr>
          <w:p w14:paraId="5E2FBFC3">
            <w:pPr>
              <w:pStyle w:val="14"/>
            </w:pPr>
          </w:p>
        </w:tc>
        <w:tc>
          <w:tcPr>
            <w:tcW w:w="8733" w:type="dxa"/>
          </w:tcPr>
          <w:p w14:paraId="5938F54F">
            <w:pPr>
              <w:spacing w:line="480" w:lineRule="exact"/>
              <w:ind w:firstLine="482" w:firstLineChars="200"/>
              <w:rPr>
                <w:b/>
                <w:bCs/>
                <w:sz w:val="24"/>
              </w:rPr>
            </w:pPr>
            <w:r>
              <w:rPr>
                <w:rFonts w:hint="eastAsia"/>
                <w:b/>
                <w:bCs/>
                <w:sz w:val="24"/>
              </w:rPr>
              <w:t>3.矿界变化情况</w:t>
            </w:r>
          </w:p>
          <w:p w14:paraId="30DA3C61">
            <w:pPr>
              <w:spacing w:line="480" w:lineRule="exact"/>
              <w:ind w:firstLine="480" w:firstLineChars="200"/>
              <w:rPr>
                <w:sz w:val="24"/>
              </w:rPr>
            </w:pPr>
            <w:r>
              <w:rPr>
                <w:sz w:val="24"/>
                <w:szCs w:val="32"/>
              </w:rPr>
              <w:t>本项目为资源整合型矿山，</w:t>
            </w:r>
            <w:r>
              <w:rPr>
                <w:sz w:val="24"/>
              </w:rPr>
              <w:t>整合区由</w:t>
            </w:r>
            <w:r>
              <w:rPr>
                <w:rFonts w:hint="eastAsia"/>
                <w:sz w:val="24"/>
              </w:rPr>
              <w:t>盂县石鑫矿业有限公司与盂县西潘乡鑫盛石矿</w:t>
            </w:r>
            <w:r>
              <w:rPr>
                <w:sz w:val="24"/>
              </w:rPr>
              <w:t>整合而成，整合区名称为</w:t>
            </w:r>
            <w:r>
              <w:rPr>
                <w:rFonts w:hint="eastAsia"/>
                <w:sz w:val="24"/>
              </w:rPr>
              <w:t>盂县宋庄村一带整合开采区（一）</w:t>
            </w:r>
            <w:r>
              <w:rPr>
                <w:sz w:val="24"/>
              </w:rPr>
              <w:t>，</w:t>
            </w:r>
            <w:r>
              <w:rPr>
                <w:rFonts w:hint="eastAsia"/>
                <w:sz w:val="24"/>
              </w:rPr>
              <w:t>盂县石鑫矿业有限公司</w:t>
            </w:r>
            <w:r>
              <w:rPr>
                <w:sz w:val="24"/>
              </w:rPr>
              <w:t>于2023年</w:t>
            </w:r>
            <w:r>
              <w:rPr>
                <w:rFonts w:hint="eastAsia"/>
                <w:sz w:val="24"/>
              </w:rPr>
              <w:t>7</w:t>
            </w:r>
            <w:r>
              <w:rPr>
                <w:sz w:val="24"/>
              </w:rPr>
              <w:t>月竞得该采矿权。</w:t>
            </w:r>
          </w:p>
          <w:p w14:paraId="2DD3431C">
            <w:pPr>
              <w:spacing w:line="480" w:lineRule="exact"/>
              <w:ind w:firstLine="480" w:firstLineChars="200"/>
              <w:rPr>
                <w:kern w:val="0"/>
                <w:sz w:val="24"/>
              </w:rPr>
            </w:pPr>
            <w:r>
              <w:rPr>
                <w:rFonts w:hint="eastAsia"/>
                <w:kern w:val="0"/>
                <w:sz w:val="24"/>
              </w:rPr>
              <w:t>根据</w:t>
            </w:r>
            <w:r>
              <w:rPr>
                <w:rFonts w:hint="eastAsia"/>
                <w:sz w:val="24"/>
              </w:rPr>
              <w:t>盂县石鑫矿业有限公司</w:t>
            </w:r>
            <w:r>
              <w:rPr>
                <w:rFonts w:hint="eastAsia"/>
                <w:kern w:val="0"/>
                <w:sz w:val="24"/>
              </w:rPr>
              <w:t>原采矿证，其</w:t>
            </w:r>
            <w:r>
              <w:rPr>
                <w:sz w:val="24"/>
              </w:rPr>
              <w:t>矿区面积为0.</w:t>
            </w:r>
            <w:r>
              <w:rPr>
                <w:rFonts w:hint="eastAsia"/>
                <w:sz w:val="24"/>
              </w:rPr>
              <w:t>1245</w:t>
            </w:r>
            <w:r>
              <w:rPr>
                <w:sz w:val="24"/>
              </w:rPr>
              <w:t>平方公里，</w:t>
            </w:r>
            <w:r>
              <w:rPr>
                <w:rFonts w:hint="eastAsia"/>
                <w:sz w:val="24"/>
              </w:rPr>
              <w:t>矿区范围</w:t>
            </w:r>
            <w:r>
              <w:rPr>
                <w:sz w:val="24"/>
              </w:rPr>
              <w:t>共由</w:t>
            </w:r>
            <w:r>
              <w:rPr>
                <w:rFonts w:hint="eastAsia"/>
                <w:sz w:val="24"/>
              </w:rPr>
              <w:t>8</w:t>
            </w:r>
            <w:r>
              <w:rPr>
                <w:sz w:val="24"/>
              </w:rPr>
              <w:t>个拐点圈定。</w:t>
            </w:r>
            <w:r>
              <w:rPr>
                <w:rFonts w:hint="eastAsia"/>
                <w:kern w:val="0"/>
                <w:sz w:val="24"/>
              </w:rPr>
              <w:t>根据</w:t>
            </w:r>
            <w:r>
              <w:rPr>
                <w:rFonts w:hint="eastAsia"/>
                <w:sz w:val="24"/>
              </w:rPr>
              <w:t>盂县西潘乡鑫盛石矿</w:t>
            </w:r>
            <w:r>
              <w:rPr>
                <w:rFonts w:hint="eastAsia"/>
                <w:kern w:val="0"/>
                <w:sz w:val="24"/>
              </w:rPr>
              <w:t>原采矿证，其</w:t>
            </w:r>
            <w:r>
              <w:rPr>
                <w:sz w:val="24"/>
              </w:rPr>
              <w:t>矿区面积为0.</w:t>
            </w:r>
            <w:r>
              <w:rPr>
                <w:rFonts w:hint="eastAsia"/>
                <w:sz w:val="24"/>
              </w:rPr>
              <w:t>0717</w:t>
            </w:r>
            <w:r>
              <w:rPr>
                <w:sz w:val="24"/>
              </w:rPr>
              <w:t>平方公里，</w:t>
            </w:r>
            <w:r>
              <w:rPr>
                <w:rFonts w:hint="eastAsia"/>
                <w:sz w:val="24"/>
              </w:rPr>
              <w:t>矿区范围</w:t>
            </w:r>
            <w:r>
              <w:rPr>
                <w:sz w:val="24"/>
              </w:rPr>
              <w:t>共由</w:t>
            </w:r>
            <w:r>
              <w:rPr>
                <w:rFonts w:hint="eastAsia"/>
                <w:sz w:val="24"/>
              </w:rPr>
              <w:t>11</w:t>
            </w:r>
            <w:r>
              <w:rPr>
                <w:sz w:val="24"/>
              </w:rPr>
              <w:t>个拐点圈定。</w:t>
            </w:r>
            <w:r>
              <w:rPr>
                <w:rFonts w:hint="eastAsia"/>
                <w:sz w:val="24"/>
              </w:rPr>
              <w:t>本次资源整合后，盂县石鑫矿业有限公司原矿界向西北侧及西侧延伸，向西北侧延伸后与原盂县西潘乡鑫盛石矿矿区连接，整合后矿区面积为</w:t>
            </w:r>
            <w:r>
              <w:rPr>
                <w:sz w:val="24"/>
              </w:rPr>
              <w:t>0.</w:t>
            </w:r>
            <w:r>
              <w:rPr>
                <w:rFonts w:hint="eastAsia"/>
                <w:sz w:val="24"/>
              </w:rPr>
              <w:t>2046</w:t>
            </w:r>
            <w:r>
              <w:rPr>
                <w:sz w:val="24"/>
              </w:rPr>
              <w:t>平方公里</w:t>
            </w:r>
            <w:r>
              <w:rPr>
                <w:rFonts w:hint="eastAsia"/>
                <w:sz w:val="24"/>
              </w:rPr>
              <w:t>（</w:t>
            </w:r>
            <w:r>
              <w:rPr>
                <w:sz w:val="24"/>
              </w:rPr>
              <w:t>共</w:t>
            </w:r>
            <w:r>
              <w:rPr>
                <w:rFonts w:hint="eastAsia"/>
                <w:sz w:val="24"/>
              </w:rPr>
              <w:t>14</w:t>
            </w:r>
            <w:r>
              <w:rPr>
                <w:sz w:val="24"/>
              </w:rPr>
              <w:t>个拐点圈定</w:t>
            </w:r>
            <w:r>
              <w:rPr>
                <w:rFonts w:hint="eastAsia"/>
                <w:sz w:val="24"/>
              </w:rPr>
              <w:t>，拐点坐标详见表2-1）</w:t>
            </w:r>
            <w:r>
              <w:rPr>
                <w:sz w:val="24"/>
              </w:rPr>
              <w:t>。</w:t>
            </w:r>
          </w:p>
          <w:p w14:paraId="36A7D49A">
            <w:pPr>
              <w:pStyle w:val="15"/>
              <w:tabs>
                <w:tab w:val="left" w:pos="2340"/>
                <w:tab w:val="left" w:pos="4320"/>
              </w:tabs>
              <w:spacing w:line="480" w:lineRule="exact"/>
              <w:rPr>
                <w:rFonts w:ascii="宋体" w:hAnsi="宋体" w:eastAsia="宋体" w:cs="宋体"/>
                <w:sz w:val="21"/>
                <w:szCs w:val="21"/>
              </w:rPr>
            </w:pPr>
            <w:r>
              <w:rPr>
                <w:rFonts w:hint="eastAsia" w:ascii="宋体" w:hAnsi="宋体" w:eastAsia="宋体" w:cs="宋体"/>
                <w:sz w:val="21"/>
                <w:szCs w:val="21"/>
              </w:rPr>
              <w:t>表</w:t>
            </w:r>
            <w:r>
              <w:rPr>
                <w:rFonts w:eastAsia="宋体"/>
                <w:sz w:val="21"/>
                <w:szCs w:val="21"/>
              </w:rPr>
              <w:t>2-</w:t>
            </w:r>
            <w:r>
              <w:rPr>
                <w:rFonts w:hint="eastAsia" w:eastAsia="宋体"/>
                <w:sz w:val="21"/>
                <w:szCs w:val="21"/>
              </w:rPr>
              <w:t>3</w:t>
            </w:r>
            <w:r>
              <w:rPr>
                <w:rFonts w:hint="eastAsia" w:ascii="宋体" w:hAnsi="宋体" w:eastAsia="宋体" w:cs="宋体"/>
                <w:sz w:val="21"/>
                <w:szCs w:val="21"/>
              </w:rPr>
              <w:t xml:space="preserve"> 原盂县石鑫矿业有限公司矿区边界范围一览表</w:t>
            </w:r>
          </w:p>
          <w:tbl>
            <w:tblPr>
              <w:tblStyle w:val="2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3"/>
              <w:gridCol w:w="1665"/>
              <w:gridCol w:w="1667"/>
              <w:gridCol w:w="912"/>
              <w:gridCol w:w="1674"/>
              <w:gridCol w:w="1693"/>
            </w:tblGrid>
            <w:tr w14:paraId="0FE65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25" w:type="pct"/>
                  <w:vMerge w:val="restart"/>
                  <w:tcBorders>
                    <w:tl2br w:val="nil"/>
                    <w:tr2bl w:val="nil"/>
                  </w:tcBorders>
                  <w:noWrap/>
                  <w:vAlign w:val="center"/>
                </w:tcPr>
                <w:p w14:paraId="1FCB560B">
                  <w:pPr>
                    <w:widowControl/>
                    <w:jc w:val="center"/>
                    <w:textAlignment w:val="center"/>
                    <w:rPr>
                      <w:kern w:val="0"/>
                      <w:sz w:val="22"/>
                      <w:szCs w:val="22"/>
                      <w:lang w:bidi="ar"/>
                    </w:rPr>
                  </w:pPr>
                  <w:r>
                    <w:rPr>
                      <w:rFonts w:hint="eastAsia"/>
                      <w:kern w:val="0"/>
                      <w:sz w:val="22"/>
                      <w:szCs w:val="22"/>
                      <w:lang w:bidi="ar"/>
                    </w:rPr>
                    <w:t>序号</w:t>
                  </w:r>
                </w:p>
              </w:tc>
              <w:tc>
                <w:tcPr>
                  <w:tcW w:w="1959" w:type="pct"/>
                  <w:gridSpan w:val="2"/>
                  <w:tcBorders>
                    <w:tl2br w:val="nil"/>
                    <w:tr2bl w:val="nil"/>
                  </w:tcBorders>
                  <w:noWrap/>
                  <w:vAlign w:val="center"/>
                </w:tcPr>
                <w:p w14:paraId="4FC00167">
                  <w:pPr>
                    <w:widowControl/>
                    <w:jc w:val="center"/>
                    <w:textAlignment w:val="center"/>
                    <w:rPr>
                      <w:kern w:val="0"/>
                      <w:sz w:val="22"/>
                      <w:szCs w:val="22"/>
                      <w:lang w:bidi="ar"/>
                    </w:rPr>
                  </w:pPr>
                  <w:r>
                    <w:rPr>
                      <w:kern w:val="0"/>
                      <w:szCs w:val="21"/>
                    </w:rPr>
                    <w:t>CGCS2000坐标系（3°带）</w:t>
                  </w:r>
                </w:p>
              </w:tc>
              <w:tc>
                <w:tcPr>
                  <w:tcW w:w="536" w:type="pct"/>
                  <w:vMerge w:val="restart"/>
                  <w:tcBorders>
                    <w:tl2br w:val="nil"/>
                    <w:tr2bl w:val="nil"/>
                  </w:tcBorders>
                  <w:noWrap/>
                  <w:vAlign w:val="center"/>
                </w:tcPr>
                <w:p w14:paraId="721CEFEB">
                  <w:pPr>
                    <w:widowControl/>
                    <w:jc w:val="center"/>
                    <w:textAlignment w:val="center"/>
                    <w:rPr>
                      <w:kern w:val="0"/>
                      <w:sz w:val="22"/>
                      <w:szCs w:val="22"/>
                      <w:lang w:bidi="ar"/>
                    </w:rPr>
                  </w:pPr>
                  <w:r>
                    <w:rPr>
                      <w:rFonts w:hint="eastAsia"/>
                      <w:kern w:val="0"/>
                      <w:sz w:val="22"/>
                      <w:szCs w:val="22"/>
                      <w:lang w:bidi="ar"/>
                    </w:rPr>
                    <w:t>序号</w:t>
                  </w:r>
                </w:p>
              </w:tc>
              <w:tc>
                <w:tcPr>
                  <w:tcW w:w="1979" w:type="pct"/>
                  <w:gridSpan w:val="2"/>
                  <w:tcBorders>
                    <w:tl2br w:val="nil"/>
                    <w:tr2bl w:val="nil"/>
                  </w:tcBorders>
                  <w:noWrap/>
                  <w:vAlign w:val="center"/>
                </w:tcPr>
                <w:p w14:paraId="11792559">
                  <w:pPr>
                    <w:widowControl/>
                    <w:jc w:val="center"/>
                    <w:textAlignment w:val="center"/>
                    <w:rPr>
                      <w:kern w:val="0"/>
                      <w:sz w:val="22"/>
                      <w:szCs w:val="22"/>
                      <w:lang w:bidi="ar"/>
                    </w:rPr>
                  </w:pPr>
                  <w:r>
                    <w:rPr>
                      <w:kern w:val="0"/>
                      <w:szCs w:val="21"/>
                    </w:rPr>
                    <w:t>CGCS2000坐标系（3°带）</w:t>
                  </w:r>
                </w:p>
              </w:tc>
            </w:tr>
            <w:tr w14:paraId="588A7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25" w:type="pct"/>
                  <w:vMerge w:val="continue"/>
                  <w:tcBorders>
                    <w:tl2br w:val="nil"/>
                    <w:tr2bl w:val="nil"/>
                  </w:tcBorders>
                  <w:noWrap/>
                  <w:vAlign w:val="center"/>
                </w:tcPr>
                <w:p w14:paraId="65C6870C">
                  <w:pPr>
                    <w:widowControl/>
                    <w:jc w:val="center"/>
                    <w:textAlignment w:val="center"/>
                    <w:rPr>
                      <w:kern w:val="0"/>
                      <w:sz w:val="22"/>
                      <w:szCs w:val="22"/>
                      <w:lang w:bidi="ar"/>
                    </w:rPr>
                  </w:pPr>
                </w:p>
              </w:tc>
              <w:tc>
                <w:tcPr>
                  <w:tcW w:w="979" w:type="pct"/>
                  <w:tcBorders>
                    <w:tl2br w:val="nil"/>
                    <w:tr2bl w:val="nil"/>
                  </w:tcBorders>
                  <w:noWrap/>
                  <w:vAlign w:val="center"/>
                </w:tcPr>
                <w:p w14:paraId="0070CEFA">
                  <w:pPr>
                    <w:widowControl/>
                    <w:jc w:val="center"/>
                    <w:textAlignment w:val="center"/>
                    <w:rPr>
                      <w:kern w:val="0"/>
                      <w:sz w:val="22"/>
                      <w:szCs w:val="22"/>
                      <w:lang w:bidi="ar"/>
                    </w:rPr>
                  </w:pPr>
                  <w:r>
                    <w:rPr>
                      <w:rFonts w:hint="eastAsia"/>
                      <w:kern w:val="0"/>
                      <w:sz w:val="22"/>
                      <w:szCs w:val="22"/>
                      <w:lang w:bidi="ar"/>
                    </w:rPr>
                    <w:t>X</w:t>
                  </w:r>
                </w:p>
              </w:tc>
              <w:tc>
                <w:tcPr>
                  <w:tcW w:w="980" w:type="pct"/>
                  <w:tcBorders>
                    <w:tl2br w:val="nil"/>
                    <w:tr2bl w:val="nil"/>
                  </w:tcBorders>
                  <w:noWrap/>
                  <w:vAlign w:val="center"/>
                </w:tcPr>
                <w:p w14:paraId="56C93AFE">
                  <w:pPr>
                    <w:widowControl/>
                    <w:jc w:val="center"/>
                    <w:textAlignment w:val="center"/>
                    <w:rPr>
                      <w:kern w:val="0"/>
                      <w:sz w:val="22"/>
                      <w:szCs w:val="22"/>
                      <w:lang w:bidi="ar"/>
                    </w:rPr>
                  </w:pPr>
                  <w:r>
                    <w:rPr>
                      <w:rFonts w:hint="eastAsia"/>
                      <w:kern w:val="0"/>
                      <w:sz w:val="22"/>
                      <w:szCs w:val="22"/>
                      <w:lang w:bidi="ar"/>
                    </w:rPr>
                    <w:t>Y</w:t>
                  </w:r>
                </w:p>
              </w:tc>
              <w:tc>
                <w:tcPr>
                  <w:tcW w:w="536" w:type="pct"/>
                  <w:vMerge w:val="continue"/>
                  <w:tcBorders>
                    <w:tl2br w:val="nil"/>
                    <w:tr2bl w:val="nil"/>
                  </w:tcBorders>
                  <w:noWrap/>
                  <w:vAlign w:val="center"/>
                </w:tcPr>
                <w:p w14:paraId="4E815EAB">
                  <w:pPr>
                    <w:widowControl/>
                    <w:jc w:val="center"/>
                    <w:textAlignment w:val="center"/>
                    <w:rPr>
                      <w:kern w:val="0"/>
                      <w:sz w:val="22"/>
                      <w:szCs w:val="22"/>
                      <w:lang w:bidi="ar"/>
                    </w:rPr>
                  </w:pPr>
                </w:p>
              </w:tc>
              <w:tc>
                <w:tcPr>
                  <w:tcW w:w="984" w:type="pct"/>
                  <w:tcBorders>
                    <w:tl2br w:val="nil"/>
                    <w:tr2bl w:val="nil"/>
                  </w:tcBorders>
                  <w:noWrap/>
                  <w:vAlign w:val="center"/>
                </w:tcPr>
                <w:p w14:paraId="37F47EA3">
                  <w:pPr>
                    <w:widowControl/>
                    <w:jc w:val="center"/>
                    <w:textAlignment w:val="center"/>
                    <w:rPr>
                      <w:kern w:val="0"/>
                      <w:sz w:val="22"/>
                      <w:szCs w:val="22"/>
                      <w:lang w:bidi="ar"/>
                    </w:rPr>
                  </w:pPr>
                  <w:r>
                    <w:rPr>
                      <w:rFonts w:hint="eastAsia"/>
                      <w:kern w:val="0"/>
                      <w:sz w:val="22"/>
                      <w:szCs w:val="22"/>
                      <w:lang w:bidi="ar"/>
                    </w:rPr>
                    <w:t>X</w:t>
                  </w:r>
                </w:p>
              </w:tc>
              <w:tc>
                <w:tcPr>
                  <w:tcW w:w="994" w:type="pct"/>
                  <w:tcBorders>
                    <w:tl2br w:val="nil"/>
                    <w:tr2bl w:val="nil"/>
                  </w:tcBorders>
                  <w:noWrap/>
                  <w:vAlign w:val="center"/>
                </w:tcPr>
                <w:p w14:paraId="55A91149">
                  <w:pPr>
                    <w:widowControl/>
                    <w:jc w:val="center"/>
                    <w:textAlignment w:val="center"/>
                    <w:rPr>
                      <w:kern w:val="0"/>
                      <w:sz w:val="22"/>
                      <w:szCs w:val="22"/>
                      <w:lang w:bidi="ar"/>
                    </w:rPr>
                  </w:pPr>
                  <w:r>
                    <w:rPr>
                      <w:rFonts w:hint="eastAsia"/>
                      <w:kern w:val="0"/>
                      <w:sz w:val="22"/>
                      <w:szCs w:val="22"/>
                      <w:lang w:bidi="ar"/>
                    </w:rPr>
                    <w:t>Y</w:t>
                  </w:r>
                </w:p>
              </w:tc>
            </w:tr>
            <w:tr w14:paraId="5831F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25" w:type="pct"/>
                  <w:tcBorders>
                    <w:tl2br w:val="nil"/>
                    <w:tr2bl w:val="nil"/>
                  </w:tcBorders>
                  <w:noWrap/>
                  <w:vAlign w:val="center"/>
                </w:tcPr>
                <w:p w14:paraId="3F78FB81">
                  <w:pPr>
                    <w:widowControl/>
                    <w:jc w:val="center"/>
                    <w:textAlignment w:val="center"/>
                    <w:rPr>
                      <w:sz w:val="22"/>
                      <w:szCs w:val="22"/>
                    </w:rPr>
                  </w:pPr>
                  <w:r>
                    <w:rPr>
                      <w:rFonts w:hint="eastAsia"/>
                      <w:sz w:val="22"/>
                      <w:szCs w:val="22"/>
                    </w:rPr>
                    <w:t>1</w:t>
                  </w:r>
                </w:p>
              </w:tc>
              <w:tc>
                <w:tcPr>
                  <w:tcW w:w="1665" w:type="dxa"/>
                  <w:tcBorders>
                    <w:tl2br w:val="nil"/>
                    <w:tr2bl w:val="nil"/>
                  </w:tcBorders>
                  <w:noWrap/>
                  <w:vAlign w:val="center"/>
                </w:tcPr>
                <w:p w14:paraId="0C8C9B11">
                  <w:pPr>
                    <w:widowControl/>
                    <w:jc w:val="center"/>
                    <w:rPr>
                      <w:kern w:val="0"/>
                    </w:rPr>
                  </w:pPr>
                  <w:r>
                    <w:rPr>
                      <w:rFonts w:hint="eastAsia"/>
                      <w:kern w:val="0"/>
                    </w:rPr>
                    <w:t>4245426.228</w:t>
                  </w:r>
                </w:p>
              </w:tc>
              <w:tc>
                <w:tcPr>
                  <w:tcW w:w="1667" w:type="dxa"/>
                  <w:tcBorders>
                    <w:tl2br w:val="nil"/>
                    <w:tr2bl w:val="nil"/>
                  </w:tcBorders>
                  <w:noWrap/>
                  <w:vAlign w:val="center"/>
                </w:tcPr>
                <w:p w14:paraId="5B4D3A56">
                  <w:pPr>
                    <w:widowControl/>
                    <w:jc w:val="center"/>
                    <w:rPr>
                      <w:kern w:val="0"/>
                    </w:rPr>
                  </w:pPr>
                  <w:r>
                    <w:rPr>
                      <w:rFonts w:hint="eastAsia"/>
                      <w:kern w:val="0"/>
                    </w:rPr>
                    <w:t>38429980.257</w:t>
                  </w:r>
                </w:p>
              </w:tc>
              <w:tc>
                <w:tcPr>
                  <w:tcW w:w="536" w:type="pct"/>
                  <w:tcBorders>
                    <w:tl2br w:val="nil"/>
                    <w:tr2bl w:val="nil"/>
                  </w:tcBorders>
                  <w:noWrap/>
                  <w:vAlign w:val="center"/>
                </w:tcPr>
                <w:p w14:paraId="5F49D797">
                  <w:pPr>
                    <w:widowControl/>
                    <w:jc w:val="center"/>
                    <w:rPr>
                      <w:kern w:val="0"/>
                    </w:rPr>
                  </w:pPr>
                  <w:r>
                    <w:rPr>
                      <w:rFonts w:hint="eastAsia"/>
                      <w:kern w:val="0"/>
                    </w:rPr>
                    <w:t>5</w:t>
                  </w:r>
                </w:p>
              </w:tc>
              <w:tc>
                <w:tcPr>
                  <w:tcW w:w="1674" w:type="dxa"/>
                  <w:tcBorders>
                    <w:tl2br w:val="nil"/>
                    <w:tr2bl w:val="nil"/>
                  </w:tcBorders>
                  <w:noWrap/>
                  <w:vAlign w:val="center"/>
                </w:tcPr>
                <w:p w14:paraId="4423CCCC">
                  <w:pPr>
                    <w:widowControl/>
                    <w:jc w:val="center"/>
                    <w:rPr>
                      <w:kern w:val="0"/>
                    </w:rPr>
                  </w:pPr>
                  <w:r>
                    <w:rPr>
                      <w:rFonts w:hint="eastAsia"/>
                      <w:kern w:val="0"/>
                    </w:rPr>
                    <w:t xml:space="preserve">4244986.827 </w:t>
                  </w:r>
                </w:p>
              </w:tc>
              <w:tc>
                <w:tcPr>
                  <w:tcW w:w="1693" w:type="dxa"/>
                  <w:tcBorders>
                    <w:tl2br w:val="nil"/>
                    <w:tr2bl w:val="nil"/>
                  </w:tcBorders>
                  <w:noWrap/>
                  <w:vAlign w:val="center"/>
                </w:tcPr>
                <w:p w14:paraId="10959763">
                  <w:pPr>
                    <w:widowControl/>
                    <w:jc w:val="center"/>
                    <w:rPr>
                      <w:kern w:val="0"/>
                    </w:rPr>
                  </w:pPr>
                  <w:r>
                    <w:rPr>
                      <w:rFonts w:hint="eastAsia"/>
                      <w:kern w:val="0"/>
                    </w:rPr>
                    <w:t>38429990.977</w:t>
                  </w:r>
                </w:p>
              </w:tc>
            </w:tr>
            <w:tr w14:paraId="14236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25" w:type="pct"/>
                  <w:tcBorders>
                    <w:tl2br w:val="nil"/>
                    <w:tr2bl w:val="nil"/>
                  </w:tcBorders>
                  <w:noWrap/>
                  <w:vAlign w:val="center"/>
                </w:tcPr>
                <w:p w14:paraId="030B50D7">
                  <w:pPr>
                    <w:widowControl/>
                    <w:jc w:val="center"/>
                    <w:textAlignment w:val="center"/>
                    <w:rPr>
                      <w:sz w:val="22"/>
                      <w:szCs w:val="22"/>
                    </w:rPr>
                  </w:pPr>
                  <w:r>
                    <w:rPr>
                      <w:rFonts w:hint="eastAsia"/>
                      <w:sz w:val="22"/>
                      <w:szCs w:val="22"/>
                    </w:rPr>
                    <w:t>2</w:t>
                  </w:r>
                </w:p>
              </w:tc>
              <w:tc>
                <w:tcPr>
                  <w:tcW w:w="1665" w:type="dxa"/>
                  <w:tcBorders>
                    <w:tl2br w:val="nil"/>
                    <w:tr2bl w:val="nil"/>
                  </w:tcBorders>
                  <w:noWrap/>
                  <w:vAlign w:val="center"/>
                </w:tcPr>
                <w:p w14:paraId="324B247F">
                  <w:pPr>
                    <w:widowControl/>
                    <w:jc w:val="center"/>
                    <w:rPr>
                      <w:kern w:val="0"/>
                    </w:rPr>
                  </w:pPr>
                  <w:r>
                    <w:rPr>
                      <w:rFonts w:hint="eastAsia"/>
                      <w:kern w:val="0"/>
                    </w:rPr>
                    <w:t>4244966.897</w:t>
                  </w:r>
                </w:p>
              </w:tc>
              <w:tc>
                <w:tcPr>
                  <w:tcW w:w="1667" w:type="dxa"/>
                  <w:tcBorders>
                    <w:tl2br w:val="nil"/>
                    <w:tr2bl w:val="nil"/>
                  </w:tcBorders>
                  <w:noWrap/>
                  <w:vAlign w:val="center"/>
                </w:tcPr>
                <w:p w14:paraId="18F21AAF">
                  <w:pPr>
                    <w:widowControl/>
                    <w:jc w:val="center"/>
                    <w:rPr>
                      <w:kern w:val="0"/>
                    </w:rPr>
                  </w:pPr>
                  <w:r>
                    <w:rPr>
                      <w:rFonts w:hint="eastAsia"/>
                      <w:kern w:val="0"/>
                    </w:rPr>
                    <w:t>38430450.409</w:t>
                  </w:r>
                </w:p>
              </w:tc>
              <w:tc>
                <w:tcPr>
                  <w:tcW w:w="536" w:type="pct"/>
                  <w:tcBorders>
                    <w:tl2br w:val="nil"/>
                    <w:tr2bl w:val="nil"/>
                  </w:tcBorders>
                  <w:noWrap/>
                  <w:vAlign w:val="center"/>
                </w:tcPr>
                <w:p w14:paraId="158F2519">
                  <w:pPr>
                    <w:widowControl/>
                    <w:jc w:val="center"/>
                    <w:rPr>
                      <w:kern w:val="0"/>
                    </w:rPr>
                  </w:pPr>
                  <w:r>
                    <w:rPr>
                      <w:rFonts w:hint="eastAsia"/>
                      <w:kern w:val="0"/>
                    </w:rPr>
                    <w:t>6</w:t>
                  </w:r>
                </w:p>
              </w:tc>
              <w:tc>
                <w:tcPr>
                  <w:tcW w:w="1674" w:type="dxa"/>
                  <w:tcBorders>
                    <w:tl2br w:val="nil"/>
                    <w:tr2bl w:val="nil"/>
                  </w:tcBorders>
                  <w:noWrap/>
                  <w:vAlign w:val="center"/>
                </w:tcPr>
                <w:p w14:paraId="038FD84E">
                  <w:pPr>
                    <w:widowControl/>
                    <w:jc w:val="center"/>
                    <w:rPr>
                      <w:kern w:val="0"/>
                    </w:rPr>
                  </w:pPr>
                  <w:r>
                    <w:rPr>
                      <w:rFonts w:hint="eastAsia"/>
                      <w:kern w:val="0"/>
                    </w:rPr>
                    <w:t>4245100.497</w:t>
                  </w:r>
                </w:p>
              </w:tc>
              <w:tc>
                <w:tcPr>
                  <w:tcW w:w="1693" w:type="dxa"/>
                  <w:tcBorders>
                    <w:tl2br w:val="nil"/>
                    <w:tr2bl w:val="nil"/>
                  </w:tcBorders>
                  <w:noWrap/>
                  <w:vAlign w:val="center"/>
                </w:tcPr>
                <w:p w14:paraId="6F2ED18F">
                  <w:pPr>
                    <w:widowControl/>
                    <w:jc w:val="center"/>
                    <w:rPr>
                      <w:kern w:val="0"/>
                    </w:rPr>
                  </w:pPr>
                  <w:r>
                    <w:rPr>
                      <w:rFonts w:hint="eastAsia"/>
                      <w:kern w:val="0"/>
                    </w:rPr>
                    <w:t>38429847.657</w:t>
                  </w:r>
                </w:p>
              </w:tc>
            </w:tr>
            <w:tr w14:paraId="055EC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25" w:type="pct"/>
                  <w:tcBorders>
                    <w:tl2br w:val="nil"/>
                    <w:tr2bl w:val="nil"/>
                  </w:tcBorders>
                  <w:noWrap/>
                  <w:vAlign w:val="center"/>
                </w:tcPr>
                <w:p w14:paraId="4F60201D">
                  <w:pPr>
                    <w:widowControl/>
                    <w:jc w:val="center"/>
                    <w:textAlignment w:val="center"/>
                    <w:rPr>
                      <w:sz w:val="22"/>
                      <w:szCs w:val="22"/>
                    </w:rPr>
                  </w:pPr>
                  <w:r>
                    <w:rPr>
                      <w:rFonts w:hint="eastAsia"/>
                      <w:sz w:val="22"/>
                      <w:szCs w:val="22"/>
                    </w:rPr>
                    <w:t>3</w:t>
                  </w:r>
                </w:p>
              </w:tc>
              <w:tc>
                <w:tcPr>
                  <w:tcW w:w="1665" w:type="dxa"/>
                  <w:tcBorders>
                    <w:tl2br w:val="nil"/>
                    <w:tr2bl w:val="nil"/>
                  </w:tcBorders>
                  <w:noWrap/>
                  <w:vAlign w:val="center"/>
                </w:tcPr>
                <w:p w14:paraId="354FE582">
                  <w:pPr>
                    <w:widowControl/>
                    <w:jc w:val="center"/>
                    <w:rPr>
                      <w:kern w:val="0"/>
                    </w:rPr>
                  </w:pPr>
                  <w:r>
                    <w:rPr>
                      <w:rFonts w:hint="eastAsia"/>
                      <w:kern w:val="0"/>
                    </w:rPr>
                    <w:t>4244906.476</w:t>
                  </w:r>
                </w:p>
              </w:tc>
              <w:tc>
                <w:tcPr>
                  <w:tcW w:w="1667" w:type="dxa"/>
                  <w:tcBorders>
                    <w:tl2br w:val="nil"/>
                    <w:tr2bl w:val="nil"/>
                  </w:tcBorders>
                  <w:noWrap/>
                  <w:vAlign w:val="center"/>
                </w:tcPr>
                <w:p w14:paraId="4482D6FE">
                  <w:pPr>
                    <w:widowControl/>
                    <w:jc w:val="center"/>
                    <w:rPr>
                      <w:kern w:val="0"/>
                    </w:rPr>
                  </w:pPr>
                  <w:r>
                    <w:rPr>
                      <w:rFonts w:hint="eastAsia"/>
                      <w:kern w:val="0"/>
                    </w:rPr>
                    <w:t>38430401.439</w:t>
                  </w:r>
                </w:p>
              </w:tc>
              <w:tc>
                <w:tcPr>
                  <w:tcW w:w="912" w:type="dxa"/>
                  <w:tcBorders>
                    <w:tl2br w:val="nil"/>
                    <w:tr2bl w:val="nil"/>
                  </w:tcBorders>
                  <w:noWrap/>
                  <w:vAlign w:val="center"/>
                </w:tcPr>
                <w:p w14:paraId="19AF0316">
                  <w:pPr>
                    <w:widowControl/>
                    <w:jc w:val="center"/>
                    <w:rPr>
                      <w:kern w:val="0"/>
                    </w:rPr>
                  </w:pPr>
                  <w:r>
                    <w:rPr>
                      <w:rFonts w:hint="eastAsia"/>
                      <w:kern w:val="0"/>
                    </w:rPr>
                    <w:t>7</w:t>
                  </w:r>
                </w:p>
              </w:tc>
              <w:tc>
                <w:tcPr>
                  <w:tcW w:w="1674" w:type="dxa"/>
                  <w:tcBorders>
                    <w:tl2br w:val="nil"/>
                    <w:tr2bl w:val="nil"/>
                  </w:tcBorders>
                  <w:noWrap/>
                  <w:vAlign w:val="center"/>
                </w:tcPr>
                <w:p w14:paraId="6A6390CA">
                  <w:pPr>
                    <w:widowControl/>
                    <w:jc w:val="center"/>
                    <w:rPr>
                      <w:kern w:val="0"/>
                    </w:rPr>
                  </w:pPr>
                  <w:r>
                    <w:rPr>
                      <w:rFonts w:hint="eastAsia"/>
                      <w:kern w:val="0"/>
                    </w:rPr>
                    <w:t>4245196.097</w:t>
                  </w:r>
                </w:p>
              </w:tc>
              <w:tc>
                <w:tcPr>
                  <w:tcW w:w="1693" w:type="dxa"/>
                  <w:tcBorders>
                    <w:tl2br w:val="nil"/>
                    <w:tr2bl w:val="nil"/>
                  </w:tcBorders>
                  <w:noWrap/>
                  <w:vAlign w:val="center"/>
                </w:tcPr>
                <w:p w14:paraId="2D114965">
                  <w:pPr>
                    <w:widowControl/>
                    <w:jc w:val="center"/>
                    <w:rPr>
                      <w:kern w:val="0"/>
                    </w:rPr>
                  </w:pPr>
                  <w:r>
                    <w:rPr>
                      <w:rFonts w:hint="eastAsia"/>
                      <w:kern w:val="0"/>
                    </w:rPr>
                    <w:t>38429921.767</w:t>
                  </w:r>
                </w:p>
              </w:tc>
            </w:tr>
            <w:tr w14:paraId="1D5CC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25" w:type="pct"/>
                  <w:tcBorders>
                    <w:tl2br w:val="nil"/>
                    <w:tr2bl w:val="nil"/>
                  </w:tcBorders>
                  <w:noWrap/>
                  <w:vAlign w:val="center"/>
                </w:tcPr>
                <w:p w14:paraId="754C2AF0">
                  <w:pPr>
                    <w:widowControl/>
                    <w:jc w:val="center"/>
                    <w:rPr>
                      <w:sz w:val="22"/>
                      <w:szCs w:val="22"/>
                    </w:rPr>
                  </w:pPr>
                  <w:r>
                    <w:rPr>
                      <w:rFonts w:hint="eastAsia"/>
                      <w:kern w:val="0"/>
                    </w:rPr>
                    <w:t>4</w:t>
                  </w:r>
                </w:p>
              </w:tc>
              <w:tc>
                <w:tcPr>
                  <w:tcW w:w="1665" w:type="dxa"/>
                  <w:tcBorders>
                    <w:tl2br w:val="nil"/>
                    <w:tr2bl w:val="nil"/>
                  </w:tcBorders>
                  <w:noWrap/>
                  <w:vAlign w:val="center"/>
                </w:tcPr>
                <w:p w14:paraId="1B2BE0E9">
                  <w:pPr>
                    <w:widowControl/>
                    <w:jc w:val="center"/>
                    <w:rPr>
                      <w:kern w:val="0"/>
                    </w:rPr>
                  </w:pPr>
                  <w:r>
                    <w:rPr>
                      <w:rFonts w:hint="eastAsia"/>
                      <w:kern w:val="0"/>
                    </w:rPr>
                    <w:t xml:space="preserve">4245096.567 </w:t>
                  </w:r>
                </w:p>
              </w:tc>
              <w:tc>
                <w:tcPr>
                  <w:tcW w:w="1667" w:type="dxa"/>
                  <w:tcBorders>
                    <w:tl2br w:val="nil"/>
                    <w:tr2bl w:val="nil"/>
                  </w:tcBorders>
                  <w:noWrap/>
                  <w:vAlign w:val="center"/>
                </w:tcPr>
                <w:p w14:paraId="0955DE5D">
                  <w:pPr>
                    <w:widowControl/>
                    <w:jc w:val="center"/>
                    <w:rPr>
                      <w:kern w:val="0"/>
                    </w:rPr>
                  </w:pPr>
                  <w:r>
                    <w:rPr>
                      <w:rFonts w:hint="eastAsia"/>
                      <w:kern w:val="0"/>
                    </w:rPr>
                    <w:t>38430091.558</w:t>
                  </w:r>
                </w:p>
              </w:tc>
              <w:tc>
                <w:tcPr>
                  <w:tcW w:w="912" w:type="dxa"/>
                  <w:tcBorders>
                    <w:tl2br w:val="nil"/>
                    <w:tr2bl w:val="nil"/>
                  </w:tcBorders>
                  <w:noWrap/>
                  <w:vAlign w:val="center"/>
                </w:tcPr>
                <w:p w14:paraId="133BB7C9">
                  <w:pPr>
                    <w:widowControl/>
                    <w:jc w:val="center"/>
                    <w:rPr>
                      <w:kern w:val="0"/>
                    </w:rPr>
                  </w:pPr>
                  <w:r>
                    <w:rPr>
                      <w:rFonts w:hint="eastAsia"/>
                      <w:kern w:val="0"/>
                    </w:rPr>
                    <w:t>8</w:t>
                  </w:r>
                </w:p>
              </w:tc>
              <w:tc>
                <w:tcPr>
                  <w:tcW w:w="1674" w:type="dxa"/>
                  <w:tcBorders>
                    <w:tl2br w:val="nil"/>
                    <w:tr2bl w:val="nil"/>
                  </w:tcBorders>
                  <w:noWrap/>
                  <w:vAlign w:val="center"/>
                </w:tcPr>
                <w:p w14:paraId="7EEED6D9">
                  <w:pPr>
                    <w:widowControl/>
                    <w:jc w:val="center"/>
                    <w:rPr>
                      <w:kern w:val="0"/>
                    </w:rPr>
                  </w:pPr>
                  <w:r>
                    <w:rPr>
                      <w:rFonts w:hint="eastAsia"/>
                      <w:kern w:val="0"/>
                    </w:rPr>
                    <w:t>4245246.717</w:t>
                  </w:r>
                </w:p>
              </w:tc>
              <w:tc>
                <w:tcPr>
                  <w:tcW w:w="1693" w:type="dxa"/>
                  <w:tcBorders>
                    <w:tl2br w:val="nil"/>
                    <w:tr2bl w:val="nil"/>
                  </w:tcBorders>
                  <w:noWrap/>
                  <w:vAlign w:val="center"/>
                </w:tcPr>
                <w:p w14:paraId="1B3D0A1B">
                  <w:pPr>
                    <w:widowControl/>
                    <w:jc w:val="center"/>
                    <w:rPr>
                      <w:kern w:val="0"/>
                    </w:rPr>
                  </w:pPr>
                  <w:r>
                    <w:rPr>
                      <w:rFonts w:hint="eastAsia"/>
                      <w:kern w:val="0"/>
                    </w:rPr>
                    <w:t>38429841.407</w:t>
                  </w:r>
                </w:p>
              </w:tc>
            </w:tr>
          </w:tbl>
          <w:p w14:paraId="510FE906">
            <w:pPr>
              <w:pStyle w:val="15"/>
              <w:tabs>
                <w:tab w:val="left" w:pos="2340"/>
                <w:tab w:val="left" w:pos="4320"/>
              </w:tabs>
              <w:spacing w:line="480" w:lineRule="exact"/>
              <w:rPr>
                <w:rFonts w:ascii="宋体" w:hAnsi="宋体" w:eastAsia="宋体" w:cs="宋体"/>
                <w:sz w:val="21"/>
                <w:szCs w:val="21"/>
              </w:rPr>
            </w:pPr>
            <w:r>
              <w:rPr>
                <w:rFonts w:hint="eastAsia" w:ascii="宋体" w:hAnsi="宋体" w:eastAsia="宋体" w:cs="宋体"/>
                <w:sz w:val="21"/>
                <w:szCs w:val="21"/>
              </w:rPr>
              <w:t>表</w:t>
            </w:r>
            <w:r>
              <w:rPr>
                <w:rFonts w:eastAsia="宋体"/>
                <w:sz w:val="21"/>
                <w:szCs w:val="21"/>
              </w:rPr>
              <w:t>2-</w:t>
            </w:r>
            <w:r>
              <w:rPr>
                <w:rFonts w:hint="eastAsia" w:eastAsia="宋体"/>
                <w:sz w:val="21"/>
                <w:szCs w:val="21"/>
              </w:rPr>
              <w:t>4</w:t>
            </w:r>
            <w:r>
              <w:rPr>
                <w:rFonts w:hint="eastAsia" w:ascii="宋体" w:hAnsi="宋体" w:eastAsia="宋体" w:cs="宋体"/>
                <w:sz w:val="21"/>
                <w:szCs w:val="21"/>
              </w:rPr>
              <w:t xml:space="preserve"> 原盂县西潘乡鑫盛石矿矿区边界范围一览表</w:t>
            </w:r>
          </w:p>
          <w:tbl>
            <w:tblPr>
              <w:tblStyle w:val="2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2"/>
              <w:gridCol w:w="1666"/>
              <w:gridCol w:w="1667"/>
              <w:gridCol w:w="912"/>
              <w:gridCol w:w="1674"/>
              <w:gridCol w:w="1693"/>
            </w:tblGrid>
            <w:tr w14:paraId="1AF41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25" w:type="pct"/>
                  <w:vMerge w:val="restart"/>
                  <w:tcBorders>
                    <w:tl2br w:val="nil"/>
                    <w:tr2bl w:val="nil"/>
                  </w:tcBorders>
                  <w:noWrap/>
                  <w:vAlign w:val="center"/>
                </w:tcPr>
                <w:p w14:paraId="18E743F8">
                  <w:pPr>
                    <w:widowControl/>
                    <w:jc w:val="center"/>
                    <w:textAlignment w:val="center"/>
                    <w:rPr>
                      <w:kern w:val="0"/>
                      <w:szCs w:val="21"/>
                      <w:lang w:bidi="ar"/>
                    </w:rPr>
                  </w:pPr>
                  <w:r>
                    <w:rPr>
                      <w:rFonts w:hint="eastAsia"/>
                      <w:kern w:val="0"/>
                      <w:szCs w:val="21"/>
                      <w:lang w:bidi="ar"/>
                    </w:rPr>
                    <w:t>序号</w:t>
                  </w:r>
                </w:p>
              </w:tc>
              <w:tc>
                <w:tcPr>
                  <w:tcW w:w="1959" w:type="pct"/>
                  <w:gridSpan w:val="2"/>
                  <w:tcBorders>
                    <w:tl2br w:val="nil"/>
                    <w:tr2bl w:val="nil"/>
                  </w:tcBorders>
                  <w:noWrap/>
                  <w:vAlign w:val="center"/>
                </w:tcPr>
                <w:p w14:paraId="3B8E999C">
                  <w:pPr>
                    <w:widowControl/>
                    <w:jc w:val="center"/>
                    <w:textAlignment w:val="center"/>
                    <w:rPr>
                      <w:kern w:val="0"/>
                      <w:szCs w:val="21"/>
                      <w:lang w:bidi="ar"/>
                    </w:rPr>
                  </w:pPr>
                  <w:r>
                    <w:rPr>
                      <w:kern w:val="0"/>
                      <w:szCs w:val="21"/>
                    </w:rPr>
                    <w:t>CGCS2000坐标系（3°带）</w:t>
                  </w:r>
                </w:p>
              </w:tc>
              <w:tc>
                <w:tcPr>
                  <w:tcW w:w="536" w:type="pct"/>
                  <w:vMerge w:val="restart"/>
                  <w:tcBorders>
                    <w:tl2br w:val="nil"/>
                    <w:tr2bl w:val="nil"/>
                  </w:tcBorders>
                  <w:noWrap/>
                  <w:vAlign w:val="center"/>
                </w:tcPr>
                <w:p w14:paraId="0FF038E2">
                  <w:pPr>
                    <w:widowControl/>
                    <w:jc w:val="center"/>
                    <w:textAlignment w:val="center"/>
                    <w:rPr>
                      <w:kern w:val="0"/>
                      <w:szCs w:val="21"/>
                      <w:lang w:bidi="ar"/>
                    </w:rPr>
                  </w:pPr>
                  <w:r>
                    <w:rPr>
                      <w:rFonts w:hint="eastAsia"/>
                      <w:kern w:val="0"/>
                      <w:szCs w:val="21"/>
                      <w:lang w:bidi="ar"/>
                    </w:rPr>
                    <w:t>序号</w:t>
                  </w:r>
                </w:p>
              </w:tc>
              <w:tc>
                <w:tcPr>
                  <w:tcW w:w="1979" w:type="pct"/>
                  <w:gridSpan w:val="2"/>
                  <w:tcBorders>
                    <w:tl2br w:val="nil"/>
                    <w:tr2bl w:val="nil"/>
                  </w:tcBorders>
                  <w:noWrap/>
                  <w:vAlign w:val="center"/>
                </w:tcPr>
                <w:p w14:paraId="2A2661B9">
                  <w:pPr>
                    <w:widowControl/>
                    <w:jc w:val="center"/>
                    <w:textAlignment w:val="center"/>
                    <w:rPr>
                      <w:kern w:val="0"/>
                      <w:szCs w:val="21"/>
                      <w:lang w:bidi="ar"/>
                    </w:rPr>
                  </w:pPr>
                  <w:r>
                    <w:rPr>
                      <w:kern w:val="0"/>
                      <w:szCs w:val="21"/>
                    </w:rPr>
                    <w:t>CGCS2000坐标系（3°带）</w:t>
                  </w:r>
                </w:p>
              </w:tc>
            </w:tr>
            <w:tr w14:paraId="10FDA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25" w:type="pct"/>
                  <w:vMerge w:val="continue"/>
                  <w:tcBorders>
                    <w:tl2br w:val="nil"/>
                    <w:tr2bl w:val="nil"/>
                  </w:tcBorders>
                  <w:noWrap/>
                  <w:vAlign w:val="center"/>
                </w:tcPr>
                <w:p w14:paraId="2C758627">
                  <w:pPr>
                    <w:widowControl/>
                    <w:jc w:val="center"/>
                    <w:textAlignment w:val="center"/>
                    <w:rPr>
                      <w:kern w:val="0"/>
                      <w:szCs w:val="21"/>
                      <w:lang w:bidi="ar"/>
                    </w:rPr>
                  </w:pPr>
                </w:p>
              </w:tc>
              <w:tc>
                <w:tcPr>
                  <w:tcW w:w="979" w:type="pct"/>
                  <w:tcBorders>
                    <w:tl2br w:val="nil"/>
                    <w:tr2bl w:val="nil"/>
                  </w:tcBorders>
                  <w:noWrap/>
                  <w:vAlign w:val="center"/>
                </w:tcPr>
                <w:p w14:paraId="219EE969">
                  <w:pPr>
                    <w:widowControl/>
                    <w:jc w:val="center"/>
                    <w:textAlignment w:val="center"/>
                    <w:rPr>
                      <w:kern w:val="0"/>
                      <w:szCs w:val="21"/>
                      <w:lang w:bidi="ar"/>
                    </w:rPr>
                  </w:pPr>
                  <w:r>
                    <w:rPr>
                      <w:rFonts w:hint="eastAsia"/>
                      <w:kern w:val="0"/>
                      <w:szCs w:val="21"/>
                      <w:lang w:bidi="ar"/>
                    </w:rPr>
                    <w:t>X</w:t>
                  </w:r>
                </w:p>
              </w:tc>
              <w:tc>
                <w:tcPr>
                  <w:tcW w:w="980" w:type="pct"/>
                  <w:tcBorders>
                    <w:tl2br w:val="nil"/>
                    <w:tr2bl w:val="nil"/>
                  </w:tcBorders>
                  <w:noWrap/>
                  <w:vAlign w:val="center"/>
                </w:tcPr>
                <w:p w14:paraId="339BDD66">
                  <w:pPr>
                    <w:widowControl/>
                    <w:jc w:val="center"/>
                    <w:textAlignment w:val="center"/>
                    <w:rPr>
                      <w:kern w:val="0"/>
                      <w:szCs w:val="21"/>
                      <w:lang w:bidi="ar"/>
                    </w:rPr>
                  </w:pPr>
                  <w:r>
                    <w:rPr>
                      <w:rFonts w:hint="eastAsia"/>
                      <w:kern w:val="0"/>
                      <w:szCs w:val="21"/>
                      <w:lang w:bidi="ar"/>
                    </w:rPr>
                    <w:t>Y</w:t>
                  </w:r>
                </w:p>
              </w:tc>
              <w:tc>
                <w:tcPr>
                  <w:tcW w:w="536" w:type="pct"/>
                  <w:vMerge w:val="continue"/>
                  <w:tcBorders>
                    <w:tl2br w:val="nil"/>
                    <w:tr2bl w:val="nil"/>
                  </w:tcBorders>
                  <w:noWrap/>
                  <w:vAlign w:val="center"/>
                </w:tcPr>
                <w:p w14:paraId="65438D87">
                  <w:pPr>
                    <w:widowControl/>
                    <w:jc w:val="center"/>
                    <w:textAlignment w:val="center"/>
                    <w:rPr>
                      <w:kern w:val="0"/>
                      <w:szCs w:val="21"/>
                      <w:lang w:bidi="ar"/>
                    </w:rPr>
                  </w:pPr>
                </w:p>
              </w:tc>
              <w:tc>
                <w:tcPr>
                  <w:tcW w:w="984" w:type="pct"/>
                  <w:tcBorders>
                    <w:tl2br w:val="nil"/>
                    <w:tr2bl w:val="nil"/>
                  </w:tcBorders>
                  <w:noWrap/>
                  <w:vAlign w:val="center"/>
                </w:tcPr>
                <w:p w14:paraId="6087E16C">
                  <w:pPr>
                    <w:widowControl/>
                    <w:jc w:val="center"/>
                    <w:textAlignment w:val="center"/>
                    <w:rPr>
                      <w:kern w:val="0"/>
                      <w:szCs w:val="21"/>
                      <w:lang w:bidi="ar"/>
                    </w:rPr>
                  </w:pPr>
                  <w:r>
                    <w:rPr>
                      <w:rFonts w:hint="eastAsia"/>
                      <w:kern w:val="0"/>
                      <w:szCs w:val="21"/>
                      <w:lang w:bidi="ar"/>
                    </w:rPr>
                    <w:t>X</w:t>
                  </w:r>
                </w:p>
              </w:tc>
              <w:tc>
                <w:tcPr>
                  <w:tcW w:w="994" w:type="pct"/>
                  <w:tcBorders>
                    <w:tl2br w:val="nil"/>
                    <w:tr2bl w:val="nil"/>
                  </w:tcBorders>
                  <w:noWrap/>
                  <w:vAlign w:val="center"/>
                </w:tcPr>
                <w:p w14:paraId="78F36364">
                  <w:pPr>
                    <w:widowControl/>
                    <w:jc w:val="center"/>
                    <w:textAlignment w:val="center"/>
                    <w:rPr>
                      <w:kern w:val="0"/>
                      <w:szCs w:val="21"/>
                      <w:lang w:bidi="ar"/>
                    </w:rPr>
                  </w:pPr>
                  <w:r>
                    <w:rPr>
                      <w:rFonts w:hint="eastAsia"/>
                      <w:kern w:val="0"/>
                      <w:szCs w:val="21"/>
                      <w:lang w:bidi="ar"/>
                    </w:rPr>
                    <w:t>Y</w:t>
                  </w:r>
                </w:p>
              </w:tc>
            </w:tr>
            <w:tr w14:paraId="506E6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25" w:type="pct"/>
                  <w:tcBorders>
                    <w:tl2br w:val="nil"/>
                    <w:tr2bl w:val="nil"/>
                  </w:tcBorders>
                  <w:noWrap/>
                  <w:vAlign w:val="center"/>
                </w:tcPr>
                <w:p w14:paraId="5F5D37E8">
                  <w:pPr>
                    <w:widowControl/>
                    <w:jc w:val="center"/>
                    <w:rPr>
                      <w:kern w:val="0"/>
                      <w:szCs w:val="21"/>
                    </w:rPr>
                  </w:pPr>
                  <w:r>
                    <w:rPr>
                      <w:rFonts w:hint="eastAsia"/>
                      <w:kern w:val="0"/>
                      <w:szCs w:val="21"/>
                    </w:rPr>
                    <w:t>1</w:t>
                  </w:r>
                </w:p>
              </w:tc>
              <w:tc>
                <w:tcPr>
                  <w:tcW w:w="1666" w:type="dxa"/>
                  <w:tcBorders>
                    <w:tl2br w:val="nil"/>
                    <w:tr2bl w:val="nil"/>
                  </w:tcBorders>
                  <w:noWrap/>
                  <w:vAlign w:val="center"/>
                </w:tcPr>
                <w:p w14:paraId="0F5AC40F">
                  <w:pPr>
                    <w:widowControl/>
                    <w:jc w:val="center"/>
                    <w:rPr>
                      <w:kern w:val="0"/>
                    </w:rPr>
                  </w:pPr>
                  <w:r>
                    <w:rPr>
                      <w:rFonts w:hint="eastAsia"/>
                      <w:kern w:val="0"/>
                    </w:rPr>
                    <w:t>4245656.298</w:t>
                  </w:r>
                </w:p>
              </w:tc>
              <w:tc>
                <w:tcPr>
                  <w:tcW w:w="1667" w:type="dxa"/>
                  <w:tcBorders>
                    <w:tl2br w:val="nil"/>
                    <w:tr2bl w:val="nil"/>
                  </w:tcBorders>
                  <w:noWrap/>
                  <w:vAlign w:val="center"/>
                </w:tcPr>
                <w:p w14:paraId="08945B9B">
                  <w:pPr>
                    <w:widowControl/>
                    <w:jc w:val="center"/>
                    <w:rPr>
                      <w:kern w:val="0"/>
                    </w:rPr>
                  </w:pPr>
                  <w:r>
                    <w:rPr>
                      <w:rFonts w:hint="eastAsia"/>
                      <w:kern w:val="0"/>
                    </w:rPr>
                    <w:t>38429640.690</w:t>
                  </w:r>
                </w:p>
              </w:tc>
              <w:tc>
                <w:tcPr>
                  <w:tcW w:w="536" w:type="pct"/>
                  <w:tcBorders>
                    <w:tl2br w:val="nil"/>
                    <w:tr2bl w:val="nil"/>
                  </w:tcBorders>
                  <w:noWrap/>
                  <w:vAlign w:val="center"/>
                </w:tcPr>
                <w:p w14:paraId="1C98AC44">
                  <w:pPr>
                    <w:widowControl/>
                    <w:jc w:val="center"/>
                    <w:rPr>
                      <w:kern w:val="0"/>
                      <w:szCs w:val="21"/>
                    </w:rPr>
                  </w:pPr>
                  <w:r>
                    <w:rPr>
                      <w:rFonts w:hint="eastAsia"/>
                      <w:kern w:val="0"/>
                      <w:szCs w:val="21"/>
                    </w:rPr>
                    <w:t>7</w:t>
                  </w:r>
                </w:p>
              </w:tc>
              <w:tc>
                <w:tcPr>
                  <w:tcW w:w="1674" w:type="dxa"/>
                  <w:tcBorders>
                    <w:tl2br w:val="nil"/>
                    <w:tr2bl w:val="nil"/>
                  </w:tcBorders>
                  <w:noWrap/>
                  <w:vAlign w:val="center"/>
                </w:tcPr>
                <w:p w14:paraId="731E2250">
                  <w:pPr>
                    <w:widowControl/>
                    <w:jc w:val="center"/>
                    <w:rPr>
                      <w:kern w:val="0"/>
                    </w:rPr>
                  </w:pPr>
                  <w:r>
                    <w:rPr>
                      <w:rFonts w:hint="eastAsia"/>
                      <w:kern w:val="0"/>
                    </w:rPr>
                    <w:t>4245437.828</w:t>
                  </w:r>
                </w:p>
              </w:tc>
              <w:tc>
                <w:tcPr>
                  <w:tcW w:w="1692" w:type="dxa"/>
                  <w:tcBorders>
                    <w:tl2br w:val="nil"/>
                    <w:tr2bl w:val="nil"/>
                  </w:tcBorders>
                  <w:noWrap/>
                  <w:vAlign w:val="center"/>
                </w:tcPr>
                <w:p w14:paraId="27C0A0AB">
                  <w:pPr>
                    <w:widowControl/>
                    <w:jc w:val="center"/>
                    <w:rPr>
                      <w:kern w:val="0"/>
                    </w:rPr>
                  </w:pPr>
                  <w:r>
                    <w:rPr>
                      <w:rFonts w:hint="eastAsia"/>
                      <w:kern w:val="0"/>
                    </w:rPr>
                    <w:t>38429900.630</w:t>
                  </w:r>
                </w:p>
              </w:tc>
            </w:tr>
            <w:tr w14:paraId="5FB5D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25" w:type="pct"/>
                  <w:tcBorders>
                    <w:tl2br w:val="nil"/>
                    <w:tr2bl w:val="nil"/>
                  </w:tcBorders>
                  <w:noWrap/>
                  <w:vAlign w:val="center"/>
                </w:tcPr>
                <w:p w14:paraId="2B76A813">
                  <w:pPr>
                    <w:widowControl/>
                    <w:jc w:val="center"/>
                    <w:rPr>
                      <w:kern w:val="0"/>
                      <w:szCs w:val="21"/>
                    </w:rPr>
                  </w:pPr>
                  <w:r>
                    <w:rPr>
                      <w:rFonts w:hint="eastAsia"/>
                      <w:kern w:val="0"/>
                      <w:szCs w:val="21"/>
                    </w:rPr>
                    <w:t>2</w:t>
                  </w:r>
                </w:p>
              </w:tc>
              <w:tc>
                <w:tcPr>
                  <w:tcW w:w="1666" w:type="dxa"/>
                  <w:tcBorders>
                    <w:tl2br w:val="nil"/>
                    <w:tr2bl w:val="nil"/>
                  </w:tcBorders>
                  <w:noWrap/>
                  <w:vAlign w:val="center"/>
                </w:tcPr>
                <w:p w14:paraId="19F70E31">
                  <w:pPr>
                    <w:widowControl/>
                    <w:jc w:val="center"/>
                    <w:rPr>
                      <w:kern w:val="0"/>
                    </w:rPr>
                  </w:pPr>
                  <w:r>
                    <w:rPr>
                      <w:rFonts w:hint="eastAsia"/>
                      <w:kern w:val="0"/>
                    </w:rPr>
                    <w:t>4245570.688</w:t>
                  </w:r>
                </w:p>
              </w:tc>
              <w:tc>
                <w:tcPr>
                  <w:tcW w:w="1667" w:type="dxa"/>
                  <w:tcBorders>
                    <w:tl2br w:val="nil"/>
                    <w:tr2bl w:val="nil"/>
                  </w:tcBorders>
                  <w:noWrap/>
                  <w:vAlign w:val="center"/>
                </w:tcPr>
                <w:p w14:paraId="1CA8747F">
                  <w:pPr>
                    <w:widowControl/>
                    <w:jc w:val="center"/>
                    <w:rPr>
                      <w:kern w:val="0"/>
                    </w:rPr>
                  </w:pPr>
                  <w:r>
                    <w:rPr>
                      <w:rFonts w:hint="eastAsia"/>
                      <w:kern w:val="0"/>
                    </w:rPr>
                    <w:t>38429689.910</w:t>
                  </w:r>
                </w:p>
              </w:tc>
              <w:tc>
                <w:tcPr>
                  <w:tcW w:w="536" w:type="pct"/>
                  <w:tcBorders>
                    <w:tl2br w:val="nil"/>
                    <w:tr2bl w:val="nil"/>
                  </w:tcBorders>
                  <w:noWrap/>
                  <w:vAlign w:val="center"/>
                </w:tcPr>
                <w:p w14:paraId="45E317AC">
                  <w:pPr>
                    <w:widowControl/>
                    <w:jc w:val="center"/>
                    <w:rPr>
                      <w:kern w:val="0"/>
                      <w:szCs w:val="21"/>
                    </w:rPr>
                  </w:pPr>
                  <w:r>
                    <w:rPr>
                      <w:rFonts w:hint="eastAsia"/>
                      <w:kern w:val="0"/>
                      <w:szCs w:val="21"/>
                    </w:rPr>
                    <w:t>8</w:t>
                  </w:r>
                </w:p>
              </w:tc>
              <w:tc>
                <w:tcPr>
                  <w:tcW w:w="1674" w:type="dxa"/>
                  <w:tcBorders>
                    <w:tl2br w:val="nil"/>
                    <w:tr2bl w:val="nil"/>
                  </w:tcBorders>
                  <w:noWrap/>
                  <w:vAlign w:val="center"/>
                </w:tcPr>
                <w:p w14:paraId="2E4D932A">
                  <w:pPr>
                    <w:widowControl/>
                    <w:jc w:val="center"/>
                    <w:rPr>
                      <w:kern w:val="0"/>
                    </w:rPr>
                  </w:pPr>
                  <w:r>
                    <w:rPr>
                      <w:rFonts w:hint="eastAsia"/>
                      <w:kern w:val="0"/>
                    </w:rPr>
                    <w:t>4245418.668</w:t>
                  </w:r>
                </w:p>
              </w:tc>
              <w:tc>
                <w:tcPr>
                  <w:tcW w:w="1692" w:type="dxa"/>
                  <w:tcBorders>
                    <w:tl2br w:val="nil"/>
                    <w:tr2bl w:val="nil"/>
                  </w:tcBorders>
                  <w:noWrap/>
                  <w:vAlign w:val="center"/>
                </w:tcPr>
                <w:p w14:paraId="07E6ADA6">
                  <w:pPr>
                    <w:widowControl/>
                    <w:jc w:val="center"/>
                    <w:rPr>
                      <w:kern w:val="0"/>
                    </w:rPr>
                  </w:pPr>
                  <w:r>
                    <w:rPr>
                      <w:rFonts w:hint="eastAsia"/>
                      <w:kern w:val="0"/>
                    </w:rPr>
                    <w:t>38429936.010</w:t>
                  </w:r>
                </w:p>
              </w:tc>
            </w:tr>
            <w:tr w14:paraId="73D92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25" w:type="pct"/>
                  <w:tcBorders>
                    <w:tl2br w:val="nil"/>
                    <w:tr2bl w:val="nil"/>
                  </w:tcBorders>
                  <w:noWrap/>
                  <w:vAlign w:val="center"/>
                </w:tcPr>
                <w:p w14:paraId="74E0EE9C">
                  <w:pPr>
                    <w:widowControl/>
                    <w:jc w:val="center"/>
                    <w:rPr>
                      <w:kern w:val="0"/>
                      <w:szCs w:val="21"/>
                    </w:rPr>
                  </w:pPr>
                  <w:r>
                    <w:rPr>
                      <w:rFonts w:hint="eastAsia"/>
                      <w:kern w:val="0"/>
                      <w:szCs w:val="21"/>
                    </w:rPr>
                    <w:t>3</w:t>
                  </w:r>
                </w:p>
              </w:tc>
              <w:tc>
                <w:tcPr>
                  <w:tcW w:w="1666" w:type="dxa"/>
                  <w:tcBorders>
                    <w:tl2br w:val="nil"/>
                    <w:tr2bl w:val="nil"/>
                  </w:tcBorders>
                  <w:noWrap/>
                  <w:vAlign w:val="center"/>
                </w:tcPr>
                <w:p w14:paraId="02A21237">
                  <w:pPr>
                    <w:widowControl/>
                    <w:jc w:val="center"/>
                    <w:rPr>
                      <w:kern w:val="0"/>
                    </w:rPr>
                  </w:pPr>
                  <w:r>
                    <w:rPr>
                      <w:rFonts w:hint="eastAsia"/>
                      <w:kern w:val="0"/>
                    </w:rPr>
                    <w:t>4245517.918</w:t>
                  </w:r>
                </w:p>
              </w:tc>
              <w:tc>
                <w:tcPr>
                  <w:tcW w:w="1667" w:type="dxa"/>
                  <w:tcBorders>
                    <w:tl2br w:val="nil"/>
                    <w:tr2bl w:val="nil"/>
                  </w:tcBorders>
                  <w:noWrap/>
                  <w:vAlign w:val="center"/>
                </w:tcPr>
                <w:p w14:paraId="295D10AB">
                  <w:pPr>
                    <w:widowControl/>
                    <w:jc w:val="center"/>
                    <w:rPr>
                      <w:kern w:val="0"/>
                    </w:rPr>
                  </w:pPr>
                  <w:r>
                    <w:rPr>
                      <w:rFonts w:hint="eastAsia"/>
                      <w:kern w:val="0"/>
                    </w:rPr>
                    <w:t>38429744.210</w:t>
                  </w:r>
                </w:p>
              </w:tc>
              <w:tc>
                <w:tcPr>
                  <w:tcW w:w="536" w:type="pct"/>
                  <w:tcBorders>
                    <w:tl2br w:val="nil"/>
                    <w:tr2bl w:val="nil"/>
                  </w:tcBorders>
                  <w:noWrap/>
                  <w:vAlign w:val="center"/>
                </w:tcPr>
                <w:p w14:paraId="008FD58A">
                  <w:pPr>
                    <w:widowControl/>
                    <w:jc w:val="center"/>
                    <w:rPr>
                      <w:kern w:val="0"/>
                      <w:szCs w:val="21"/>
                    </w:rPr>
                  </w:pPr>
                  <w:r>
                    <w:rPr>
                      <w:rFonts w:hint="eastAsia"/>
                      <w:kern w:val="0"/>
                      <w:szCs w:val="21"/>
                    </w:rPr>
                    <w:t>9</w:t>
                  </w:r>
                </w:p>
              </w:tc>
              <w:tc>
                <w:tcPr>
                  <w:tcW w:w="1674" w:type="dxa"/>
                  <w:tcBorders>
                    <w:tl2br w:val="nil"/>
                    <w:tr2bl w:val="nil"/>
                  </w:tcBorders>
                  <w:noWrap/>
                  <w:vAlign w:val="center"/>
                </w:tcPr>
                <w:p w14:paraId="0555DC42">
                  <w:pPr>
                    <w:widowControl/>
                    <w:jc w:val="center"/>
                    <w:rPr>
                      <w:kern w:val="0"/>
                    </w:rPr>
                  </w:pPr>
                  <w:r>
                    <w:rPr>
                      <w:rFonts w:hint="eastAsia"/>
                      <w:kern w:val="0"/>
                    </w:rPr>
                    <w:t>4245415.858</w:t>
                  </w:r>
                </w:p>
              </w:tc>
              <w:tc>
                <w:tcPr>
                  <w:tcW w:w="1692" w:type="dxa"/>
                  <w:tcBorders>
                    <w:tl2br w:val="nil"/>
                    <w:tr2bl w:val="nil"/>
                  </w:tcBorders>
                  <w:noWrap/>
                  <w:vAlign w:val="center"/>
                </w:tcPr>
                <w:p w14:paraId="3D1BF5FF">
                  <w:pPr>
                    <w:widowControl/>
                    <w:jc w:val="center"/>
                    <w:rPr>
                      <w:kern w:val="0"/>
                    </w:rPr>
                  </w:pPr>
                  <w:r>
                    <w:rPr>
                      <w:rFonts w:hint="eastAsia"/>
                      <w:kern w:val="0"/>
                    </w:rPr>
                    <w:t>38429960.920</w:t>
                  </w:r>
                </w:p>
              </w:tc>
            </w:tr>
            <w:tr w14:paraId="1555C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25" w:type="pct"/>
                  <w:tcBorders>
                    <w:tl2br w:val="nil"/>
                    <w:tr2bl w:val="nil"/>
                  </w:tcBorders>
                  <w:noWrap/>
                  <w:vAlign w:val="center"/>
                </w:tcPr>
                <w:p w14:paraId="0115866A">
                  <w:pPr>
                    <w:widowControl/>
                    <w:jc w:val="center"/>
                    <w:rPr>
                      <w:kern w:val="0"/>
                      <w:szCs w:val="21"/>
                    </w:rPr>
                  </w:pPr>
                  <w:r>
                    <w:rPr>
                      <w:rFonts w:hint="eastAsia"/>
                      <w:kern w:val="0"/>
                      <w:szCs w:val="21"/>
                    </w:rPr>
                    <w:t>4</w:t>
                  </w:r>
                </w:p>
              </w:tc>
              <w:tc>
                <w:tcPr>
                  <w:tcW w:w="1666" w:type="dxa"/>
                  <w:tcBorders>
                    <w:tl2br w:val="nil"/>
                    <w:tr2bl w:val="nil"/>
                  </w:tcBorders>
                  <w:noWrap/>
                  <w:vAlign w:val="center"/>
                </w:tcPr>
                <w:p w14:paraId="59C59F93">
                  <w:pPr>
                    <w:widowControl/>
                    <w:jc w:val="center"/>
                    <w:rPr>
                      <w:kern w:val="0"/>
                    </w:rPr>
                  </w:pPr>
                  <w:r>
                    <w:rPr>
                      <w:rFonts w:hint="eastAsia"/>
                      <w:kern w:val="0"/>
                    </w:rPr>
                    <w:t>4245498.598</w:t>
                  </w:r>
                </w:p>
              </w:tc>
              <w:tc>
                <w:tcPr>
                  <w:tcW w:w="1667" w:type="dxa"/>
                  <w:tcBorders>
                    <w:tl2br w:val="nil"/>
                    <w:tr2bl w:val="nil"/>
                  </w:tcBorders>
                  <w:noWrap/>
                  <w:vAlign w:val="center"/>
                </w:tcPr>
                <w:p w14:paraId="722CDD78">
                  <w:pPr>
                    <w:widowControl/>
                    <w:jc w:val="center"/>
                    <w:rPr>
                      <w:kern w:val="0"/>
                    </w:rPr>
                  </w:pPr>
                  <w:r>
                    <w:rPr>
                      <w:rFonts w:hint="eastAsia"/>
                      <w:kern w:val="0"/>
                    </w:rPr>
                    <w:t>38429784.580</w:t>
                  </w:r>
                </w:p>
              </w:tc>
              <w:tc>
                <w:tcPr>
                  <w:tcW w:w="536" w:type="pct"/>
                  <w:tcBorders>
                    <w:tl2br w:val="nil"/>
                    <w:tr2bl w:val="nil"/>
                  </w:tcBorders>
                  <w:noWrap/>
                  <w:vAlign w:val="center"/>
                </w:tcPr>
                <w:p w14:paraId="6BCC07B1">
                  <w:pPr>
                    <w:widowControl/>
                    <w:jc w:val="center"/>
                    <w:rPr>
                      <w:kern w:val="0"/>
                      <w:szCs w:val="21"/>
                    </w:rPr>
                  </w:pPr>
                  <w:r>
                    <w:rPr>
                      <w:rFonts w:hint="eastAsia"/>
                      <w:kern w:val="0"/>
                      <w:szCs w:val="21"/>
                    </w:rPr>
                    <w:t>10</w:t>
                  </w:r>
                </w:p>
              </w:tc>
              <w:tc>
                <w:tcPr>
                  <w:tcW w:w="1674" w:type="dxa"/>
                  <w:tcBorders>
                    <w:tl2br w:val="nil"/>
                    <w:tr2bl w:val="nil"/>
                  </w:tcBorders>
                  <w:noWrap/>
                  <w:vAlign w:val="center"/>
                </w:tcPr>
                <w:p w14:paraId="1CABFA0E">
                  <w:pPr>
                    <w:widowControl/>
                    <w:jc w:val="center"/>
                    <w:rPr>
                      <w:kern w:val="0"/>
                    </w:rPr>
                  </w:pPr>
                  <w:r>
                    <w:rPr>
                      <w:rFonts w:hint="eastAsia"/>
                      <w:kern w:val="0"/>
                    </w:rPr>
                    <w:t>4245246.367</w:t>
                  </w:r>
                </w:p>
              </w:tc>
              <w:tc>
                <w:tcPr>
                  <w:tcW w:w="1692" w:type="dxa"/>
                  <w:tcBorders>
                    <w:tl2br w:val="nil"/>
                    <w:tr2bl w:val="nil"/>
                  </w:tcBorders>
                  <w:noWrap/>
                  <w:vAlign w:val="center"/>
                </w:tcPr>
                <w:p w14:paraId="6A124E51">
                  <w:pPr>
                    <w:widowControl/>
                    <w:jc w:val="center"/>
                    <w:rPr>
                      <w:kern w:val="0"/>
                    </w:rPr>
                  </w:pPr>
                  <w:r>
                    <w:rPr>
                      <w:rFonts w:hint="eastAsia"/>
                      <w:kern w:val="0"/>
                    </w:rPr>
                    <w:t>38429821.390</w:t>
                  </w:r>
                </w:p>
              </w:tc>
            </w:tr>
            <w:tr w14:paraId="0A2AB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25" w:type="pct"/>
                  <w:tcBorders>
                    <w:tl2br w:val="nil"/>
                    <w:tr2bl w:val="nil"/>
                  </w:tcBorders>
                  <w:noWrap/>
                  <w:vAlign w:val="center"/>
                </w:tcPr>
                <w:p w14:paraId="61DA780D">
                  <w:pPr>
                    <w:widowControl/>
                    <w:jc w:val="center"/>
                    <w:rPr>
                      <w:kern w:val="0"/>
                      <w:szCs w:val="21"/>
                    </w:rPr>
                  </w:pPr>
                  <w:r>
                    <w:rPr>
                      <w:rFonts w:hint="eastAsia"/>
                      <w:kern w:val="0"/>
                      <w:szCs w:val="21"/>
                    </w:rPr>
                    <w:t>5</w:t>
                  </w:r>
                </w:p>
              </w:tc>
              <w:tc>
                <w:tcPr>
                  <w:tcW w:w="1666" w:type="dxa"/>
                  <w:tcBorders>
                    <w:tl2br w:val="nil"/>
                    <w:tr2bl w:val="nil"/>
                  </w:tcBorders>
                  <w:noWrap/>
                  <w:vAlign w:val="center"/>
                </w:tcPr>
                <w:p w14:paraId="72E2C8FA">
                  <w:pPr>
                    <w:widowControl/>
                    <w:jc w:val="center"/>
                    <w:rPr>
                      <w:kern w:val="0"/>
                    </w:rPr>
                  </w:pPr>
                  <w:r>
                    <w:rPr>
                      <w:rFonts w:hint="eastAsia"/>
                      <w:kern w:val="0"/>
                    </w:rPr>
                    <w:t>4245477.028</w:t>
                  </w:r>
                </w:p>
              </w:tc>
              <w:tc>
                <w:tcPr>
                  <w:tcW w:w="1667" w:type="dxa"/>
                  <w:tcBorders>
                    <w:tl2br w:val="nil"/>
                    <w:tr2bl w:val="nil"/>
                  </w:tcBorders>
                  <w:noWrap/>
                  <w:vAlign w:val="center"/>
                </w:tcPr>
                <w:p w14:paraId="7114BD2E">
                  <w:pPr>
                    <w:widowControl/>
                    <w:jc w:val="center"/>
                    <w:rPr>
                      <w:kern w:val="0"/>
                    </w:rPr>
                  </w:pPr>
                  <w:r>
                    <w:rPr>
                      <w:rFonts w:hint="eastAsia"/>
                      <w:kern w:val="0"/>
                    </w:rPr>
                    <w:t>38429832.890</w:t>
                  </w:r>
                </w:p>
              </w:tc>
              <w:tc>
                <w:tcPr>
                  <w:tcW w:w="536" w:type="pct"/>
                  <w:tcBorders>
                    <w:tl2br w:val="nil"/>
                    <w:tr2bl w:val="nil"/>
                  </w:tcBorders>
                  <w:noWrap/>
                  <w:vAlign w:val="center"/>
                </w:tcPr>
                <w:p w14:paraId="0A6B16AA">
                  <w:pPr>
                    <w:widowControl/>
                    <w:jc w:val="center"/>
                    <w:rPr>
                      <w:kern w:val="0"/>
                      <w:szCs w:val="21"/>
                    </w:rPr>
                  </w:pPr>
                  <w:r>
                    <w:rPr>
                      <w:rFonts w:hint="eastAsia"/>
                      <w:kern w:val="0"/>
                      <w:szCs w:val="21"/>
                    </w:rPr>
                    <w:t>11</w:t>
                  </w:r>
                </w:p>
              </w:tc>
              <w:tc>
                <w:tcPr>
                  <w:tcW w:w="1674" w:type="dxa"/>
                  <w:tcBorders>
                    <w:tl2br w:val="nil"/>
                    <w:tr2bl w:val="nil"/>
                  </w:tcBorders>
                  <w:noWrap/>
                  <w:vAlign w:val="center"/>
                </w:tcPr>
                <w:p w14:paraId="0F06ACBA">
                  <w:pPr>
                    <w:widowControl/>
                    <w:jc w:val="center"/>
                    <w:rPr>
                      <w:kern w:val="0"/>
                    </w:rPr>
                  </w:pPr>
                  <w:r>
                    <w:rPr>
                      <w:rFonts w:hint="eastAsia"/>
                      <w:kern w:val="0"/>
                    </w:rPr>
                    <w:t>4245496.178</w:t>
                  </w:r>
                </w:p>
              </w:tc>
              <w:tc>
                <w:tcPr>
                  <w:tcW w:w="1692" w:type="dxa"/>
                  <w:tcBorders>
                    <w:tl2br w:val="nil"/>
                    <w:tr2bl w:val="nil"/>
                  </w:tcBorders>
                  <w:noWrap/>
                  <w:vAlign w:val="center"/>
                </w:tcPr>
                <w:p w14:paraId="217BB858">
                  <w:pPr>
                    <w:widowControl/>
                    <w:jc w:val="center"/>
                    <w:rPr>
                      <w:kern w:val="0"/>
                    </w:rPr>
                  </w:pPr>
                  <w:r>
                    <w:rPr>
                      <w:rFonts w:hint="eastAsia"/>
                      <w:kern w:val="0"/>
                    </w:rPr>
                    <w:t>38429520.470</w:t>
                  </w:r>
                </w:p>
              </w:tc>
            </w:tr>
            <w:tr w14:paraId="718A4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25" w:type="pct"/>
                  <w:tcBorders>
                    <w:tl2br w:val="nil"/>
                    <w:tr2bl w:val="nil"/>
                  </w:tcBorders>
                  <w:noWrap/>
                  <w:vAlign w:val="center"/>
                </w:tcPr>
                <w:p w14:paraId="626DC535">
                  <w:pPr>
                    <w:widowControl/>
                    <w:jc w:val="center"/>
                    <w:rPr>
                      <w:kern w:val="0"/>
                      <w:szCs w:val="21"/>
                    </w:rPr>
                  </w:pPr>
                  <w:r>
                    <w:rPr>
                      <w:rFonts w:hint="eastAsia"/>
                      <w:kern w:val="0"/>
                      <w:szCs w:val="21"/>
                    </w:rPr>
                    <w:t>6</w:t>
                  </w:r>
                </w:p>
              </w:tc>
              <w:tc>
                <w:tcPr>
                  <w:tcW w:w="1666" w:type="dxa"/>
                  <w:tcBorders>
                    <w:tl2br w:val="nil"/>
                    <w:tr2bl w:val="nil"/>
                  </w:tcBorders>
                  <w:noWrap/>
                  <w:vAlign w:val="center"/>
                </w:tcPr>
                <w:p w14:paraId="7CB2436F">
                  <w:pPr>
                    <w:widowControl/>
                    <w:jc w:val="center"/>
                    <w:rPr>
                      <w:kern w:val="0"/>
                    </w:rPr>
                  </w:pPr>
                  <w:r>
                    <w:rPr>
                      <w:rFonts w:hint="eastAsia"/>
                      <w:kern w:val="0"/>
                    </w:rPr>
                    <w:t xml:space="preserve">4245471.708 </w:t>
                  </w:r>
                </w:p>
              </w:tc>
              <w:tc>
                <w:tcPr>
                  <w:tcW w:w="1667" w:type="dxa"/>
                  <w:tcBorders>
                    <w:tl2br w:val="nil"/>
                    <w:tr2bl w:val="nil"/>
                  </w:tcBorders>
                  <w:noWrap/>
                  <w:vAlign w:val="center"/>
                </w:tcPr>
                <w:p w14:paraId="6B1DD09B">
                  <w:pPr>
                    <w:widowControl/>
                    <w:jc w:val="center"/>
                    <w:rPr>
                      <w:kern w:val="0"/>
                    </w:rPr>
                  </w:pPr>
                  <w:r>
                    <w:rPr>
                      <w:rFonts w:hint="eastAsia"/>
                      <w:kern w:val="0"/>
                    </w:rPr>
                    <w:t>38429842.720</w:t>
                  </w:r>
                </w:p>
              </w:tc>
              <w:tc>
                <w:tcPr>
                  <w:tcW w:w="536" w:type="pct"/>
                  <w:tcBorders>
                    <w:tl2br w:val="nil"/>
                    <w:tr2bl w:val="nil"/>
                  </w:tcBorders>
                  <w:noWrap/>
                  <w:vAlign w:val="center"/>
                </w:tcPr>
                <w:p w14:paraId="2AF719ED">
                  <w:pPr>
                    <w:widowControl/>
                    <w:jc w:val="center"/>
                    <w:rPr>
                      <w:kern w:val="0"/>
                      <w:szCs w:val="21"/>
                    </w:rPr>
                  </w:pPr>
                  <w:r>
                    <w:rPr>
                      <w:rFonts w:hint="eastAsia"/>
                      <w:kern w:val="0"/>
                      <w:szCs w:val="21"/>
                    </w:rPr>
                    <w:t>/</w:t>
                  </w:r>
                </w:p>
              </w:tc>
              <w:tc>
                <w:tcPr>
                  <w:tcW w:w="984" w:type="pct"/>
                  <w:tcBorders>
                    <w:tl2br w:val="nil"/>
                    <w:tr2bl w:val="nil"/>
                  </w:tcBorders>
                  <w:noWrap/>
                  <w:vAlign w:val="center"/>
                </w:tcPr>
                <w:p w14:paraId="116EABBA">
                  <w:pPr>
                    <w:widowControl/>
                    <w:jc w:val="center"/>
                    <w:rPr>
                      <w:kern w:val="0"/>
                      <w:szCs w:val="21"/>
                    </w:rPr>
                  </w:pPr>
                  <w:r>
                    <w:rPr>
                      <w:rFonts w:hint="eastAsia"/>
                      <w:kern w:val="0"/>
                      <w:szCs w:val="21"/>
                    </w:rPr>
                    <w:t>/</w:t>
                  </w:r>
                </w:p>
              </w:tc>
              <w:tc>
                <w:tcPr>
                  <w:tcW w:w="994" w:type="pct"/>
                  <w:tcBorders>
                    <w:tl2br w:val="nil"/>
                    <w:tr2bl w:val="nil"/>
                  </w:tcBorders>
                  <w:noWrap/>
                  <w:vAlign w:val="center"/>
                </w:tcPr>
                <w:p w14:paraId="22905181">
                  <w:pPr>
                    <w:widowControl/>
                    <w:jc w:val="center"/>
                    <w:rPr>
                      <w:kern w:val="0"/>
                      <w:szCs w:val="21"/>
                    </w:rPr>
                  </w:pPr>
                  <w:r>
                    <w:rPr>
                      <w:rFonts w:hint="eastAsia"/>
                      <w:kern w:val="0"/>
                      <w:szCs w:val="21"/>
                    </w:rPr>
                    <w:t>/</w:t>
                  </w:r>
                </w:p>
              </w:tc>
            </w:tr>
          </w:tbl>
          <w:p w14:paraId="073836D7">
            <w:pPr>
              <w:keepNext w:val="0"/>
              <w:keepLines w:val="0"/>
              <w:pageBreakBefore w:val="0"/>
              <w:kinsoku/>
              <w:wordWrap/>
              <w:overflowPunct/>
              <w:topLinePunct w:val="0"/>
              <w:autoSpaceDE/>
              <w:autoSpaceDN/>
              <w:bidi w:val="0"/>
              <w:adjustRightInd/>
              <w:snapToGrid/>
              <w:spacing w:line="480" w:lineRule="exact"/>
              <w:ind w:firstLine="482" w:firstLineChars="200"/>
              <w:textAlignment w:val="auto"/>
              <w:rPr>
                <w:b/>
                <w:bCs/>
                <w:sz w:val="24"/>
              </w:rPr>
            </w:pPr>
            <w:r>
              <w:rPr>
                <w:rFonts w:hint="eastAsia"/>
                <w:b/>
                <w:bCs/>
                <w:sz w:val="24"/>
              </w:rPr>
              <w:t>4.开发利用方案</w:t>
            </w:r>
          </w:p>
          <w:p w14:paraId="758B6CB5">
            <w:pPr>
              <w:pStyle w:val="5"/>
              <w:keepNext w:val="0"/>
              <w:keepLines w:val="0"/>
              <w:pageBreakBefore w:val="0"/>
              <w:kinsoku/>
              <w:wordWrap/>
              <w:overflowPunct/>
              <w:topLinePunct w:val="0"/>
              <w:autoSpaceDE/>
              <w:autoSpaceDN/>
              <w:bidi w:val="0"/>
              <w:adjustRightInd/>
              <w:snapToGrid/>
              <w:spacing w:before="0" w:after="0" w:line="480" w:lineRule="exact"/>
              <w:ind w:right="0" w:firstLine="480" w:firstLineChars="200"/>
              <w:textAlignment w:val="auto"/>
              <w:rPr>
                <w:sz w:val="24"/>
                <w:szCs w:val="24"/>
              </w:rPr>
            </w:pPr>
            <w:r>
              <w:rPr>
                <w:rFonts w:hint="eastAsia"/>
                <w:sz w:val="24"/>
                <w:szCs w:val="24"/>
              </w:rPr>
              <w:t>（1）境界范围及开采接替顺序</w:t>
            </w:r>
          </w:p>
          <w:p w14:paraId="1D8578C0">
            <w:pPr>
              <w:keepNext w:val="0"/>
              <w:keepLines w:val="0"/>
              <w:pageBreakBefore w:val="0"/>
              <w:kinsoku/>
              <w:wordWrap/>
              <w:overflowPunct/>
              <w:topLinePunct w:val="0"/>
              <w:autoSpaceDE/>
              <w:autoSpaceDN/>
              <w:bidi w:val="0"/>
              <w:adjustRightInd/>
              <w:snapToGrid/>
              <w:spacing w:line="480" w:lineRule="exact"/>
              <w:ind w:firstLine="480" w:firstLineChars="200"/>
              <w:textAlignment w:val="auto"/>
              <w:rPr>
                <w:sz w:val="24"/>
              </w:rPr>
            </w:pPr>
            <w:r>
              <w:rPr>
                <w:rFonts w:hint="eastAsia"/>
                <w:sz w:val="24"/>
              </w:rPr>
              <w:t>根据采矿许可证，项目批采</w:t>
            </w:r>
            <w:r>
              <w:rPr>
                <w:sz w:val="24"/>
              </w:rPr>
              <w:t>矿种为</w:t>
            </w:r>
            <w:r>
              <w:rPr>
                <w:rFonts w:hint="eastAsia"/>
                <w:sz w:val="24"/>
              </w:rPr>
              <w:t>饰面用花岗岩矿，矿区面积0.2046km</w:t>
            </w:r>
            <w:r>
              <w:rPr>
                <w:rFonts w:hint="eastAsia"/>
                <w:sz w:val="24"/>
                <w:vertAlign w:val="superscript"/>
              </w:rPr>
              <w:t>2</w:t>
            </w:r>
            <w:r>
              <w:rPr>
                <w:rFonts w:hint="eastAsia"/>
                <w:sz w:val="24"/>
              </w:rPr>
              <w:t>。</w:t>
            </w:r>
          </w:p>
          <w:p w14:paraId="5D1AEAA8">
            <w:pPr>
              <w:pStyle w:val="5"/>
              <w:keepNext w:val="0"/>
              <w:keepLines w:val="0"/>
              <w:pageBreakBefore w:val="0"/>
              <w:kinsoku/>
              <w:wordWrap/>
              <w:overflowPunct/>
              <w:topLinePunct w:val="0"/>
              <w:autoSpaceDE/>
              <w:autoSpaceDN/>
              <w:bidi w:val="0"/>
              <w:adjustRightInd/>
              <w:snapToGrid/>
              <w:spacing w:before="0" w:after="0" w:line="480" w:lineRule="exact"/>
              <w:ind w:right="0" w:firstLine="480" w:firstLineChars="200"/>
              <w:textAlignment w:val="auto"/>
              <w:rPr>
                <w:kern w:val="2"/>
                <w:sz w:val="24"/>
                <w:szCs w:val="24"/>
              </w:rPr>
            </w:pPr>
            <w:r>
              <w:rPr>
                <w:rFonts w:hint="eastAsia"/>
                <w:kern w:val="2"/>
                <w:sz w:val="24"/>
                <w:szCs w:val="24"/>
              </w:rPr>
              <w:t>根据矿层赋存条件和矿区地形，本项目设计为一个采区，矿山开采本着露天开采由上到下，由高到低的采矿原则，设计从最上部开始，由上而下分阶段开采，</w:t>
            </w:r>
            <w:r>
              <w:rPr>
                <w:sz w:val="24"/>
                <w:szCs w:val="24"/>
              </w:rPr>
              <w:t>矿山东部区域</w:t>
            </w:r>
            <w:r>
              <w:rPr>
                <w:rFonts w:hint="eastAsia"/>
                <w:kern w:val="2"/>
                <w:sz w:val="24"/>
                <w:szCs w:val="24"/>
              </w:rPr>
              <w:t>矿层赋存最高，首采地段选择在矿山东部区域。</w:t>
            </w:r>
          </w:p>
          <w:p w14:paraId="4736BCCA">
            <w:pPr>
              <w:keepNext w:val="0"/>
              <w:keepLines w:val="0"/>
              <w:pageBreakBefore w:val="0"/>
              <w:kinsoku/>
              <w:wordWrap/>
              <w:overflowPunct/>
              <w:topLinePunct w:val="0"/>
              <w:autoSpaceDE/>
              <w:autoSpaceDN/>
              <w:bidi w:val="0"/>
              <w:adjustRightInd/>
              <w:snapToGrid/>
              <w:spacing w:line="480" w:lineRule="exact"/>
              <w:ind w:firstLine="480" w:firstLineChars="200"/>
              <w:textAlignment w:val="auto"/>
              <w:rPr>
                <w:sz w:val="24"/>
              </w:rPr>
            </w:pPr>
            <w:r>
              <w:rPr>
                <w:rFonts w:hint="eastAsia"/>
                <w:sz w:val="24"/>
              </w:rPr>
              <w:t>（2）资源储量及服务年限</w:t>
            </w:r>
          </w:p>
          <w:p w14:paraId="4E346843">
            <w:pPr>
              <w:pStyle w:val="5"/>
              <w:keepNext w:val="0"/>
              <w:keepLines w:val="0"/>
              <w:pageBreakBefore w:val="0"/>
              <w:kinsoku/>
              <w:wordWrap/>
              <w:overflowPunct/>
              <w:topLinePunct w:val="0"/>
              <w:autoSpaceDE/>
              <w:autoSpaceDN/>
              <w:bidi w:val="0"/>
              <w:adjustRightInd/>
              <w:snapToGrid/>
              <w:spacing w:before="0" w:after="0" w:line="480" w:lineRule="exact"/>
              <w:ind w:right="0" w:firstLine="480" w:firstLineChars="200"/>
              <w:textAlignment w:val="auto"/>
              <w:rPr>
                <w:sz w:val="24"/>
                <w:szCs w:val="24"/>
              </w:rPr>
            </w:pPr>
            <w:r>
              <w:rPr>
                <w:kern w:val="2"/>
                <w:sz w:val="24"/>
                <w:szCs w:val="24"/>
              </w:rPr>
              <w:t>根据《</w:t>
            </w:r>
            <w:r>
              <w:rPr>
                <w:sz w:val="24"/>
                <w:szCs w:val="24"/>
              </w:rPr>
              <w:t>详查报告》，截至2022年12月31日，</w:t>
            </w:r>
            <w:r>
              <w:rPr>
                <w:bCs/>
                <w:sz w:val="24"/>
              </w:rPr>
              <w:t>累计查明荒料资源量64.38万m</w:t>
            </w:r>
            <w:r>
              <w:rPr>
                <w:bCs/>
                <w:sz w:val="24"/>
                <w:vertAlign w:val="superscript"/>
              </w:rPr>
              <w:t>3</w:t>
            </w:r>
            <w:r>
              <w:rPr>
                <w:bCs/>
                <w:sz w:val="24"/>
              </w:rPr>
              <w:t>，保有荒料资源量62.49万m</w:t>
            </w:r>
            <w:r>
              <w:rPr>
                <w:bCs/>
                <w:sz w:val="24"/>
                <w:vertAlign w:val="superscript"/>
              </w:rPr>
              <w:t>3</w:t>
            </w:r>
            <w:r>
              <w:rPr>
                <w:bCs/>
                <w:sz w:val="24"/>
              </w:rPr>
              <w:t>，动用荒料量1.89万m</w:t>
            </w:r>
            <w:r>
              <w:rPr>
                <w:bCs/>
                <w:sz w:val="24"/>
                <w:vertAlign w:val="superscript"/>
              </w:rPr>
              <w:t>3</w:t>
            </w:r>
            <w:r>
              <w:rPr>
                <w:sz w:val="24"/>
                <w:szCs w:val="24"/>
              </w:rPr>
              <w:t>，扣除边坡占用荒料资源量33.00万m</w:t>
            </w:r>
            <w:r>
              <w:rPr>
                <w:sz w:val="24"/>
                <w:szCs w:val="24"/>
                <w:vertAlign w:val="superscript"/>
              </w:rPr>
              <w:t>3</w:t>
            </w:r>
            <w:r>
              <w:rPr>
                <w:sz w:val="24"/>
                <w:szCs w:val="24"/>
              </w:rPr>
              <w:t>；设计利用荒料资源量29.49万m</w:t>
            </w:r>
            <w:r>
              <w:rPr>
                <w:sz w:val="24"/>
                <w:szCs w:val="24"/>
                <w:vertAlign w:val="superscript"/>
              </w:rPr>
              <w:t>3</w:t>
            </w:r>
            <w:r>
              <w:rPr>
                <w:sz w:val="24"/>
                <w:szCs w:val="24"/>
              </w:rPr>
              <w:t>；露天开采阶段回采率95%，可采荒料资源量为</w:t>
            </w:r>
            <w:r>
              <w:rPr>
                <w:rFonts w:hint="eastAsia"/>
                <w:sz w:val="24"/>
                <w:szCs w:val="24"/>
              </w:rPr>
              <w:t>28.02</w:t>
            </w:r>
            <w:r>
              <w:rPr>
                <w:sz w:val="24"/>
                <w:szCs w:val="24"/>
              </w:rPr>
              <w:t>万m</w:t>
            </w:r>
            <w:r>
              <w:rPr>
                <w:sz w:val="24"/>
                <w:szCs w:val="24"/>
                <w:vertAlign w:val="superscript"/>
              </w:rPr>
              <w:t>3</w:t>
            </w:r>
            <w:r>
              <w:rPr>
                <w:sz w:val="24"/>
                <w:szCs w:val="24"/>
              </w:rPr>
              <w:t>。设计矿山生产规模为2.00万m</w:t>
            </w:r>
            <w:r>
              <w:rPr>
                <w:sz w:val="24"/>
                <w:szCs w:val="24"/>
                <w:vertAlign w:val="superscript"/>
              </w:rPr>
              <w:t>3</w:t>
            </w:r>
            <w:r>
              <w:rPr>
                <w:sz w:val="24"/>
                <w:szCs w:val="24"/>
              </w:rPr>
              <w:t>/年，矿山服务年限为</w:t>
            </w:r>
            <w:r>
              <w:rPr>
                <w:rFonts w:hint="eastAsia"/>
                <w:sz w:val="24"/>
                <w:szCs w:val="24"/>
              </w:rPr>
              <w:t>14.46</w:t>
            </w:r>
            <w:r>
              <w:rPr>
                <w:sz w:val="24"/>
                <w:szCs w:val="24"/>
              </w:rPr>
              <w:t>年</w:t>
            </w:r>
            <w:r>
              <w:rPr>
                <w:rFonts w:hint="eastAsia"/>
                <w:sz w:val="24"/>
                <w:szCs w:val="24"/>
              </w:rPr>
              <w:t>。</w:t>
            </w:r>
          </w:p>
          <w:p w14:paraId="690B8E36">
            <w:pPr>
              <w:keepNext w:val="0"/>
              <w:keepLines w:val="0"/>
              <w:pageBreakBefore w:val="0"/>
              <w:kinsoku/>
              <w:wordWrap/>
              <w:overflowPunct/>
              <w:topLinePunct w:val="0"/>
              <w:autoSpaceDE/>
              <w:autoSpaceDN/>
              <w:bidi w:val="0"/>
              <w:adjustRightInd/>
              <w:snapToGrid/>
              <w:spacing w:line="480" w:lineRule="exact"/>
              <w:ind w:firstLine="480" w:firstLineChars="200"/>
              <w:textAlignment w:val="auto"/>
              <w:rPr>
                <w:sz w:val="24"/>
              </w:rPr>
            </w:pPr>
            <w:r>
              <w:rPr>
                <w:rFonts w:hint="eastAsia"/>
                <w:sz w:val="24"/>
              </w:rPr>
              <w:t>（3）剥采比</w:t>
            </w:r>
          </w:p>
          <w:p w14:paraId="6A7A5E2C">
            <w:pPr>
              <w:pStyle w:val="5"/>
              <w:keepNext w:val="0"/>
              <w:keepLines w:val="0"/>
              <w:pageBreakBefore w:val="0"/>
              <w:kinsoku/>
              <w:wordWrap/>
              <w:overflowPunct/>
              <w:topLinePunct w:val="0"/>
              <w:autoSpaceDE/>
              <w:autoSpaceDN/>
              <w:bidi w:val="0"/>
              <w:adjustRightInd/>
              <w:snapToGrid/>
              <w:spacing w:before="0" w:after="0" w:line="480" w:lineRule="exact"/>
              <w:ind w:right="0" w:firstLine="480" w:firstLineChars="200"/>
              <w:textAlignment w:val="auto"/>
              <w:rPr>
                <w:sz w:val="24"/>
                <w:szCs w:val="24"/>
              </w:rPr>
            </w:pPr>
            <w:bookmarkStart w:id="7" w:name="_Hlk219929980"/>
            <w:bookmarkStart w:id="8" w:name="_Hlk219844457"/>
            <w:r>
              <w:rPr>
                <w:sz w:val="24"/>
                <w:szCs w:val="24"/>
              </w:rPr>
              <w:t>本矿有覆盖层需要剥离，</w:t>
            </w:r>
            <w:r>
              <w:rPr>
                <w:sz w:val="24"/>
                <w:szCs w:val="22"/>
              </w:rPr>
              <w:t>外剥离总量为307.46万m</w:t>
            </w:r>
            <w:r>
              <w:rPr>
                <w:sz w:val="24"/>
                <w:szCs w:val="22"/>
                <w:vertAlign w:val="superscript"/>
              </w:rPr>
              <w:t>3</w:t>
            </w:r>
            <w:r>
              <w:rPr>
                <w:sz w:val="24"/>
                <w:szCs w:val="22"/>
              </w:rPr>
              <w:t>，内剥离总量313.47万m</w:t>
            </w:r>
            <w:r>
              <w:rPr>
                <w:sz w:val="24"/>
                <w:szCs w:val="22"/>
                <w:vertAlign w:val="superscript"/>
              </w:rPr>
              <w:t>3</w:t>
            </w:r>
            <w:r>
              <w:rPr>
                <w:sz w:val="24"/>
                <w:szCs w:val="22"/>
              </w:rPr>
              <w:t>，设计利用荒料量为29.49万m</w:t>
            </w:r>
            <w:r>
              <w:rPr>
                <w:sz w:val="24"/>
                <w:szCs w:val="22"/>
                <w:vertAlign w:val="superscript"/>
              </w:rPr>
              <w:t>3</w:t>
            </w:r>
            <w:r>
              <w:rPr>
                <w:sz w:val="24"/>
                <w:szCs w:val="22"/>
              </w:rPr>
              <w:t>。经计算外剥采比为10.43：1（m</w:t>
            </w:r>
            <w:r>
              <w:rPr>
                <w:sz w:val="24"/>
                <w:szCs w:val="22"/>
                <w:vertAlign w:val="superscript"/>
              </w:rPr>
              <w:t>3</w:t>
            </w:r>
            <w:r>
              <w:rPr>
                <w:sz w:val="24"/>
                <w:szCs w:val="22"/>
              </w:rPr>
              <w:t>/ m</w:t>
            </w:r>
            <w:r>
              <w:rPr>
                <w:sz w:val="24"/>
                <w:szCs w:val="22"/>
                <w:vertAlign w:val="superscript"/>
              </w:rPr>
              <w:t>3</w:t>
            </w:r>
            <w:r>
              <w:rPr>
                <w:sz w:val="24"/>
                <w:szCs w:val="22"/>
              </w:rPr>
              <w:t>），内剥采比为10.63：1（m</w:t>
            </w:r>
            <w:r>
              <w:rPr>
                <w:sz w:val="24"/>
                <w:szCs w:val="22"/>
                <w:vertAlign w:val="superscript"/>
              </w:rPr>
              <w:t>3</w:t>
            </w:r>
            <w:r>
              <w:rPr>
                <w:sz w:val="24"/>
                <w:szCs w:val="22"/>
              </w:rPr>
              <w:t>/ m</w:t>
            </w:r>
            <w:r>
              <w:rPr>
                <w:sz w:val="24"/>
                <w:szCs w:val="22"/>
                <w:vertAlign w:val="superscript"/>
              </w:rPr>
              <w:t>3</w:t>
            </w:r>
            <w:r>
              <w:rPr>
                <w:sz w:val="24"/>
                <w:szCs w:val="22"/>
              </w:rPr>
              <w:t>），总剥采比为21.06：1（m</w:t>
            </w:r>
            <w:r>
              <w:rPr>
                <w:sz w:val="24"/>
                <w:szCs w:val="22"/>
                <w:vertAlign w:val="superscript"/>
              </w:rPr>
              <w:t>3</w:t>
            </w:r>
            <w:r>
              <w:rPr>
                <w:sz w:val="24"/>
                <w:szCs w:val="22"/>
              </w:rPr>
              <w:t>/ m</w:t>
            </w:r>
            <w:r>
              <w:rPr>
                <w:sz w:val="24"/>
                <w:szCs w:val="22"/>
                <w:vertAlign w:val="superscript"/>
              </w:rPr>
              <w:t>3</w:t>
            </w:r>
            <w:r>
              <w:rPr>
                <w:sz w:val="24"/>
                <w:szCs w:val="22"/>
              </w:rPr>
              <w:t>）</w:t>
            </w:r>
            <w:r>
              <w:rPr>
                <w:sz w:val="24"/>
                <w:szCs w:val="24"/>
              </w:rPr>
              <w:t>。</w:t>
            </w:r>
            <w:bookmarkEnd w:id="7"/>
          </w:p>
          <w:bookmarkEnd w:id="8"/>
          <w:p w14:paraId="6F3BCD48">
            <w:pPr>
              <w:pStyle w:val="5"/>
              <w:keepNext w:val="0"/>
              <w:keepLines w:val="0"/>
              <w:pageBreakBefore w:val="0"/>
              <w:kinsoku/>
              <w:wordWrap/>
              <w:overflowPunct/>
              <w:topLinePunct w:val="0"/>
              <w:autoSpaceDE/>
              <w:autoSpaceDN/>
              <w:bidi w:val="0"/>
              <w:adjustRightInd/>
              <w:snapToGrid/>
              <w:spacing w:before="0" w:after="0" w:line="480" w:lineRule="exact"/>
              <w:ind w:right="0" w:firstLine="480" w:firstLineChars="200"/>
              <w:textAlignment w:val="auto"/>
              <w:rPr>
                <w:rFonts w:ascii="宋体" w:hAnsi="宋体" w:cs="宋体"/>
                <w:sz w:val="24"/>
                <w:szCs w:val="24"/>
              </w:rPr>
            </w:pPr>
            <w:bookmarkStart w:id="9" w:name="_Hlk215384655"/>
            <w:r>
              <w:rPr>
                <w:rFonts w:hint="eastAsia" w:ascii="宋体" w:hAnsi="宋体" w:cs="宋体"/>
                <w:sz w:val="24"/>
                <w:szCs w:val="24"/>
              </w:rPr>
              <w:t>（4）开采计划</w:t>
            </w:r>
          </w:p>
          <w:p w14:paraId="274A85CA">
            <w:pPr>
              <w:keepNext w:val="0"/>
              <w:keepLines w:val="0"/>
              <w:pageBreakBefore w:val="0"/>
              <w:kinsoku/>
              <w:wordWrap/>
              <w:overflowPunct/>
              <w:topLinePunct w:val="0"/>
              <w:autoSpaceDE/>
              <w:autoSpaceDN/>
              <w:bidi w:val="0"/>
              <w:adjustRightInd/>
              <w:snapToGrid/>
              <w:spacing w:line="480" w:lineRule="exact"/>
              <w:ind w:firstLine="480" w:firstLineChars="200"/>
              <w:textAlignment w:val="auto"/>
              <w:rPr>
                <w:sz w:val="24"/>
                <w:szCs w:val="22"/>
              </w:rPr>
            </w:pPr>
            <w:r>
              <w:rPr>
                <w:sz w:val="24"/>
                <w:szCs w:val="22"/>
              </w:rPr>
              <w:t>矿山服务年限为14.46年，五年期采场开采形成1075m、1060m、1045m、1030m四个终了阶段；1015m一个开采阶段；开采荒料10万m</w:t>
            </w:r>
            <w:r>
              <w:rPr>
                <w:sz w:val="24"/>
                <w:szCs w:val="22"/>
                <w:vertAlign w:val="superscript"/>
              </w:rPr>
              <w:t>3</w:t>
            </w:r>
            <w:r>
              <w:rPr>
                <w:sz w:val="24"/>
                <w:szCs w:val="22"/>
              </w:rPr>
              <w:t>，剥离废石162.87万m</w:t>
            </w:r>
            <w:r>
              <w:rPr>
                <w:sz w:val="24"/>
                <w:szCs w:val="22"/>
                <w:vertAlign w:val="superscript"/>
              </w:rPr>
              <w:t>3</w:t>
            </w:r>
            <w:r>
              <w:rPr>
                <w:rFonts w:hint="eastAsia" w:ascii="宋体" w:hAnsi="宋体" w:cs="宋体"/>
                <w:sz w:val="24"/>
              </w:rPr>
              <w:t>。开采接替</w:t>
            </w:r>
            <w:r>
              <w:rPr>
                <w:rFonts w:hint="eastAsia" w:ascii="宋体" w:hAnsi="宋体" w:cs="宋体"/>
                <w:sz w:val="24"/>
                <w:lang w:eastAsia="zh-CN"/>
              </w:rPr>
              <w:t>时序</w:t>
            </w:r>
            <w:r>
              <w:rPr>
                <w:rFonts w:hint="eastAsia" w:ascii="宋体" w:hAnsi="宋体" w:cs="宋体"/>
                <w:sz w:val="24"/>
              </w:rPr>
              <w:t>见</w:t>
            </w:r>
            <w:r>
              <w:rPr>
                <w:rFonts w:hint="eastAsia"/>
                <w:kern w:val="0"/>
                <w:sz w:val="24"/>
              </w:rPr>
              <w:t>下表</w:t>
            </w:r>
            <w:r>
              <w:rPr>
                <w:sz w:val="24"/>
                <w:szCs w:val="22"/>
              </w:rPr>
              <w:t>。</w:t>
            </w:r>
          </w:p>
          <w:p w14:paraId="1497DE86">
            <w:pPr>
              <w:spacing w:line="480" w:lineRule="exact"/>
              <w:jc w:val="center"/>
              <w:rPr>
                <w:rFonts w:ascii="宋体" w:hAnsi="宋体" w:cs="宋体"/>
                <w:kern w:val="0"/>
                <w:szCs w:val="21"/>
                <w:lang w:bidi="ar"/>
              </w:rPr>
            </w:pPr>
            <w:r>
              <w:rPr>
                <w:rFonts w:hint="eastAsia" w:ascii="宋体" w:hAnsi="宋体" w:cs="宋体"/>
                <w:kern w:val="0"/>
                <w:szCs w:val="21"/>
                <w:lang w:bidi="ar"/>
              </w:rPr>
              <w:t>表</w:t>
            </w:r>
            <w:r>
              <w:rPr>
                <w:kern w:val="0"/>
                <w:szCs w:val="21"/>
                <w:lang w:bidi="ar"/>
              </w:rPr>
              <w:t xml:space="preserve">2-5 </w:t>
            </w:r>
            <w:r>
              <w:rPr>
                <w:rFonts w:hint="eastAsia" w:ascii="宋体" w:hAnsi="宋体" w:cs="宋体"/>
                <w:kern w:val="0"/>
                <w:szCs w:val="21"/>
                <w:lang w:bidi="ar"/>
              </w:rPr>
              <w:t xml:space="preserve">         开采接替时序表  单位：万</w:t>
            </w:r>
            <w:r>
              <w:rPr>
                <w:kern w:val="0"/>
                <w:szCs w:val="21"/>
                <w:lang w:bidi="ar"/>
              </w:rPr>
              <w:t>m</w:t>
            </w:r>
            <w:r>
              <w:rPr>
                <w:kern w:val="0"/>
                <w:szCs w:val="21"/>
                <w:vertAlign w:val="superscript"/>
                <w:lang w:bidi="ar"/>
              </w:rPr>
              <w:t>3</w:t>
            </w:r>
            <w:r>
              <w:rPr>
                <w:rFonts w:hint="eastAsia" w:ascii="宋体" w:hAnsi="宋体" w:cs="宋体"/>
                <w:kern w:val="0"/>
                <w:szCs w:val="21"/>
                <w:lang w:bidi="ar"/>
              </w:rPr>
              <w:t>/年</w:t>
            </w:r>
          </w:p>
          <w:tbl>
            <w:tblPr>
              <w:tblStyle w:val="2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1"/>
              <w:gridCol w:w="1368"/>
              <w:gridCol w:w="1242"/>
              <w:gridCol w:w="1242"/>
              <w:gridCol w:w="1242"/>
              <w:gridCol w:w="1242"/>
              <w:gridCol w:w="1247"/>
            </w:tblGrid>
            <w:tr w14:paraId="7B5CD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1" w:type="pct"/>
                  <w:vAlign w:val="center"/>
                </w:tcPr>
                <w:p w14:paraId="5A98775C">
                  <w:pPr>
                    <w:widowControl/>
                    <w:adjustRightInd w:val="0"/>
                    <w:snapToGrid w:val="0"/>
                    <w:jc w:val="center"/>
                    <w:rPr>
                      <w:kern w:val="0"/>
                      <w:szCs w:val="21"/>
                    </w:rPr>
                  </w:pPr>
                  <w:r>
                    <w:rPr>
                      <w:kern w:val="0"/>
                      <w:szCs w:val="21"/>
                    </w:rPr>
                    <w:t>阶段</w:t>
                  </w:r>
                </w:p>
              </w:tc>
              <w:tc>
                <w:tcPr>
                  <w:tcW w:w="804" w:type="pct"/>
                  <w:vAlign w:val="center"/>
                </w:tcPr>
                <w:p w14:paraId="781E1213">
                  <w:pPr>
                    <w:widowControl/>
                    <w:adjustRightInd w:val="0"/>
                    <w:snapToGrid w:val="0"/>
                    <w:jc w:val="center"/>
                    <w:rPr>
                      <w:kern w:val="0"/>
                      <w:szCs w:val="21"/>
                    </w:rPr>
                  </w:pPr>
                  <w:r>
                    <w:rPr>
                      <w:kern w:val="0"/>
                      <w:szCs w:val="21"/>
                    </w:rPr>
                    <w:t>采剥量</w:t>
                  </w:r>
                </w:p>
                <w:p w14:paraId="795BEA2E">
                  <w:pPr>
                    <w:widowControl/>
                    <w:adjustRightInd w:val="0"/>
                    <w:snapToGrid w:val="0"/>
                    <w:jc w:val="center"/>
                    <w:rPr>
                      <w:kern w:val="0"/>
                      <w:szCs w:val="21"/>
                    </w:rPr>
                  </w:pPr>
                  <w:r>
                    <w:rPr>
                      <w:kern w:val="0"/>
                      <w:szCs w:val="21"/>
                    </w:rPr>
                    <w:t>（万m</w:t>
                  </w:r>
                  <w:r>
                    <w:rPr>
                      <w:kern w:val="0"/>
                      <w:szCs w:val="21"/>
                      <w:vertAlign w:val="superscript"/>
                    </w:rPr>
                    <w:t>3</w:t>
                  </w:r>
                  <w:r>
                    <w:rPr>
                      <w:kern w:val="0"/>
                      <w:szCs w:val="21"/>
                    </w:rPr>
                    <w:t>）</w:t>
                  </w:r>
                </w:p>
              </w:tc>
              <w:tc>
                <w:tcPr>
                  <w:tcW w:w="730" w:type="pct"/>
                  <w:vAlign w:val="center"/>
                </w:tcPr>
                <w:p w14:paraId="45E5A6AF">
                  <w:pPr>
                    <w:widowControl/>
                    <w:adjustRightInd w:val="0"/>
                    <w:snapToGrid w:val="0"/>
                    <w:jc w:val="center"/>
                    <w:rPr>
                      <w:kern w:val="0"/>
                      <w:szCs w:val="21"/>
                    </w:rPr>
                  </w:pPr>
                  <w:r>
                    <w:rPr>
                      <w:kern w:val="0"/>
                      <w:szCs w:val="21"/>
                    </w:rPr>
                    <w:t>第一年</w:t>
                  </w:r>
                </w:p>
              </w:tc>
              <w:tc>
                <w:tcPr>
                  <w:tcW w:w="730" w:type="pct"/>
                  <w:vAlign w:val="center"/>
                </w:tcPr>
                <w:p w14:paraId="598E2E16">
                  <w:pPr>
                    <w:widowControl/>
                    <w:adjustRightInd w:val="0"/>
                    <w:snapToGrid w:val="0"/>
                    <w:jc w:val="center"/>
                    <w:rPr>
                      <w:kern w:val="0"/>
                      <w:szCs w:val="21"/>
                    </w:rPr>
                  </w:pPr>
                  <w:r>
                    <w:rPr>
                      <w:kern w:val="0"/>
                      <w:szCs w:val="21"/>
                    </w:rPr>
                    <w:t>第二年</w:t>
                  </w:r>
                </w:p>
              </w:tc>
              <w:tc>
                <w:tcPr>
                  <w:tcW w:w="730" w:type="pct"/>
                  <w:vAlign w:val="center"/>
                </w:tcPr>
                <w:p w14:paraId="33928CFD">
                  <w:pPr>
                    <w:widowControl/>
                    <w:adjustRightInd w:val="0"/>
                    <w:snapToGrid w:val="0"/>
                    <w:jc w:val="center"/>
                    <w:rPr>
                      <w:kern w:val="0"/>
                      <w:szCs w:val="21"/>
                    </w:rPr>
                  </w:pPr>
                  <w:r>
                    <w:rPr>
                      <w:kern w:val="0"/>
                      <w:szCs w:val="21"/>
                    </w:rPr>
                    <w:t>第三年</w:t>
                  </w:r>
                </w:p>
              </w:tc>
              <w:tc>
                <w:tcPr>
                  <w:tcW w:w="730" w:type="pct"/>
                  <w:vAlign w:val="center"/>
                </w:tcPr>
                <w:p w14:paraId="5CC08BCC">
                  <w:pPr>
                    <w:widowControl/>
                    <w:adjustRightInd w:val="0"/>
                    <w:snapToGrid w:val="0"/>
                    <w:jc w:val="center"/>
                    <w:rPr>
                      <w:kern w:val="0"/>
                      <w:szCs w:val="21"/>
                    </w:rPr>
                  </w:pPr>
                  <w:r>
                    <w:rPr>
                      <w:kern w:val="0"/>
                      <w:szCs w:val="21"/>
                    </w:rPr>
                    <w:t>第四年</w:t>
                  </w:r>
                </w:p>
              </w:tc>
              <w:tc>
                <w:tcPr>
                  <w:tcW w:w="732" w:type="pct"/>
                  <w:vAlign w:val="center"/>
                </w:tcPr>
                <w:p w14:paraId="1DAE0CA5">
                  <w:pPr>
                    <w:widowControl/>
                    <w:adjustRightInd w:val="0"/>
                    <w:snapToGrid w:val="0"/>
                    <w:jc w:val="center"/>
                    <w:rPr>
                      <w:kern w:val="0"/>
                      <w:szCs w:val="21"/>
                    </w:rPr>
                  </w:pPr>
                  <w:r>
                    <w:rPr>
                      <w:kern w:val="0"/>
                      <w:szCs w:val="21"/>
                    </w:rPr>
                    <w:t>第五年</w:t>
                  </w:r>
                </w:p>
              </w:tc>
            </w:tr>
            <w:tr w14:paraId="4F114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1" w:type="pct"/>
                  <w:vAlign w:val="center"/>
                </w:tcPr>
                <w:p w14:paraId="776A0014">
                  <w:pPr>
                    <w:widowControl/>
                    <w:adjustRightInd w:val="0"/>
                    <w:snapToGrid w:val="0"/>
                    <w:jc w:val="center"/>
                    <w:rPr>
                      <w:kern w:val="0"/>
                      <w:szCs w:val="21"/>
                    </w:rPr>
                  </w:pPr>
                  <w:r>
                    <w:rPr>
                      <w:kern w:val="0"/>
                      <w:szCs w:val="21"/>
                    </w:rPr>
                    <w:t>1075</w:t>
                  </w:r>
                </w:p>
              </w:tc>
              <w:tc>
                <w:tcPr>
                  <w:tcW w:w="804" w:type="pct"/>
                  <w:vAlign w:val="center"/>
                </w:tcPr>
                <w:p w14:paraId="34CEEC9D">
                  <w:pPr>
                    <w:widowControl/>
                    <w:adjustRightInd w:val="0"/>
                    <w:snapToGrid w:val="0"/>
                    <w:jc w:val="center"/>
                    <w:rPr>
                      <w:kern w:val="0"/>
                      <w:szCs w:val="21"/>
                    </w:rPr>
                  </w:pPr>
                  <w:r>
                    <w:rPr>
                      <w:kern w:val="0"/>
                      <w:szCs w:val="21"/>
                    </w:rPr>
                    <w:t>0.45</w:t>
                  </w:r>
                </w:p>
                <w:p w14:paraId="0B76A09E">
                  <w:pPr>
                    <w:widowControl/>
                    <w:adjustRightInd w:val="0"/>
                    <w:snapToGrid w:val="0"/>
                    <w:jc w:val="center"/>
                    <w:rPr>
                      <w:kern w:val="0"/>
                      <w:szCs w:val="21"/>
                    </w:rPr>
                  </w:pPr>
                  <w:r>
                    <w:rPr>
                      <w:kern w:val="0"/>
                      <w:szCs w:val="21"/>
                    </w:rPr>
                    <w:t>（14.02）</w:t>
                  </w:r>
                </w:p>
              </w:tc>
              <w:tc>
                <w:tcPr>
                  <w:tcW w:w="730" w:type="pct"/>
                  <w:vAlign w:val="center"/>
                </w:tcPr>
                <w:p w14:paraId="552E0833">
                  <w:pPr>
                    <w:widowControl/>
                    <w:adjustRightInd w:val="0"/>
                    <w:snapToGrid w:val="0"/>
                    <w:jc w:val="center"/>
                    <w:rPr>
                      <w:kern w:val="0"/>
                      <w:szCs w:val="21"/>
                    </w:rPr>
                  </w:pPr>
                  <w:r>
                    <w:rPr>
                      <w:kern w:val="0"/>
                      <w:szCs w:val="21"/>
                    </w:rPr>
                    <w:t>0.45</w:t>
                  </w:r>
                </w:p>
                <w:p w14:paraId="37547C32">
                  <w:pPr>
                    <w:widowControl/>
                    <w:adjustRightInd w:val="0"/>
                    <w:snapToGrid w:val="0"/>
                    <w:jc w:val="center"/>
                    <w:rPr>
                      <w:kern w:val="0"/>
                      <w:szCs w:val="21"/>
                    </w:rPr>
                  </w:pPr>
                  <w:r>
                    <w:rPr>
                      <w:kern w:val="0"/>
                      <w:szCs w:val="21"/>
                    </w:rPr>
                    <w:t>（14.02）</w:t>
                  </w:r>
                </w:p>
              </w:tc>
              <w:tc>
                <w:tcPr>
                  <w:tcW w:w="730" w:type="pct"/>
                  <w:vAlign w:val="center"/>
                </w:tcPr>
                <w:p w14:paraId="3829FDE1">
                  <w:pPr>
                    <w:widowControl/>
                    <w:adjustRightInd w:val="0"/>
                    <w:snapToGrid w:val="0"/>
                    <w:jc w:val="center"/>
                    <w:rPr>
                      <w:kern w:val="0"/>
                      <w:szCs w:val="21"/>
                    </w:rPr>
                  </w:pPr>
                </w:p>
              </w:tc>
              <w:tc>
                <w:tcPr>
                  <w:tcW w:w="730" w:type="pct"/>
                  <w:vAlign w:val="center"/>
                </w:tcPr>
                <w:p w14:paraId="7AD5D291">
                  <w:pPr>
                    <w:widowControl/>
                    <w:adjustRightInd w:val="0"/>
                    <w:snapToGrid w:val="0"/>
                    <w:jc w:val="center"/>
                    <w:rPr>
                      <w:kern w:val="0"/>
                      <w:szCs w:val="21"/>
                    </w:rPr>
                  </w:pPr>
                </w:p>
              </w:tc>
              <w:tc>
                <w:tcPr>
                  <w:tcW w:w="730" w:type="pct"/>
                  <w:vAlign w:val="center"/>
                </w:tcPr>
                <w:p w14:paraId="2AAC277F">
                  <w:pPr>
                    <w:widowControl/>
                    <w:adjustRightInd w:val="0"/>
                    <w:snapToGrid w:val="0"/>
                    <w:jc w:val="center"/>
                    <w:rPr>
                      <w:kern w:val="0"/>
                      <w:szCs w:val="21"/>
                    </w:rPr>
                  </w:pPr>
                </w:p>
              </w:tc>
              <w:tc>
                <w:tcPr>
                  <w:tcW w:w="732" w:type="pct"/>
                  <w:vAlign w:val="center"/>
                </w:tcPr>
                <w:p w14:paraId="41E3B2DB">
                  <w:pPr>
                    <w:widowControl/>
                    <w:adjustRightInd w:val="0"/>
                    <w:snapToGrid w:val="0"/>
                    <w:jc w:val="center"/>
                    <w:rPr>
                      <w:kern w:val="0"/>
                      <w:szCs w:val="21"/>
                    </w:rPr>
                  </w:pPr>
                </w:p>
              </w:tc>
            </w:tr>
            <w:tr w14:paraId="07E34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1" w:type="pct"/>
                  <w:vAlign w:val="center"/>
                </w:tcPr>
                <w:p w14:paraId="590AA35D">
                  <w:pPr>
                    <w:widowControl/>
                    <w:adjustRightInd w:val="0"/>
                    <w:snapToGrid w:val="0"/>
                    <w:jc w:val="center"/>
                    <w:rPr>
                      <w:kern w:val="0"/>
                      <w:szCs w:val="21"/>
                    </w:rPr>
                  </w:pPr>
                  <w:r>
                    <w:rPr>
                      <w:kern w:val="0"/>
                      <w:szCs w:val="21"/>
                    </w:rPr>
                    <w:t>1060</w:t>
                  </w:r>
                </w:p>
              </w:tc>
              <w:tc>
                <w:tcPr>
                  <w:tcW w:w="804" w:type="pct"/>
                  <w:vAlign w:val="center"/>
                </w:tcPr>
                <w:p w14:paraId="383CFDE5">
                  <w:pPr>
                    <w:widowControl/>
                    <w:adjustRightInd w:val="0"/>
                    <w:snapToGrid w:val="0"/>
                    <w:jc w:val="center"/>
                    <w:rPr>
                      <w:kern w:val="0"/>
                      <w:szCs w:val="21"/>
                    </w:rPr>
                  </w:pPr>
                  <w:r>
                    <w:rPr>
                      <w:kern w:val="0"/>
                      <w:szCs w:val="21"/>
                    </w:rPr>
                    <w:t>1.41</w:t>
                  </w:r>
                </w:p>
                <w:p w14:paraId="40A69078">
                  <w:pPr>
                    <w:widowControl/>
                    <w:adjustRightInd w:val="0"/>
                    <w:snapToGrid w:val="0"/>
                    <w:jc w:val="center"/>
                    <w:rPr>
                      <w:kern w:val="0"/>
                      <w:szCs w:val="21"/>
                    </w:rPr>
                  </w:pPr>
                  <w:r>
                    <w:rPr>
                      <w:kern w:val="0"/>
                      <w:szCs w:val="21"/>
                    </w:rPr>
                    <w:t>（49.34）</w:t>
                  </w:r>
                </w:p>
              </w:tc>
              <w:tc>
                <w:tcPr>
                  <w:tcW w:w="730" w:type="pct"/>
                  <w:vAlign w:val="center"/>
                </w:tcPr>
                <w:p w14:paraId="1FA114A3">
                  <w:pPr>
                    <w:widowControl/>
                    <w:adjustRightInd w:val="0"/>
                    <w:snapToGrid w:val="0"/>
                    <w:jc w:val="center"/>
                    <w:rPr>
                      <w:kern w:val="0"/>
                      <w:szCs w:val="21"/>
                    </w:rPr>
                  </w:pPr>
                  <w:r>
                    <w:rPr>
                      <w:kern w:val="0"/>
                      <w:szCs w:val="21"/>
                    </w:rPr>
                    <w:t>1.41</w:t>
                  </w:r>
                </w:p>
                <w:p w14:paraId="7281E318">
                  <w:pPr>
                    <w:widowControl/>
                    <w:adjustRightInd w:val="0"/>
                    <w:snapToGrid w:val="0"/>
                    <w:jc w:val="center"/>
                    <w:rPr>
                      <w:kern w:val="0"/>
                      <w:szCs w:val="21"/>
                    </w:rPr>
                  </w:pPr>
                  <w:r>
                    <w:rPr>
                      <w:kern w:val="0"/>
                      <w:szCs w:val="21"/>
                    </w:rPr>
                    <w:t>（39.34）</w:t>
                  </w:r>
                </w:p>
              </w:tc>
              <w:tc>
                <w:tcPr>
                  <w:tcW w:w="730" w:type="pct"/>
                  <w:vAlign w:val="center"/>
                </w:tcPr>
                <w:p w14:paraId="40EC0DFC">
                  <w:pPr>
                    <w:widowControl/>
                    <w:adjustRightInd w:val="0"/>
                    <w:snapToGrid w:val="0"/>
                    <w:jc w:val="center"/>
                    <w:rPr>
                      <w:kern w:val="0"/>
                      <w:szCs w:val="21"/>
                    </w:rPr>
                  </w:pPr>
                  <w:r>
                    <w:rPr>
                      <w:kern w:val="0"/>
                      <w:szCs w:val="21"/>
                    </w:rPr>
                    <w:t>0</w:t>
                  </w:r>
                </w:p>
                <w:p w14:paraId="4C7A2D9B">
                  <w:pPr>
                    <w:widowControl/>
                    <w:adjustRightInd w:val="0"/>
                    <w:snapToGrid w:val="0"/>
                    <w:jc w:val="center"/>
                    <w:rPr>
                      <w:kern w:val="0"/>
                      <w:szCs w:val="21"/>
                    </w:rPr>
                  </w:pPr>
                  <w:r>
                    <w:rPr>
                      <w:kern w:val="0"/>
                      <w:szCs w:val="21"/>
                    </w:rPr>
                    <w:t>（10）</w:t>
                  </w:r>
                </w:p>
              </w:tc>
              <w:tc>
                <w:tcPr>
                  <w:tcW w:w="730" w:type="pct"/>
                  <w:vAlign w:val="center"/>
                </w:tcPr>
                <w:p w14:paraId="4170FE57">
                  <w:pPr>
                    <w:widowControl/>
                    <w:adjustRightInd w:val="0"/>
                    <w:snapToGrid w:val="0"/>
                    <w:jc w:val="center"/>
                    <w:rPr>
                      <w:kern w:val="0"/>
                      <w:szCs w:val="21"/>
                    </w:rPr>
                  </w:pPr>
                </w:p>
              </w:tc>
              <w:tc>
                <w:tcPr>
                  <w:tcW w:w="730" w:type="pct"/>
                  <w:vAlign w:val="center"/>
                </w:tcPr>
                <w:p w14:paraId="20CFB55A">
                  <w:pPr>
                    <w:widowControl/>
                    <w:adjustRightInd w:val="0"/>
                    <w:snapToGrid w:val="0"/>
                    <w:jc w:val="center"/>
                    <w:rPr>
                      <w:kern w:val="0"/>
                      <w:szCs w:val="21"/>
                    </w:rPr>
                  </w:pPr>
                </w:p>
              </w:tc>
              <w:tc>
                <w:tcPr>
                  <w:tcW w:w="732" w:type="pct"/>
                  <w:vAlign w:val="center"/>
                </w:tcPr>
                <w:p w14:paraId="36977C77">
                  <w:pPr>
                    <w:widowControl/>
                    <w:adjustRightInd w:val="0"/>
                    <w:snapToGrid w:val="0"/>
                    <w:jc w:val="center"/>
                    <w:rPr>
                      <w:kern w:val="0"/>
                      <w:szCs w:val="21"/>
                    </w:rPr>
                  </w:pPr>
                </w:p>
              </w:tc>
            </w:tr>
            <w:tr w14:paraId="7B859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1" w:type="pct"/>
                  <w:vAlign w:val="center"/>
                </w:tcPr>
                <w:p w14:paraId="4A6F7090">
                  <w:pPr>
                    <w:widowControl/>
                    <w:adjustRightInd w:val="0"/>
                    <w:snapToGrid w:val="0"/>
                    <w:jc w:val="center"/>
                    <w:rPr>
                      <w:kern w:val="0"/>
                      <w:szCs w:val="21"/>
                    </w:rPr>
                  </w:pPr>
                  <w:r>
                    <w:rPr>
                      <w:kern w:val="0"/>
                      <w:szCs w:val="21"/>
                    </w:rPr>
                    <w:t>1045</w:t>
                  </w:r>
                </w:p>
              </w:tc>
              <w:tc>
                <w:tcPr>
                  <w:tcW w:w="804" w:type="pct"/>
                  <w:vAlign w:val="center"/>
                </w:tcPr>
                <w:p w14:paraId="36F85474">
                  <w:pPr>
                    <w:widowControl/>
                    <w:adjustRightInd w:val="0"/>
                    <w:snapToGrid w:val="0"/>
                    <w:jc w:val="center"/>
                    <w:rPr>
                      <w:kern w:val="0"/>
                      <w:szCs w:val="21"/>
                    </w:rPr>
                  </w:pPr>
                  <w:r>
                    <w:rPr>
                      <w:kern w:val="0"/>
                      <w:szCs w:val="21"/>
                    </w:rPr>
                    <w:t>3.26</w:t>
                  </w:r>
                </w:p>
                <w:p w14:paraId="5D5976E3">
                  <w:pPr>
                    <w:widowControl/>
                    <w:adjustRightInd w:val="0"/>
                    <w:snapToGrid w:val="0"/>
                    <w:jc w:val="center"/>
                    <w:rPr>
                      <w:kern w:val="0"/>
                      <w:szCs w:val="21"/>
                    </w:rPr>
                  </w:pPr>
                  <w:r>
                    <w:rPr>
                      <w:kern w:val="0"/>
                      <w:szCs w:val="21"/>
                    </w:rPr>
                    <w:t>（42.47）</w:t>
                  </w:r>
                </w:p>
              </w:tc>
              <w:tc>
                <w:tcPr>
                  <w:tcW w:w="730" w:type="pct"/>
                  <w:vAlign w:val="center"/>
                </w:tcPr>
                <w:p w14:paraId="7C629E3C">
                  <w:pPr>
                    <w:widowControl/>
                    <w:adjustRightInd w:val="0"/>
                    <w:snapToGrid w:val="0"/>
                    <w:jc w:val="center"/>
                    <w:rPr>
                      <w:kern w:val="0"/>
                      <w:szCs w:val="21"/>
                    </w:rPr>
                  </w:pPr>
                </w:p>
              </w:tc>
              <w:tc>
                <w:tcPr>
                  <w:tcW w:w="730" w:type="pct"/>
                  <w:vAlign w:val="center"/>
                </w:tcPr>
                <w:p w14:paraId="65EA0927">
                  <w:pPr>
                    <w:widowControl/>
                    <w:adjustRightInd w:val="0"/>
                    <w:snapToGrid w:val="0"/>
                    <w:jc w:val="center"/>
                    <w:rPr>
                      <w:kern w:val="0"/>
                      <w:szCs w:val="21"/>
                    </w:rPr>
                  </w:pPr>
                  <w:r>
                    <w:rPr>
                      <w:kern w:val="0"/>
                      <w:szCs w:val="21"/>
                    </w:rPr>
                    <w:t>2.14</w:t>
                  </w:r>
                </w:p>
                <w:p w14:paraId="6ECDE3A0">
                  <w:pPr>
                    <w:widowControl/>
                    <w:adjustRightInd w:val="0"/>
                    <w:snapToGrid w:val="0"/>
                    <w:jc w:val="center"/>
                    <w:rPr>
                      <w:kern w:val="0"/>
                      <w:szCs w:val="21"/>
                    </w:rPr>
                  </w:pPr>
                  <w:r>
                    <w:rPr>
                      <w:kern w:val="0"/>
                      <w:szCs w:val="21"/>
                    </w:rPr>
                    <w:t>（30）</w:t>
                  </w:r>
                </w:p>
              </w:tc>
              <w:tc>
                <w:tcPr>
                  <w:tcW w:w="730" w:type="pct"/>
                  <w:vAlign w:val="center"/>
                </w:tcPr>
                <w:p w14:paraId="5817E54F">
                  <w:pPr>
                    <w:widowControl/>
                    <w:adjustRightInd w:val="0"/>
                    <w:snapToGrid w:val="0"/>
                    <w:jc w:val="center"/>
                    <w:rPr>
                      <w:kern w:val="0"/>
                      <w:szCs w:val="21"/>
                    </w:rPr>
                  </w:pPr>
                  <w:r>
                    <w:rPr>
                      <w:kern w:val="0"/>
                      <w:szCs w:val="21"/>
                    </w:rPr>
                    <w:t>1.12</w:t>
                  </w:r>
                </w:p>
                <w:p w14:paraId="31C94532">
                  <w:pPr>
                    <w:widowControl/>
                    <w:adjustRightInd w:val="0"/>
                    <w:snapToGrid w:val="0"/>
                    <w:jc w:val="center"/>
                    <w:rPr>
                      <w:kern w:val="0"/>
                      <w:szCs w:val="21"/>
                    </w:rPr>
                  </w:pPr>
                  <w:r>
                    <w:rPr>
                      <w:kern w:val="0"/>
                      <w:szCs w:val="21"/>
                    </w:rPr>
                    <w:t>（12.47）</w:t>
                  </w:r>
                </w:p>
              </w:tc>
              <w:tc>
                <w:tcPr>
                  <w:tcW w:w="730" w:type="pct"/>
                  <w:vAlign w:val="center"/>
                </w:tcPr>
                <w:p w14:paraId="484CBA60">
                  <w:pPr>
                    <w:widowControl/>
                    <w:adjustRightInd w:val="0"/>
                    <w:snapToGrid w:val="0"/>
                    <w:jc w:val="center"/>
                    <w:rPr>
                      <w:kern w:val="0"/>
                      <w:szCs w:val="21"/>
                    </w:rPr>
                  </w:pPr>
                </w:p>
              </w:tc>
              <w:tc>
                <w:tcPr>
                  <w:tcW w:w="732" w:type="pct"/>
                  <w:vAlign w:val="center"/>
                </w:tcPr>
                <w:p w14:paraId="1FB6E75F">
                  <w:pPr>
                    <w:widowControl/>
                    <w:adjustRightInd w:val="0"/>
                    <w:snapToGrid w:val="0"/>
                    <w:jc w:val="center"/>
                    <w:rPr>
                      <w:kern w:val="0"/>
                      <w:szCs w:val="21"/>
                    </w:rPr>
                  </w:pPr>
                </w:p>
              </w:tc>
            </w:tr>
            <w:tr w14:paraId="60A92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1" w:type="pct"/>
                  <w:vAlign w:val="center"/>
                </w:tcPr>
                <w:p w14:paraId="46DE321E">
                  <w:pPr>
                    <w:widowControl/>
                    <w:adjustRightInd w:val="0"/>
                    <w:snapToGrid w:val="0"/>
                    <w:jc w:val="center"/>
                    <w:rPr>
                      <w:kern w:val="0"/>
                      <w:szCs w:val="21"/>
                    </w:rPr>
                  </w:pPr>
                  <w:r>
                    <w:rPr>
                      <w:kern w:val="0"/>
                      <w:szCs w:val="21"/>
                    </w:rPr>
                    <w:t>1030</w:t>
                  </w:r>
                </w:p>
              </w:tc>
              <w:tc>
                <w:tcPr>
                  <w:tcW w:w="804" w:type="pct"/>
                  <w:vAlign w:val="center"/>
                </w:tcPr>
                <w:p w14:paraId="7F355342">
                  <w:pPr>
                    <w:widowControl/>
                    <w:adjustRightInd w:val="0"/>
                    <w:snapToGrid w:val="0"/>
                    <w:jc w:val="center"/>
                    <w:rPr>
                      <w:kern w:val="0"/>
                      <w:szCs w:val="21"/>
                    </w:rPr>
                  </w:pPr>
                  <w:r>
                    <w:rPr>
                      <w:kern w:val="0"/>
                      <w:szCs w:val="21"/>
                    </w:rPr>
                    <w:t>3.49</w:t>
                  </w:r>
                </w:p>
                <w:p w14:paraId="22F02F36">
                  <w:pPr>
                    <w:widowControl/>
                    <w:adjustRightInd w:val="0"/>
                    <w:snapToGrid w:val="0"/>
                    <w:jc w:val="center"/>
                    <w:rPr>
                      <w:kern w:val="0"/>
                      <w:szCs w:val="21"/>
                    </w:rPr>
                  </w:pPr>
                  <w:r>
                    <w:rPr>
                      <w:kern w:val="0"/>
                      <w:szCs w:val="21"/>
                    </w:rPr>
                    <w:t>（33.03）</w:t>
                  </w:r>
                </w:p>
              </w:tc>
              <w:tc>
                <w:tcPr>
                  <w:tcW w:w="730" w:type="pct"/>
                  <w:vAlign w:val="center"/>
                </w:tcPr>
                <w:p w14:paraId="2A8EF5B2">
                  <w:pPr>
                    <w:widowControl/>
                    <w:adjustRightInd w:val="0"/>
                    <w:snapToGrid w:val="0"/>
                    <w:jc w:val="center"/>
                    <w:rPr>
                      <w:kern w:val="0"/>
                      <w:szCs w:val="21"/>
                    </w:rPr>
                  </w:pPr>
                </w:p>
              </w:tc>
              <w:tc>
                <w:tcPr>
                  <w:tcW w:w="730" w:type="pct"/>
                  <w:vAlign w:val="center"/>
                </w:tcPr>
                <w:p w14:paraId="6683E7F5">
                  <w:pPr>
                    <w:widowControl/>
                    <w:adjustRightInd w:val="0"/>
                    <w:snapToGrid w:val="0"/>
                    <w:jc w:val="center"/>
                    <w:rPr>
                      <w:kern w:val="0"/>
                      <w:szCs w:val="21"/>
                    </w:rPr>
                  </w:pPr>
                </w:p>
              </w:tc>
              <w:tc>
                <w:tcPr>
                  <w:tcW w:w="730" w:type="pct"/>
                  <w:vAlign w:val="center"/>
                </w:tcPr>
                <w:p w14:paraId="5B378E99">
                  <w:pPr>
                    <w:widowControl/>
                    <w:adjustRightInd w:val="0"/>
                    <w:snapToGrid w:val="0"/>
                    <w:jc w:val="center"/>
                    <w:rPr>
                      <w:kern w:val="0"/>
                      <w:szCs w:val="21"/>
                    </w:rPr>
                  </w:pPr>
                  <w:r>
                    <w:rPr>
                      <w:kern w:val="0"/>
                      <w:szCs w:val="21"/>
                    </w:rPr>
                    <w:t>0.88</w:t>
                  </w:r>
                </w:p>
                <w:p w14:paraId="790D6801">
                  <w:pPr>
                    <w:widowControl/>
                    <w:adjustRightInd w:val="0"/>
                    <w:snapToGrid w:val="0"/>
                    <w:jc w:val="center"/>
                    <w:rPr>
                      <w:kern w:val="0"/>
                      <w:szCs w:val="21"/>
                    </w:rPr>
                  </w:pPr>
                  <w:r>
                    <w:rPr>
                      <w:kern w:val="0"/>
                      <w:szCs w:val="21"/>
                    </w:rPr>
                    <w:t>（13.03）</w:t>
                  </w:r>
                </w:p>
              </w:tc>
              <w:tc>
                <w:tcPr>
                  <w:tcW w:w="730" w:type="pct"/>
                  <w:vAlign w:val="center"/>
                </w:tcPr>
                <w:p w14:paraId="18D02B59">
                  <w:pPr>
                    <w:widowControl/>
                    <w:adjustRightInd w:val="0"/>
                    <w:snapToGrid w:val="0"/>
                    <w:jc w:val="center"/>
                    <w:rPr>
                      <w:kern w:val="0"/>
                      <w:szCs w:val="21"/>
                    </w:rPr>
                  </w:pPr>
                  <w:r>
                    <w:rPr>
                      <w:kern w:val="0"/>
                      <w:szCs w:val="21"/>
                    </w:rPr>
                    <w:t>2</w:t>
                  </w:r>
                </w:p>
                <w:p w14:paraId="5F403611">
                  <w:pPr>
                    <w:widowControl/>
                    <w:adjustRightInd w:val="0"/>
                    <w:snapToGrid w:val="0"/>
                    <w:jc w:val="center"/>
                    <w:rPr>
                      <w:kern w:val="0"/>
                      <w:szCs w:val="21"/>
                    </w:rPr>
                  </w:pPr>
                  <w:r>
                    <w:rPr>
                      <w:kern w:val="0"/>
                      <w:szCs w:val="21"/>
                    </w:rPr>
                    <w:t>（20）</w:t>
                  </w:r>
                </w:p>
              </w:tc>
              <w:tc>
                <w:tcPr>
                  <w:tcW w:w="732" w:type="pct"/>
                  <w:vAlign w:val="center"/>
                </w:tcPr>
                <w:p w14:paraId="12551E23">
                  <w:pPr>
                    <w:widowControl/>
                    <w:adjustRightInd w:val="0"/>
                    <w:snapToGrid w:val="0"/>
                    <w:jc w:val="center"/>
                    <w:rPr>
                      <w:kern w:val="0"/>
                      <w:szCs w:val="21"/>
                    </w:rPr>
                  </w:pPr>
                  <w:r>
                    <w:rPr>
                      <w:kern w:val="0"/>
                      <w:szCs w:val="21"/>
                    </w:rPr>
                    <w:t>0.61</w:t>
                  </w:r>
                </w:p>
                <w:p w14:paraId="7C42FD2C">
                  <w:pPr>
                    <w:widowControl/>
                    <w:adjustRightInd w:val="0"/>
                    <w:snapToGrid w:val="0"/>
                    <w:jc w:val="center"/>
                    <w:rPr>
                      <w:kern w:val="0"/>
                      <w:szCs w:val="21"/>
                    </w:rPr>
                  </w:pPr>
                  <w:r>
                    <w:rPr>
                      <w:kern w:val="0"/>
                      <w:szCs w:val="21"/>
                    </w:rPr>
                    <w:t>（0）</w:t>
                  </w:r>
                </w:p>
              </w:tc>
            </w:tr>
            <w:tr w14:paraId="555CE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1" w:type="pct"/>
                  <w:vAlign w:val="center"/>
                </w:tcPr>
                <w:p w14:paraId="1F732976">
                  <w:pPr>
                    <w:widowControl/>
                    <w:adjustRightInd w:val="0"/>
                    <w:snapToGrid w:val="0"/>
                    <w:jc w:val="center"/>
                    <w:rPr>
                      <w:kern w:val="0"/>
                      <w:szCs w:val="21"/>
                    </w:rPr>
                  </w:pPr>
                  <w:r>
                    <w:rPr>
                      <w:kern w:val="0"/>
                      <w:szCs w:val="21"/>
                    </w:rPr>
                    <w:t>1015</w:t>
                  </w:r>
                </w:p>
              </w:tc>
              <w:tc>
                <w:tcPr>
                  <w:tcW w:w="804" w:type="pct"/>
                  <w:vAlign w:val="center"/>
                </w:tcPr>
                <w:p w14:paraId="12938321">
                  <w:pPr>
                    <w:widowControl/>
                    <w:adjustRightInd w:val="0"/>
                    <w:snapToGrid w:val="0"/>
                    <w:jc w:val="center"/>
                    <w:rPr>
                      <w:kern w:val="0"/>
                      <w:szCs w:val="21"/>
                    </w:rPr>
                  </w:pPr>
                  <w:r>
                    <w:rPr>
                      <w:kern w:val="0"/>
                      <w:szCs w:val="21"/>
                    </w:rPr>
                    <w:t>1.39</w:t>
                  </w:r>
                </w:p>
                <w:p w14:paraId="6180912A">
                  <w:pPr>
                    <w:widowControl/>
                    <w:adjustRightInd w:val="0"/>
                    <w:snapToGrid w:val="0"/>
                    <w:jc w:val="center"/>
                    <w:rPr>
                      <w:kern w:val="0"/>
                      <w:szCs w:val="21"/>
                    </w:rPr>
                  </w:pPr>
                  <w:r>
                    <w:rPr>
                      <w:kern w:val="0"/>
                      <w:szCs w:val="21"/>
                    </w:rPr>
                    <w:t>（24.01）</w:t>
                  </w:r>
                </w:p>
              </w:tc>
              <w:tc>
                <w:tcPr>
                  <w:tcW w:w="730" w:type="pct"/>
                  <w:vAlign w:val="center"/>
                </w:tcPr>
                <w:p w14:paraId="7FA91535">
                  <w:pPr>
                    <w:widowControl/>
                    <w:adjustRightInd w:val="0"/>
                    <w:snapToGrid w:val="0"/>
                    <w:jc w:val="center"/>
                    <w:rPr>
                      <w:kern w:val="0"/>
                      <w:szCs w:val="21"/>
                    </w:rPr>
                  </w:pPr>
                </w:p>
              </w:tc>
              <w:tc>
                <w:tcPr>
                  <w:tcW w:w="730" w:type="pct"/>
                  <w:vAlign w:val="center"/>
                </w:tcPr>
                <w:p w14:paraId="343817FE">
                  <w:pPr>
                    <w:widowControl/>
                    <w:adjustRightInd w:val="0"/>
                    <w:snapToGrid w:val="0"/>
                    <w:jc w:val="center"/>
                    <w:rPr>
                      <w:kern w:val="0"/>
                      <w:szCs w:val="21"/>
                    </w:rPr>
                  </w:pPr>
                </w:p>
              </w:tc>
              <w:tc>
                <w:tcPr>
                  <w:tcW w:w="730" w:type="pct"/>
                  <w:vAlign w:val="center"/>
                </w:tcPr>
                <w:p w14:paraId="36E86625">
                  <w:pPr>
                    <w:widowControl/>
                    <w:adjustRightInd w:val="0"/>
                    <w:snapToGrid w:val="0"/>
                    <w:jc w:val="center"/>
                    <w:rPr>
                      <w:kern w:val="0"/>
                      <w:szCs w:val="21"/>
                    </w:rPr>
                  </w:pPr>
                </w:p>
              </w:tc>
              <w:tc>
                <w:tcPr>
                  <w:tcW w:w="730" w:type="pct"/>
                  <w:vAlign w:val="center"/>
                </w:tcPr>
                <w:p w14:paraId="6474AF6D">
                  <w:pPr>
                    <w:widowControl/>
                    <w:adjustRightInd w:val="0"/>
                    <w:snapToGrid w:val="0"/>
                    <w:jc w:val="center"/>
                    <w:rPr>
                      <w:kern w:val="0"/>
                      <w:szCs w:val="21"/>
                    </w:rPr>
                  </w:pPr>
                </w:p>
              </w:tc>
              <w:tc>
                <w:tcPr>
                  <w:tcW w:w="732" w:type="pct"/>
                  <w:vAlign w:val="center"/>
                </w:tcPr>
                <w:p w14:paraId="4CC4B64F">
                  <w:pPr>
                    <w:widowControl/>
                    <w:adjustRightInd w:val="0"/>
                    <w:snapToGrid w:val="0"/>
                    <w:jc w:val="center"/>
                    <w:rPr>
                      <w:kern w:val="0"/>
                      <w:szCs w:val="21"/>
                    </w:rPr>
                  </w:pPr>
                  <w:r>
                    <w:rPr>
                      <w:kern w:val="0"/>
                      <w:szCs w:val="21"/>
                    </w:rPr>
                    <w:t>1.39</w:t>
                  </w:r>
                </w:p>
                <w:p w14:paraId="6FED2760">
                  <w:pPr>
                    <w:widowControl/>
                    <w:adjustRightInd w:val="0"/>
                    <w:snapToGrid w:val="0"/>
                    <w:jc w:val="center"/>
                    <w:rPr>
                      <w:kern w:val="0"/>
                      <w:szCs w:val="21"/>
                    </w:rPr>
                  </w:pPr>
                  <w:r>
                    <w:rPr>
                      <w:kern w:val="0"/>
                      <w:szCs w:val="21"/>
                    </w:rPr>
                    <w:t>（24.01）</w:t>
                  </w:r>
                </w:p>
              </w:tc>
            </w:tr>
            <w:tr w14:paraId="102D2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1" w:type="pct"/>
                  <w:vAlign w:val="center"/>
                </w:tcPr>
                <w:p w14:paraId="769B7784">
                  <w:pPr>
                    <w:widowControl/>
                    <w:adjustRightInd w:val="0"/>
                    <w:snapToGrid w:val="0"/>
                    <w:jc w:val="center"/>
                    <w:rPr>
                      <w:kern w:val="0"/>
                      <w:szCs w:val="21"/>
                    </w:rPr>
                  </w:pPr>
                  <w:r>
                    <w:rPr>
                      <w:kern w:val="0"/>
                      <w:szCs w:val="21"/>
                    </w:rPr>
                    <w:t>合计</w:t>
                  </w:r>
                </w:p>
              </w:tc>
              <w:tc>
                <w:tcPr>
                  <w:tcW w:w="804" w:type="pct"/>
                  <w:vAlign w:val="center"/>
                </w:tcPr>
                <w:p w14:paraId="3C539E16">
                  <w:pPr>
                    <w:widowControl/>
                    <w:adjustRightInd w:val="0"/>
                    <w:snapToGrid w:val="0"/>
                    <w:jc w:val="center"/>
                    <w:rPr>
                      <w:kern w:val="0"/>
                      <w:szCs w:val="21"/>
                    </w:rPr>
                  </w:pPr>
                  <w:r>
                    <w:rPr>
                      <w:kern w:val="0"/>
                      <w:szCs w:val="21"/>
                    </w:rPr>
                    <w:t>10</w:t>
                  </w:r>
                </w:p>
                <w:p w14:paraId="6E62DADA">
                  <w:pPr>
                    <w:widowControl/>
                    <w:adjustRightInd w:val="0"/>
                    <w:snapToGrid w:val="0"/>
                    <w:jc w:val="center"/>
                    <w:rPr>
                      <w:kern w:val="0"/>
                      <w:szCs w:val="21"/>
                    </w:rPr>
                  </w:pPr>
                  <w:r>
                    <w:rPr>
                      <w:kern w:val="0"/>
                      <w:szCs w:val="21"/>
                    </w:rPr>
                    <w:t>（162.87）</w:t>
                  </w:r>
                </w:p>
              </w:tc>
              <w:tc>
                <w:tcPr>
                  <w:tcW w:w="730" w:type="pct"/>
                  <w:vAlign w:val="center"/>
                </w:tcPr>
                <w:p w14:paraId="53FF461D">
                  <w:pPr>
                    <w:widowControl/>
                    <w:adjustRightInd w:val="0"/>
                    <w:snapToGrid w:val="0"/>
                    <w:jc w:val="center"/>
                    <w:rPr>
                      <w:kern w:val="0"/>
                      <w:szCs w:val="21"/>
                    </w:rPr>
                  </w:pPr>
                  <w:r>
                    <w:rPr>
                      <w:kern w:val="0"/>
                      <w:szCs w:val="21"/>
                    </w:rPr>
                    <w:t>1.86</w:t>
                  </w:r>
                </w:p>
                <w:p w14:paraId="1625BA5F">
                  <w:pPr>
                    <w:widowControl/>
                    <w:adjustRightInd w:val="0"/>
                    <w:snapToGrid w:val="0"/>
                    <w:jc w:val="center"/>
                    <w:rPr>
                      <w:kern w:val="0"/>
                      <w:szCs w:val="21"/>
                    </w:rPr>
                  </w:pPr>
                  <w:r>
                    <w:rPr>
                      <w:kern w:val="0"/>
                      <w:szCs w:val="21"/>
                    </w:rPr>
                    <w:t>（53.36）</w:t>
                  </w:r>
                </w:p>
              </w:tc>
              <w:tc>
                <w:tcPr>
                  <w:tcW w:w="730" w:type="pct"/>
                  <w:vAlign w:val="center"/>
                </w:tcPr>
                <w:p w14:paraId="55369748">
                  <w:pPr>
                    <w:widowControl/>
                    <w:adjustRightInd w:val="0"/>
                    <w:snapToGrid w:val="0"/>
                    <w:jc w:val="center"/>
                    <w:rPr>
                      <w:kern w:val="0"/>
                      <w:szCs w:val="21"/>
                    </w:rPr>
                  </w:pPr>
                  <w:r>
                    <w:rPr>
                      <w:kern w:val="0"/>
                      <w:szCs w:val="21"/>
                    </w:rPr>
                    <w:t>2.14</w:t>
                  </w:r>
                </w:p>
                <w:p w14:paraId="2F3A565C">
                  <w:pPr>
                    <w:widowControl/>
                    <w:adjustRightInd w:val="0"/>
                    <w:snapToGrid w:val="0"/>
                    <w:jc w:val="center"/>
                    <w:rPr>
                      <w:kern w:val="0"/>
                      <w:szCs w:val="21"/>
                    </w:rPr>
                  </w:pPr>
                  <w:r>
                    <w:rPr>
                      <w:kern w:val="0"/>
                      <w:szCs w:val="21"/>
                    </w:rPr>
                    <w:t>（40）</w:t>
                  </w:r>
                </w:p>
              </w:tc>
              <w:tc>
                <w:tcPr>
                  <w:tcW w:w="730" w:type="pct"/>
                  <w:vAlign w:val="center"/>
                </w:tcPr>
                <w:p w14:paraId="789E665C">
                  <w:pPr>
                    <w:widowControl/>
                    <w:adjustRightInd w:val="0"/>
                    <w:snapToGrid w:val="0"/>
                    <w:jc w:val="center"/>
                    <w:rPr>
                      <w:kern w:val="0"/>
                      <w:szCs w:val="21"/>
                    </w:rPr>
                  </w:pPr>
                  <w:r>
                    <w:rPr>
                      <w:kern w:val="0"/>
                      <w:szCs w:val="21"/>
                    </w:rPr>
                    <w:t>2</w:t>
                  </w:r>
                </w:p>
                <w:p w14:paraId="0794F0B3">
                  <w:pPr>
                    <w:widowControl/>
                    <w:adjustRightInd w:val="0"/>
                    <w:snapToGrid w:val="0"/>
                    <w:jc w:val="center"/>
                    <w:rPr>
                      <w:kern w:val="0"/>
                      <w:szCs w:val="21"/>
                    </w:rPr>
                  </w:pPr>
                  <w:r>
                    <w:rPr>
                      <w:kern w:val="0"/>
                      <w:szCs w:val="21"/>
                    </w:rPr>
                    <w:t>（25.5）</w:t>
                  </w:r>
                </w:p>
              </w:tc>
              <w:tc>
                <w:tcPr>
                  <w:tcW w:w="730" w:type="pct"/>
                  <w:vAlign w:val="center"/>
                </w:tcPr>
                <w:p w14:paraId="3ECB2D8E">
                  <w:pPr>
                    <w:widowControl/>
                    <w:adjustRightInd w:val="0"/>
                    <w:snapToGrid w:val="0"/>
                    <w:jc w:val="center"/>
                    <w:rPr>
                      <w:kern w:val="0"/>
                      <w:szCs w:val="21"/>
                    </w:rPr>
                  </w:pPr>
                  <w:r>
                    <w:rPr>
                      <w:kern w:val="0"/>
                      <w:szCs w:val="21"/>
                    </w:rPr>
                    <w:t>2</w:t>
                  </w:r>
                </w:p>
                <w:p w14:paraId="6C4F8923">
                  <w:pPr>
                    <w:widowControl/>
                    <w:adjustRightInd w:val="0"/>
                    <w:snapToGrid w:val="0"/>
                    <w:jc w:val="center"/>
                    <w:rPr>
                      <w:kern w:val="0"/>
                      <w:szCs w:val="21"/>
                    </w:rPr>
                  </w:pPr>
                  <w:r>
                    <w:rPr>
                      <w:kern w:val="0"/>
                      <w:szCs w:val="21"/>
                    </w:rPr>
                    <w:t>（20）</w:t>
                  </w:r>
                </w:p>
              </w:tc>
              <w:tc>
                <w:tcPr>
                  <w:tcW w:w="732" w:type="pct"/>
                  <w:vAlign w:val="center"/>
                </w:tcPr>
                <w:p w14:paraId="6E8E8DFB">
                  <w:pPr>
                    <w:widowControl/>
                    <w:adjustRightInd w:val="0"/>
                    <w:snapToGrid w:val="0"/>
                    <w:jc w:val="center"/>
                    <w:rPr>
                      <w:kern w:val="0"/>
                      <w:szCs w:val="21"/>
                    </w:rPr>
                  </w:pPr>
                  <w:r>
                    <w:rPr>
                      <w:kern w:val="0"/>
                      <w:szCs w:val="21"/>
                    </w:rPr>
                    <w:t>2</w:t>
                  </w:r>
                </w:p>
                <w:p w14:paraId="79707A5F">
                  <w:pPr>
                    <w:widowControl/>
                    <w:adjustRightInd w:val="0"/>
                    <w:snapToGrid w:val="0"/>
                    <w:jc w:val="center"/>
                    <w:rPr>
                      <w:kern w:val="0"/>
                      <w:szCs w:val="21"/>
                    </w:rPr>
                  </w:pPr>
                  <w:r>
                    <w:rPr>
                      <w:kern w:val="0"/>
                      <w:szCs w:val="21"/>
                    </w:rPr>
                    <w:t>（24.01）</w:t>
                  </w:r>
                </w:p>
              </w:tc>
            </w:tr>
          </w:tbl>
          <w:p w14:paraId="7AEFB68D">
            <w:pPr>
              <w:keepNext w:val="0"/>
              <w:keepLines w:val="0"/>
              <w:pageBreakBefore w:val="0"/>
              <w:kinsoku/>
              <w:wordWrap/>
              <w:overflowPunct/>
              <w:topLinePunct w:val="0"/>
              <w:autoSpaceDE/>
              <w:autoSpaceDN/>
              <w:bidi w:val="0"/>
              <w:adjustRightInd/>
              <w:snapToGrid/>
              <w:spacing w:line="480" w:lineRule="exact"/>
              <w:ind w:firstLine="480" w:firstLineChars="200"/>
              <w:textAlignment w:val="auto"/>
              <w:rPr>
                <w:sz w:val="24"/>
              </w:rPr>
            </w:pPr>
            <w:r>
              <w:rPr>
                <w:sz w:val="24"/>
              </w:rPr>
              <w:t>服务期满后，服务期矿体开采境界面积约16.1157hm</w:t>
            </w:r>
            <w:r>
              <w:rPr>
                <w:sz w:val="24"/>
                <w:vertAlign w:val="superscript"/>
              </w:rPr>
              <w:t>2</w:t>
            </w:r>
            <w:r>
              <w:rPr>
                <w:sz w:val="24"/>
              </w:rPr>
              <w:t>。</w:t>
            </w:r>
            <w:r>
              <w:rPr>
                <w:sz w:val="24"/>
                <w:lang w:bidi="ar"/>
              </w:rPr>
              <w:t>矿山开采将形成</w:t>
            </w:r>
            <w:r>
              <w:rPr>
                <w:sz w:val="24"/>
              </w:rPr>
              <w:t>1075m、1060m、1045m、1030m、1015m、1000m、985m、970m八个终了阶段。</w:t>
            </w:r>
          </w:p>
          <w:bookmarkEnd w:id="9"/>
          <w:p w14:paraId="1C4D93C2">
            <w:pPr>
              <w:pStyle w:val="5"/>
              <w:keepNext w:val="0"/>
              <w:keepLines w:val="0"/>
              <w:pageBreakBefore w:val="0"/>
              <w:kinsoku/>
              <w:wordWrap/>
              <w:overflowPunct/>
              <w:topLinePunct w:val="0"/>
              <w:autoSpaceDE/>
              <w:autoSpaceDN/>
              <w:bidi w:val="0"/>
              <w:adjustRightInd/>
              <w:snapToGrid/>
              <w:spacing w:before="0" w:after="0" w:line="480" w:lineRule="exact"/>
              <w:ind w:right="0" w:firstLine="482" w:firstLineChars="200"/>
              <w:textAlignment w:val="auto"/>
              <w:rPr>
                <w:b/>
                <w:bCs/>
                <w:sz w:val="24"/>
                <w:szCs w:val="24"/>
              </w:rPr>
            </w:pPr>
            <w:r>
              <w:rPr>
                <w:rFonts w:hint="eastAsia"/>
                <w:b/>
                <w:bCs/>
                <w:sz w:val="24"/>
                <w:szCs w:val="24"/>
              </w:rPr>
              <w:t>5.</w:t>
            </w:r>
            <w:r>
              <w:rPr>
                <w:b/>
                <w:bCs/>
                <w:sz w:val="24"/>
                <w:szCs w:val="24"/>
              </w:rPr>
              <w:t>运矿道路</w:t>
            </w:r>
          </w:p>
          <w:p w14:paraId="5C8B13A9">
            <w:pPr>
              <w:keepNext w:val="0"/>
              <w:keepLines w:val="0"/>
              <w:pageBreakBefore w:val="0"/>
              <w:kinsoku/>
              <w:wordWrap/>
              <w:overflowPunct/>
              <w:topLinePunct w:val="0"/>
              <w:autoSpaceDE/>
              <w:autoSpaceDN/>
              <w:bidi w:val="0"/>
              <w:adjustRightInd/>
              <w:snapToGrid/>
              <w:spacing w:line="480" w:lineRule="exact"/>
              <w:ind w:firstLine="480" w:firstLineChars="200"/>
              <w:textAlignment w:val="auto"/>
              <w:rPr>
                <w:rFonts w:cs="宋体"/>
                <w:kern w:val="0"/>
                <w:sz w:val="24"/>
                <w:highlight w:val="red"/>
              </w:rPr>
            </w:pPr>
            <w:r>
              <w:rPr>
                <w:rFonts w:cs="宋体"/>
                <w:kern w:val="0"/>
                <w:sz w:val="24"/>
              </w:rPr>
              <w:t>该矿山为山坡露天矿，选用公路汽车开拓，设计采用山坡露天半壁堑沟公路开拓，场内直进式、场外回返式汽车运输方式。</w:t>
            </w:r>
          </w:p>
          <w:p w14:paraId="6B4B9C8A">
            <w:pPr>
              <w:keepNext w:val="0"/>
              <w:keepLines w:val="0"/>
              <w:pageBreakBefore w:val="0"/>
              <w:kinsoku/>
              <w:wordWrap/>
              <w:overflowPunct/>
              <w:topLinePunct w:val="0"/>
              <w:autoSpaceDE/>
              <w:autoSpaceDN/>
              <w:bidi w:val="0"/>
              <w:adjustRightInd/>
              <w:snapToGrid/>
              <w:spacing w:line="480" w:lineRule="exact"/>
              <w:ind w:firstLine="480" w:firstLineChars="200"/>
              <w:textAlignment w:val="auto"/>
              <w:rPr>
                <w:rFonts w:cs="宋体"/>
                <w:kern w:val="0"/>
                <w:sz w:val="24"/>
              </w:rPr>
            </w:pPr>
            <w:bookmarkStart w:id="10" w:name="_Hlk219850516"/>
            <w:r>
              <w:rPr>
                <w:rFonts w:hint="eastAsia" w:cs="宋体"/>
                <w:kern w:val="0"/>
                <w:sz w:val="24"/>
              </w:rPr>
              <w:t>本项目矿区内部分道路利用现有</w:t>
            </w:r>
            <w:r>
              <w:rPr>
                <w:rFonts w:hint="eastAsia"/>
                <w:sz w:val="24"/>
              </w:rPr>
              <w:t>道路</w:t>
            </w:r>
            <w:r>
              <w:rPr>
                <w:rFonts w:hint="eastAsia" w:cs="宋体"/>
                <w:kern w:val="0"/>
                <w:sz w:val="24"/>
              </w:rPr>
              <w:t>，部分道路为新建道路。现有道路长约3060m，宽度4.0～6.5m，占地面积</w:t>
            </w:r>
            <w:r>
              <w:rPr>
                <w:rFonts w:hint="eastAsia"/>
                <w:sz w:val="24"/>
              </w:rPr>
              <w:t>13039</w:t>
            </w:r>
            <w:r>
              <w:rPr>
                <w:rFonts w:hint="eastAsia" w:cs="宋体"/>
                <w:kern w:val="0"/>
                <w:sz w:val="24"/>
              </w:rPr>
              <w:t>m</w:t>
            </w:r>
            <w:r>
              <w:rPr>
                <w:rFonts w:hint="eastAsia" w:cs="宋体"/>
                <w:kern w:val="0"/>
                <w:sz w:val="24"/>
                <w:vertAlign w:val="superscript"/>
              </w:rPr>
              <w:t>2</w:t>
            </w:r>
            <w:r>
              <w:rPr>
                <w:rFonts w:hint="eastAsia" w:cs="宋体"/>
                <w:kern w:val="0"/>
                <w:sz w:val="24"/>
              </w:rPr>
              <w:t>，路面现状为素土路面，需改建为混凝土路面。新建道路长约350m，宽度4.0～6.5m，占地面积1500m</w:t>
            </w:r>
            <w:r>
              <w:rPr>
                <w:rFonts w:hint="eastAsia" w:cs="宋体"/>
                <w:kern w:val="0"/>
                <w:sz w:val="24"/>
                <w:vertAlign w:val="superscript"/>
              </w:rPr>
              <w:t>2</w:t>
            </w:r>
            <w:r>
              <w:rPr>
                <w:rFonts w:hint="eastAsia" w:cs="宋体"/>
                <w:kern w:val="0"/>
                <w:sz w:val="24"/>
              </w:rPr>
              <w:t>，采用混凝土硬化路面。</w:t>
            </w:r>
          </w:p>
          <w:bookmarkEnd w:id="10"/>
          <w:p w14:paraId="368F225A">
            <w:pPr>
              <w:keepNext w:val="0"/>
              <w:keepLines w:val="0"/>
              <w:pageBreakBefore w:val="0"/>
              <w:kinsoku/>
              <w:wordWrap/>
              <w:overflowPunct/>
              <w:topLinePunct w:val="0"/>
              <w:autoSpaceDE/>
              <w:autoSpaceDN/>
              <w:bidi w:val="0"/>
              <w:adjustRightInd/>
              <w:snapToGrid/>
              <w:spacing w:line="480" w:lineRule="exact"/>
              <w:ind w:firstLine="480" w:firstLineChars="200"/>
              <w:textAlignment w:val="auto"/>
              <w:rPr>
                <w:rFonts w:cs="宋体"/>
                <w:kern w:val="0"/>
                <w:sz w:val="24"/>
              </w:rPr>
            </w:pPr>
            <w:r>
              <w:rPr>
                <w:rFonts w:hint="eastAsia" w:cs="宋体"/>
                <w:kern w:val="0"/>
                <w:sz w:val="24"/>
              </w:rPr>
              <w:t>新建运矿</w:t>
            </w:r>
            <w:r>
              <w:rPr>
                <w:rFonts w:cs="宋体"/>
                <w:kern w:val="0"/>
                <w:sz w:val="24"/>
              </w:rPr>
              <w:t>道路按GBJ22-87“厂矿道路设计规范”设计，运矿道路路面宽</w:t>
            </w:r>
            <w:r>
              <w:rPr>
                <w:rFonts w:hint="eastAsia" w:cs="宋体"/>
                <w:kern w:val="0"/>
                <w:sz w:val="24"/>
              </w:rPr>
              <w:t>4.0～6.5m</w:t>
            </w:r>
            <w:r>
              <w:rPr>
                <w:rFonts w:cs="宋体"/>
                <w:kern w:val="0"/>
                <w:sz w:val="24"/>
              </w:rPr>
              <w:t>，最小曲线半径15m</w:t>
            </w:r>
            <w:r>
              <w:rPr>
                <w:rFonts w:hint="eastAsia" w:cs="宋体"/>
                <w:kern w:val="0"/>
                <w:sz w:val="24"/>
              </w:rPr>
              <w:t>，</w:t>
            </w:r>
            <w:r>
              <w:rPr>
                <w:rFonts w:cs="宋体"/>
                <w:kern w:val="0"/>
                <w:sz w:val="24"/>
              </w:rPr>
              <w:t>坡度≤3%。</w:t>
            </w:r>
          </w:p>
          <w:p w14:paraId="4B872F92">
            <w:pPr>
              <w:keepNext w:val="0"/>
              <w:keepLines w:val="0"/>
              <w:pageBreakBefore w:val="0"/>
              <w:kinsoku/>
              <w:wordWrap/>
              <w:overflowPunct/>
              <w:topLinePunct w:val="0"/>
              <w:autoSpaceDE/>
              <w:autoSpaceDN/>
              <w:bidi w:val="0"/>
              <w:adjustRightInd/>
              <w:snapToGrid/>
              <w:spacing w:line="480" w:lineRule="exact"/>
              <w:ind w:firstLine="480" w:firstLineChars="200"/>
              <w:textAlignment w:val="auto"/>
              <w:rPr>
                <w:sz w:val="24"/>
              </w:rPr>
            </w:pPr>
            <w:r>
              <w:rPr>
                <w:rFonts w:hint="eastAsia"/>
                <w:sz w:val="24"/>
              </w:rPr>
              <w:t>新建运矿道路</w:t>
            </w:r>
            <w:r>
              <w:rPr>
                <w:sz w:val="24"/>
              </w:rPr>
              <w:t>主要技术参数见下表。</w:t>
            </w:r>
          </w:p>
          <w:p w14:paraId="06AFE13F">
            <w:pPr>
              <w:keepNext w:val="0"/>
              <w:keepLines w:val="0"/>
              <w:pageBreakBefore w:val="0"/>
              <w:kinsoku/>
              <w:wordWrap/>
              <w:overflowPunct/>
              <w:topLinePunct w:val="0"/>
              <w:autoSpaceDE/>
              <w:autoSpaceDN/>
              <w:bidi w:val="0"/>
              <w:adjustRightInd/>
              <w:snapToGrid/>
              <w:spacing w:line="480" w:lineRule="exact"/>
              <w:jc w:val="center"/>
              <w:textAlignment w:val="auto"/>
              <w:rPr>
                <w:rFonts w:ascii="宋体" w:hAnsi="宋体" w:cs="宋体"/>
                <w:b/>
                <w:bCs/>
                <w:sz w:val="24"/>
              </w:rPr>
            </w:pPr>
            <w:r>
              <w:rPr>
                <w:rFonts w:hint="eastAsia" w:ascii="宋体" w:hAnsi="宋体" w:cs="宋体"/>
                <w:szCs w:val="21"/>
              </w:rPr>
              <w:t>表</w:t>
            </w:r>
            <w:r>
              <w:rPr>
                <w:rFonts w:hint="eastAsia"/>
                <w:szCs w:val="21"/>
              </w:rPr>
              <w:t>2-</w:t>
            </w:r>
            <w:r>
              <w:rPr>
                <w:szCs w:val="21"/>
              </w:rPr>
              <w:t>6</w:t>
            </w:r>
            <w:r>
              <w:rPr>
                <w:rFonts w:hint="eastAsia" w:ascii="宋体" w:hAnsi="宋体" w:cs="宋体"/>
                <w:szCs w:val="21"/>
              </w:rPr>
              <w:t xml:space="preserve"> 新建运矿道路主要技术参数表</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15"/>
              <w:gridCol w:w="3116"/>
              <w:gridCol w:w="3376"/>
            </w:tblGrid>
            <w:tr w14:paraId="0B6C6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84" w:type="pct"/>
                  <w:vAlign w:val="center"/>
                </w:tcPr>
                <w:p w14:paraId="0A0ED28E">
                  <w:pPr>
                    <w:pStyle w:val="71"/>
                    <w:rPr>
                      <w:rFonts w:ascii="Times New Roman" w:hAnsi="Times New Roman"/>
                    </w:rPr>
                  </w:pPr>
                  <w:r>
                    <w:rPr>
                      <w:rFonts w:ascii="Times New Roman" w:hAnsi="Times New Roman"/>
                    </w:rPr>
                    <w:t>运矿道路要素</w:t>
                  </w:r>
                </w:p>
              </w:tc>
              <w:tc>
                <w:tcPr>
                  <w:tcW w:w="1831" w:type="pct"/>
                  <w:vAlign w:val="center"/>
                </w:tcPr>
                <w:p w14:paraId="6BC68127">
                  <w:pPr>
                    <w:pStyle w:val="71"/>
                    <w:rPr>
                      <w:rFonts w:ascii="Times New Roman" w:hAnsi="Times New Roman"/>
                    </w:rPr>
                  </w:pPr>
                  <w:r>
                    <w:rPr>
                      <w:rFonts w:ascii="Times New Roman" w:hAnsi="Times New Roman"/>
                    </w:rPr>
                    <w:t>技术参数</w:t>
                  </w:r>
                </w:p>
              </w:tc>
              <w:tc>
                <w:tcPr>
                  <w:tcW w:w="1983" w:type="pct"/>
                  <w:vAlign w:val="center"/>
                </w:tcPr>
                <w:p w14:paraId="1ED64789">
                  <w:pPr>
                    <w:pStyle w:val="71"/>
                    <w:rPr>
                      <w:rFonts w:ascii="Times New Roman" w:hAnsi="Times New Roman"/>
                    </w:rPr>
                  </w:pPr>
                  <w:r>
                    <w:rPr>
                      <w:rFonts w:ascii="Times New Roman" w:hAnsi="Times New Roman"/>
                    </w:rPr>
                    <w:t>备注</w:t>
                  </w:r>
                </w:p>
              </w:tc>
            </w:tr>
            <w:tr w14:paraId="19FAB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84" w:type="pct"/>
                  <w:vAlign w:val="center"/>
                </w:tcPr>
                <w:p w14:paraId="690AED26">
                  <w:pPr>
                    <w:pStyle w:val="71"/>
                    <w:rPr>
                      <w:rFonts w:ascii="Times New Roman" w:hAnsi="Times New Roman"/>
                    </w:rPr>
                  </w:pPr>
                  <w:r>
                    <w:rPr>
                      <w:rFonts w:ascii="Times New Roman" w:hAnsi="Times New Roman"/>
                    </w:rPr>
                    <w:t>设计汽车速度</w:t>
                  </w:r>
                </w:p>
              </w:tc>
              <w:tc>
                <w:tcPr>
                  <w:tcW w:w="1831" w:type="pct"/>
                  <w:vAlign w:val="center"/>
                </w:tcPr>
                <w:p w14:paraId="53384F42">
                  <w:pPr>
                    <w:pStyle w:val="71"/>
                    <w:rPr>
                      <w:rFonts w:ascii="Times New Roman" w:hAnsi="Times New Roman"/>
                    </w:rPr>
                  </w:pPr>
                  <w:r>
                    <w:rPr>
                      <w:rFonts w:ascii="Times New Roman" w:hAnsi="Times New Roman"/>
                    </w:rPr>
                    <w:t>20km/小时</w:t>
                  </w:r>
                </w:p>
              </w:tc>
              <w:tc>
                <w:tcPr>
                  <w:tcW w:w="1983" w:type="pct"/>
                  <w:vAlign w:val="center"/>
                </w:tcPr>
                <w:p w14:paraId="3CA0DF0C">
                  <w:pPr>
                    <w:pStyle w:val="71"/>
                    <w:rPr>
                      <w:rFonts w:ascii="Times New Roman" w:hAnsi="Times New Roman"/>
                    </w:rPr>
                  </w:pPr>
                  <w:r>
                    <w:rPr>
                      <w:rFonts w:ascii="Times New Roman" w:hAnsi="Times New Roman"/>
                    </w:rPr>
                    <w:t>/</w:t>
                  </w:r>
                </w:p>
              </w:tc>
            </w:tr>
            <w:tr w14:paraId="262C8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84" w:type="pct"/>
                  <w:vAlign w:val="center"/>
                </w:tcPr>
                <w:p w14:paraId="6DF5D0A4">
                  <w:pPr>
                    <w:pStyle w:val="71"/>
                    <w:rPr>
                      <w:rFonts w:ascii="Times New Roman" w:hAnsi="Times New Roman"/>
                    </w:rPr>
                  </w:pPr>
                  <w:r>
                    <w:rPr>
                      <w:rFonts w:ascii="Times New Roman" w:hAnsi="Times New Roman"/>
                    </w:rPr>
                    <w:t>最小竖曲线长度</w:t>
                  </w:r>
                </w:p>
              </w:tc>
              <w:tc>
                <w:tcPr>
                  <w:tcW w:w="1831" w:type="pct"/>
                  <w:vAlign w:val="center"/>
                </w:tcPr>
                <w:p w14:paraId="41B9140D">
                  <w:pPr>
                    <w:pStyle w:val="71"/>
                    <w:rPr>
                      <w:rFonts w:ascii="Times New Roman" w:hAnsi="Times New Roman"/>
                    </w:rPr>
                  </w:pPr>
                  <w:r>
                    <w:rPr>
                      <w:rFonts w:ascii="Times New Roman" w:hAnsi="Times New Roman"/>
                    </w:rPr>
                    <w:t>20m</w:t>
                  </w:r>
                </w:p>
              </w:tc>
              <w:tc>
                <w:tcPr>
                  <w:tcW w:w="1983" w:type="pct"/>
                  <w:vAlign w:val="center"/>
                </w:tcPr>
                <w:p w14:paraId="2904D906">
                  <w:pPr>
                    <w:pStyle w:val="71"/>
                    <w:rPr>
                      <w:rFonts w:ascii="Times New Roman" w:hAnsi="Times New Roman"/>
                    </w:rPr>
                  </w:pPr>
                  <w:r>
                    <w:rPr>
                      <w:rFonts w:ascii="Times New Roman" w:hAnsi="Times New Roman"/>
                    </w:rPr>
                    <w:t>/</w:t>
                  </w:r>
                </w:p>
              </w:tc>
            </w:tr>
            <w:tr w14:paraId="46221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84" w:type="pct"/>
                  <w:vAlign w:val="center"/>
                </w:tcPr>
                <w:p w14:paraId="5D9E958A">
                  <w:pPr>
                    <w:pStyle w:val="71"/>
                    <w:rPr>
                      <w:rFonts w:ascii="Times New Roman" w:hAnsi="Times New Roman"/>
                    </w:rPr>
                  </w:pPr>
                  <w:r>
                    <w:rPr>
                      <w:rFonts w:ascii="Times New Roman" w:hAnsi="Times New Roman"/>
                    </w:rPr>
                    <w:t>最小曲线半径</w:t>
                  </w:r>
                </w:p>
              </w:tc>
              <w:tc>
                <w:tcPr>
                  <w:tcW w:w="1831" w:type="pct"/>
                  <w:vAlign w:val="center"/>
                </w:tcPr>
                <w:p w14:paraId="0C155B3F">
                  <w:pPr>
                    <w:pStyle w:val="71"/>
                    <w:rPr>
                      <w:rFonts w:ascii="Times New Roman" w:hAnsi="Times New Roman"/>
                    </w:rPr>
                  </w:pPr>
                  <w:r>
                    <w:rPr>
                      <w:rFonts w:ascii="Times New Roman" w:hAnsi="Times New Roman"/>
                    </w:rPr>
                    <w:t>15m</w:t>
                  </w:r>
                </w:p>
              </w:tc>
              <w:tc>
                <w:tcPr>
                  <w:tcW w:w="1983" w:type="pct"/>
                  <w:vAlign w:val="center"/>
                </w:tcPr>
                <w:p w14:paraId="01F1EB95">
                  <w:pPr>
                    <w:pStyle w:val="71"/>
                    <w:rPr>
                      <w:rFonts w:ascii="Times New Roman" w:hAnsi="Times New Roman"/>
                    </w:rPr>
                  </w:pPr>
                  <w:r>
                    <w:rPr>
                      <w:rFonts w:ascii="Times New Roman" w:hAnsi="Times New Roman"/>
                    </w:rPr>
                    <w:t>曲线内侧加宽1.0m</w:t>
                  </w:r>
                </w:p>
              </w:tc>
            </w:tr>
            <w:tr w14:paraId="7122D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84" w:type="pct"/>
                  <w:vMerge w:val="restart"/>
                  <w:vAlign w:val="center"/>
                </w:tcPr>
                <w:p w14:paraId="05C99CD0">
                  <w:pPr>
                    <w:pStyle w:val="71"/>
                    <w:rPr>
                      <w:rFonts w:ascii="Times New Roman" w:hAnsi="Times New Roman"/>
                    </w:rPr>
                  </w:pPr>
                  <w:r>
                    <w:rPr>
                      <w:rFonts w:ascii="Times New Roman" w:hAnsi="Times New Roman"/>
                    </w:rPr>
                    <w:t>最小视距</w:t>
                  </w:r>
                </w:p>
              </w:tc>
              <w:tc>
                <w:tcPr>
                  <w:tcW w:w="1831" w:type="pct"/>
                  <w:vAlign w:val="center"/>
                </w:tcPr>
                <w:p w14:paraId="77EA0220">
                  <w:pPr>
                    <w:pStyle w:val="71"/>
                    <w:rPr>
                      <w:rFonts w:ascii="Times New Roman" w:hAnsi="Times New Roman"/>
                    </w:rPr>
                  </w:pPr>
                  <w:r>
                    <w:rPr>
                      <w:rFonts w:ascii="Times New Roman" w:hAnsi="Times New Roman"/>
                    </w:rPr>
                    <w:t>20m</w:t>
                  </w:r>
                </w:p>
              </w:tc>
              <w:tc>
                <w:tcPr>
                  <w:tcW w:w="1983" w:type="pct"/>
                  <w:vAlign w:val="center"/>
                </w:tcPr>
                <w:p w14:paraId="59CBE1CF">
                  <w:pPr>
                    <w:pStyle w:val="71"/>
                    <w:rPr>
                      <w:rFonts w:ascii="Times New Roman" w:hAnsi="Times New Roman"/>
                    </w:rPr>
                  </w:pPr>
                  <w:r>
                    <w:rPr>
                      <w:rFonts w:ascii="Times New Roman" w:hAnsi="Times New Roman"/>
                    </w:rPr>
                    <w:t>停车视距</w:t>
                  </w:r>
                </w:p>
              </w:tc>
            </w:tr>
            <w:tr w14:paraId="4E2D3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84" w:type="pct"/>
                  <w:vMerge w:val="continue"/>
                  <w:vAlign w:val="center"/>
                </w:tcPr>
                <w:p w14:paraId="7AD16B3A">
                  <w:pPr>
                    <w:pStyle w:val="71"/>
                    <w:rPr>
                      <w:rFonts w:ascii="Times New Roman" w:hAnsi="Times New Roman"/>
                    </w:rPr>
                  </w:pPr>
                </w:p>
              </w:tc>
              <w:tc>
                <w:tcPr>
                  <w:tcW w:w="1831" w:type="pct"/>
                  <w:vAlign w:val="center"/>
                </w:tcPr>
                <w:p w14:paraId="79982C26">
                  <w:pPr>
                    <w:pStyle w:val="71"/>
                    <w:rPr>
                      <w:rFonts w:ascii="Times New Roman" w:hAnsi="Times New Roman"/>
                    </w:rPr>
                  </w:pPr>
                  <w:r>
                    <w:rPr>
                      <w:rFonts w:ascii="Times New Roman" w:hAnsi="Times New Roman"/>
                    </w:rPr>
                    <w:t>40m</w:t>
                  </w:r>
                </w:p>
              </w:tc>
              <w:tc>
                <w:tcPr>
                  <w:tcW w:w="1983" w:type="pct"/>
                  <w:vAlign w:val="center"/>
                </w:tcPr>
                <w:p w14:paraId="4F0B56C4">
                  <w:pPr>
                    <w:pStyle w:val="71"/>
                    <w:rPr>
                      <w:rFonts w:ascii="Times New Roman" w:hAnsi="Times New Roman"/>
                    </w:rPr>
                  </w:pPr>
                  <w:r>
                    <w:rPr>
                      <w:rFonts w:ascii="Times New Roman" w:hAnsi="Times New Roman"/>
                    </w:rPr>
                    <w:t>会车视距</w:t>
                  </w:r>
                </w:p>
              </w:tc>
            </w:tr>
            <w:tr w14:paraId="401AC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84" w:type="pct"/>
                  <w:vAlign w:val="center"/>
                </w:tcPr>
                <w:p w14:paraId="3AC66D6F">
                  <w:pPr>
                    <w:pStyle w:val="71"/>
                    <w:rPr>
                      <w:rFonts w:ascii="Times New Roman" w:hAnsi="Times New Roman"/>
                    </w:rPr>
                  </w:pPr>
                  <w:r>
                    <w:rPr>
                      <w:rFonts w:ascii="Times New Roman" w:hAnsi="Times New Roman"/>
                    </w:rPr>
                    <w:t>路面宽度</w:t>
                  </w:r>
                </w:p>
              </w:tc>
              <w:tc>
                <w:tcPr>
                  <w:tcW w:w="1831" w:type="pct"/>
                  <w:vAlign w:val="center"/>
                </w:tcPr>
                <w:p w14:paraId="1905D200">
                  <w:pPr>
                    <w:pStyle w:val="71"/>
                    <w:rPr>
                      <w:rFonts w:ascii="Times New Roman" w:hAnsi="Times New Roman"/>
                    </w:rPr>
                  </w:pPr>
                  <w:r>
                    <w:rPr>
                      <w:rFonts w:ascii="Times New Roman" w:hAnsi="Times New Roman"/>
                    </w:rPr>
                    <w:t>单行线4.0m，双线6.5m</w:t>
                  </w:r>
                </w:p>
              </w:tc>
              <w:tc>
                <w:tcPr>
                  <w:tcW w:w="1983" w:type="pct"/>
                  <w:vAlign w:val="center"/>
                </w:tcPr>
                <w:p w14:paraId="6E76F468">
                  <w:pPr>
                    <w:pStyle w:val="71"/>
                    <w:rPr>
                      <w:rFonts w:ascii="Times New Roman" w:hAnsi="Times New Roman"/>
                    </w:rPr>
                  </w:pPr>
                  <w:r>
                    <w:rPr>
                      <w:rFonts w:ascii="Times New Roman" w:hAnsi="Times New Roman"/>
                    </w:rPr>
                    <w:t>硬化路面</w:t>
                  </w:r>
                </w:p>
              </w:tc>
            </w:tr>
          </w:tbl>
          <w:p w14:paraId="25FB62DD">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kern w:val="0"/>
                <w:sz w:val="24"/>
              </w:rPr>
            </w:pPr>
            <w:r>
              <w:rPr>
                <w:rFonts w:hint="eastAsia"/>
                <w:kern w:val="0"/>
                <w:sz w:val="24"/>
              </w:rPr>
              <w:t>新建运矿道路靠山侧设置截（排）水沟，截（排）水沟断面为梯形，规格：0.5m（上宽）×0.4m（下宽）×0.4m（深度）。</w:t>
            </w:r>
          </w:p>
          <w:p w14:paraId="2C3F8C16">
            <w:pPr>
              <w:keepNext w:val="0"/>
              <w:keepLines w:val="0"/>
              <w:pageBreakBefore w:val="0"/>
              <w:widowControl w:val="0"/>
              <w:kinsoku/>
              <w:wordWrap/>
              <w:overflowPunct/>
              <w:topLinePunct w:val="0"/>
              <w:autoSpaceDE/>
              <w:autoSpaceDN/>
              <w:bidi w:val="0"/>
              <w:adjustRightInd/>
              <w:snapToGrid/>
              <w:spacing w:line="480" w:lineRule="exact"/>
              <w:ind w:firstLine="482" w:firstLineChars="200"/>
              <w:textAlignment w:val="auto"/>
              <w:rPr>
                <w:b/>
                <w:bCs/>
                <w:sz w:val="24"/>
              </w:rPr>
            </w:pPr>
            <w:r>
              <w:rPr>
                <w:rFonts w:hint="eastAsia"/>
                <w:b/>
                <w:bCs/>
                <w:sz w:val="24"/>
              </w:rPr>
              <w:t>6.</w:t>
            </w:r>
            <w:r>
              <w:rPr>
                <w:b/>
                <w:bCs/>
                <w:sz w:val="24"/>
              </w:rPr>
              <w:t>排土场</w:t>
            </w:r>
            <w:r>
              <w:rPr>
                <w:rFonts w:hint="eastAsia"/>
                <w:b/>
                <w:bCs/>
                <w:sz w:val="24"/>
              </w:rPr>
              <w:t>及生态恢复需土量</w:t>
            </w:r>
          </w:p>
          <w:p w14:paraId="40CCD8C2">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bCs/>
                <w:color w:val="auto"/>
                <w:sz w:val="24"/>
              </w:rPr>
            </w:pPr>
            <w:bookmarkStart w:id="11" w:name="_Hlk219844480"/>
            <w:r>
              <w:rPr>
                <w:rFonts w:hint="eastAsia"/>
                <w:color w:val="auto"/>
                <w:sz w:val="24"/>
              </w:rPr>
              <w:t>现有排土场位于矿区东北侧</w:t>
            </w:r>
            <w:r>
              <w:rPr>
                <w:color w:val="auto"/>
                <w:kern w:val="0"/>
                <w:sz w:val="24"/>
              </w:rPr>
              <w:t>，占地面积约</w:t>
            </w:r>
            <w:r>
              <w:rPr>
                <w:rFonts w:hint="eastAsia"/>
                <w:color w:val="auto"/>
                <w:kern w:val="0"/>
                <w:sz w:val="24"/>
              </w:rPr>
              <w:t>5.9595</w:t>
            </w:r>
            <w:r>
              <w:rPr>
                <w:color w:val="auto"/>
                <w:kern w:val="0"/>
                <w:sz w:val="24"/>
              </w:rPr>
              <w:t>hm</w:t>
            </w:r>
            <w:r>
              <w:rPr>
                <w:color w:val="auto"/>
                <w:kern w:val="0"/>
                <w:sz w:val="24"/>
                <w:vertAlign w:val="superscript"/>
              </w:rPr>
              <w:t>2</w:t>
            </w:r>
            <w:r>
              <w:rPr>
                <w:color w:val="auto"/>
                <w:kern w:val="0"/>
                <w:sz w:val="24"/>
              </w:rPr>
              <w:t>，</w:t>
            </w:r>
            <w:r>
              <w:rPr>
                <w:bCs/>
                <w:color w:val="auto"/>
                <w:sz w:val="24"/>
              </w:rPr>
              <w:t>排土场容积</w:t>
            </w:r>
            <w:r>
              <w:rPr>
                <w:color w:val="auto"/>
                <w:sz w:val="24"/>
              </w:rPr>
              <w:t>940.66</w:t>
            </w:r>
            <w:r>
              <w:rPr>
                <w:bCs/>
                <w:color w:val="auto"/>
                <w:sz w:val="24"/>
              </w:rPr>
              <w:t>万m</w:t>
            </w:r>
            <w:r>
              <w:rPr>
                <w:bCs/>
                <w:color w:val="auto"/>
                <w:sz w:val="24"/>
                <w:vertAlign w:val="superscript"/>
              </w:rPr>
              <w:t>3</w:t>
            </w:r>
            <w:r>
              <w:rPr>
                <w:bCs/>
                <w:color w:val="auto"/>
                <w:sz w:val="24"/>
              </w:rPr>
              <w:t>，排土场标高</w:t>
            </w:r>
            <w:r>
              <w:rPr>
                <w:rFonts w:hint="eastAsia"/>
                <w:bCs/>
                <w:color w:val="auto"/>
                <w:sz w:val="24"/>
              </w:rPr>
              <w:t>1085-904m</w:t>
            </w:r>
            <w:r>
              <w:rPr>
                <w:bCs/>
                <w:color w:val="auto"/>
                <w:sz w:val="24"/>
              </w:rPr>
              <w:t>，堆置高度</w:t>
            </w:r>
            <w:r>
              <w:rPr>
                <w:rFonts w:hint="eastAsia"/>
                <w:bCs/>
                <w:color w:val="auto"/>
                <w:sz w:val="24"/>
              </w:rPr>
              <w:t>181</w:t>
            </w:r>
            <w:r>
              <w:rPr>
                <w:bCs/>
                <w:color w:val="auto"/>
                <w:sz w:val="24"/>
              </w:rPr>
              <w:t>m。台阶高度</w:t>
            </w:r>
            <w:r>
              <w:rPr>
                <w:rFonts w:hint="eastAsia"/>
                <w:bCs/>
                <w:color w:val="auto"/>
                <w:sz w:val="24"/>
              </w:rPr>
              <w:t>20</w:t>
            </w:r>
            <w:r>
              <w:rPr>
                <w:bCs/>
                <w:color w:val="auto"/>
                <w:sz w:val="24"/>
              </w:rPr>
              <w:t>m，排土场</w:t>
            </w:r>
            <w:r>
              <w:rPr>
                <w:color w:val="auto"/>
                <w:sz w:val="24"/>
              </w:rPr>
              <w:t>坡面角45°</w:t>
            </w:r>
            <w:r>
              <w:rPr>
                <w:bCs/>
                <w:color w:val="auto"/>
                <w:sz w:val="24"/>
              </w:rPr>
              <w:t>，</w:t>
            </w:r>
            <w:r>
              <w:rPr>
                <w:color w:val="auto"/>
                <w:kern w:val="0"/>
                <w:sz w:val="24"/>
              </w:rPr>
              <w:t>马道宽5m</w:t>
            </w:r>
            <w:r>
              <w:rPr>
                <w:bCs/>
                <w:color w:val="auto"/>
                <w:sz w:val="24"/>
              </w:rPr>
              <w:t>。</w:t>
            </w:r>
          </w:p>
          <w:p w14:paraId="38204CC9">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color w:val="auto"/>
                <w:sz w:val="24"/>
                <w:highlight w:val="none"/>
                <w:lang w:bidi="ar"/>
              </w:rPr>
            </w:pPr>
            <w:r>
              <w:rPr>
                <w:rFonts w:hint="eastAsia"/>
                <w:color w:val="auto"/>
                <w:sz w:val="24"/>
                <w:highlight w:val="none"/>
              </w:rPr>
              <w:t>本项目</w:t>
            </w:r>
            <w:r>
              <w:rPr>
                <w:color w:val="auto"/>
                <w:sz w:val="24"/>
                <w:highlight w:val="none"/>
              </w:rPr>
              <w:t>外剥离产生的</w:t>
            </w:r>
            <w:r>
              <w:rPr>
                <w:rFonts w:hint="eastAsia"/>
                <w:color w:val="auto"/>
                <w:sz w:val="24"/>
                <w:highlight w:val="none"/>
              </w:rPr>
              <w:t>废土废石</w:t>
            </w:r>
            <w:r>
              <w:rPr>
                <w:color w:val="auto"/>
                <w:sz w:val="24"/>
                <w:highlight w:val="none"/>
              </w:rPr>
              <w:t>运至排土场堆排，内剥离产生的</w:t>
            </w:r>
            <w:r>
              <w:rPr>
                <w:rFonts w:hint="eastAsia"/>
                <w:color w:val="auto"/>
                <w:sz w:val="24"/>
                <w:highlight w:val="none"/>
                <w:lang w:val="en-US" w:eastAsia="zh-CN"/>
              </w:rPr>
              <w:t>大块</w:t>
            </w:r>
            <w:r>
              <w:rPr>
                <w:color w:val="auto"/>
                <w:sz w:val="24"/>
                <w:highlight w:val="none"/>
              </w:rPr>
              <w:t>碎石</w:t>
            </w:r>
            <w:r>
              <w:rPr>
                <w:rFonts w:hint="eastAsia"/>
                <w:color w:val="auto"/>
                <w:sz w:val="24"/>
                <w:highlight w:val="none"/>
                <w:lang w:eastAsia="zh-CN"/>
              </w:rPr>
              <w:t>（</w:t>
            </w:r>
            <w:r>
              <w:rPr>
                <w:rFonts w:hint="eastAsia"/>
                <w:color w:val="auto"/>
                <w:sz w:val="24"/>
                <w:highlight w:val="none"/>
                <w:lang w:val="en-US" w:eastAsia="zh-CN"/>
              </w:rPr>
              <w:t>约10万吨/年</w:t>
            </w:r>
            <w:r>
              <w:rPr>
                <w:rFonts w:hint="eastAsia"/>
                <w:color w:val="auto"/>
                <w:sz w:val="24"/>
                <w:highlight w:val="none"/>
                <w:lang w:eastAsia="zh-CN"/>
              </w:rPr>
              <w:t>）</w:t>
            </w:r>
            <w:r>
              <w:rPr>
                <w:rFonts w:hint="eastAsia"/>
                <w:color w:val="auto"/>
                <w:sz w:val="24"/>
                <w:highlight w:val="none"/>
              </w:rPr>
              <w:t>运送至本项目配套工业场地</w:t>
            </w:r>
            <w:r>
              <w:rPr>
                <w:color w:val="auto"/>
                <w:sz w:val="24"/>
                <w:highlight w:val="none"/>
              </w:rPr>
              <w:t>破碎成不同粒径的碎石进行销售</w:t>
            </w:r>
            <w:r>
              <w:rPr>
                <w:rFonts w:hint="eastAsia"/>
                <w:color w:val="auto"/>
                <w:sz w:val="24"/>
                <w:highlight w:val="none"/>
                <w:lang w:eastAsia="zh-CN"/>
              </w:rPr>
              <w:t>，</w:t>
            </w:r>
            <w:r>
              <w:rPr>
                <w:rFonts w:hint="eastAsia"/>
                <w:color w:val="auto"/>
                <w:sz w:val="24"/>
                <w:highlight w:val="none"/>
                <w:lang w:val="en-US" w:eastAsia="zh-CN"/>
              </w:rPr>
              <w:t>小块碎石直接外售</w:t>
            </w:r>
            <w:r>
              <w:rPr>
                <w:rFonts w:hint="eastAsia"/>
                <w:color w:val="auto"/>
                <w:sz w:val="24"/>
                <w:highlight w:val="none"/>
              </w:rPr>
              <w:t>。排土场</w:t>
            </w:r>
            <w:r>
              <w:rPr>
                <w:color w:val="auto"/>
                <w:sz w:val="24"/>
                <w:highlight w:val="none"/>
              </w:rPr>
              <w:t>已堆排废石408.6万m</w:t>
            </w:r>
            <w:r>
              <w:rPr>
                <w:color w:val="auto"/>
                <w:sz w:val="24"/>
                <w:highlight w:val="none"/>
                <w:vertAlign w:val="superscript"/>
              </w:rPr>
              <w:t>3</w:t>
            </w:r>
            <w:r>
              <w:rPr>
                <w:color w:val="auto"/>
                <w:sz w:val="24"/>
                <w:highlight w:val="none"/>
              </w:rPr>
              <w:t>，排土场剩余容积532.06万m</w:t>
            </w:r>
            <w:r>
              <w:rPr>
                <w:color w:val="auto"/>
                <w:sz w:val="24"/>
                <w:highlight w:val="none"/>
                <w:vertAlign w:val="superscript"/>
              </w:rPr>
              <w:t>3</w:t>
            </w:r>
            <w:r>
              <w:rPr>
                <w:rFonts w:hint="eastAsia"/>
                <w:color w:val="auto"/>
                <w:sz w:val="24"/>
                <w:highlight w:val="none"/>
              </w:rPr>
              <w:t>，</w:t>
            </w:r>
            <w:r>
              <w:rPr>
                <w:color w:val="auto"/>
                <w:sz w:val="24"/>
                <w:highlight w:val="none"/>
              </w:rPr>
              <w:t>满足外剥离量</w:t>
            </w:r>
            <w:r>
              <w:rPr>
                <w:rFonts w:hint="eastAsia"/>
                <w:color w:val="auto"/>
                <w:sz w:val="24"/>
                <w:highlight w:val="none"/>
              </w:rPr>
              <w:t>307.46</w:t>
            </w:r>
            <w:r>
              <w:rPr>
                <w:color w:val="auto"/>
                <w:sz w:val="24"/>
                <w:highlight w:val="none"/>
              </w:rPr>
              <w:t>万m</w:t>
            </w:r>
            <w:r>
              <w:rPr>
                <w:color w:val="auto"/>
                <w:sz w:val="24"/>
                <w:highlight w:val="none"/>
                <w:vertAlign w:val="superscript"/>
              </w:rPr>
              <w:t>3</w:t>
            </w:r>
            <w:r>
              <w:rPr>
                <w:color w:val="auto"/>
                <w:sz w:val="24"/>
                <w:highlight w:val="none"/>
              </w:rPr>
              <w:t>排土需求。</w:t>
            </w:r>
          </w:p>
          <w:bookmarkEnd w:id="11"/>
          <w:p w14:paraId="19EBE1F4">
            <w:pPr>
              <w:pStyle w:val="2"/>
              <w:keepNext w:val="0"/>
              <w:keepLines w:val="0"/>
              <w:pageBreakBefore w:val="0"/>
              <w:widowControl w:val="0"/>
              <w:kinsoku/>
              <w:wordWrap/>
              <w:overflowPunct/>
              <w:topLinePunct w:val="0"/>
              <w:autoSpaceDE/>
              <w:autoSpaceDN/>
              <w:bidi w:val="0"/>
              <w:adjustRightInd/>
              <w:snapToGrid/>
              <w:spacing w:after="0" w:line="480" w:lineRule="exact"/>
              <w:ind w:left="0" w:leftChars="0" w:firstLine="480" w:firstLineChars="200"/>
              <w:textAlignment w:val="auto"/>
              <w:rPr>
                <w:bCs/>
                <w:color w:val="auto"/>
                <w:sz w:val="24"/>
              </w:rPr>
            </w:pPr>
            <w:r>
              <w:rPr>
                <w:bCs/>
                <w:color w:val="auto"/>
                <w:sz w:val="24"/>
              </w:rPr>
              <w:t>排土场外部设截水沟，排土场外部汇水经截水沟排往两侧山谷将水流引至沟谷中，截（排）水沟断面为梯形，规格：0.5m（上宽）×0.4m（下宽）×0.4m（深度）</w:t>
            </w:r>
            <w:r>
              <w:rPr>
                <w:rFonts w:hint="eastAsia"/>
                <w:bCs/>
                <w:color w:val="auto"/>
                <w:sz w:val="24"/>
              </w:rPr>
              <w:t>。</w:t>
            </w:r>
          </w:p>
          <w:p w14:paraId="5E59899C">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b/>
                <w:bCs/>
                <w:color w:val="auto"/>
                <w:sz w:val="24"/>
              </w:rPr>
            </w:pPr>
            <w:r>
              <w:rPr>
                <w:color w:val="auto"/>
                <w:sz w:val="24"/>
              </w:rPr>
              <w:t>外剥离</w:t>
            </w:r>
            <w:r>
              <w:rPr>
                <w:rFonts w:hint="eastAsia"/>
                <w:color w:val="auto"/>
                <w:sz w:val="24"/>
                <w:lang w:bidi="ar"/>
              </w:rPr>
              <w:t>量为</w:t>
            </w:r>
            <w:r>
              <w:rPr>
                <w:rFonts w:hint="eastAsia"/>
                <w:color w:val="auto"/>
                <w:sz w:val="24"/>
              </w:rPr>
              <w:t>307.46</w:t>
            </w:r>
            <w:r>
              <w:rPr>
                <w:rFonts w:hint="eastAsia"/>
                <w:color w:val="auto"/>
                <w:sz w:val="24"/>
                <w:lang w:bidi="ar"/>
              </w:rPr>
              <w:t>万m</w:t>
            </w:r>
            <w:r>
              <w:rPr>
                <w:rFonts w:hint="eastAsia"/>
                <w:color w:val="auto"/>
                <w:sz w:val="24"/>
                <w:vertAlign w:val="superscript"/>
                <w:lang w:bidi="ar"/>
              </w:rPr>
              <w:t>3</w:t>
            </w:r>
            <w:r>
              <w:rPr>
                <w:rFonts w:hint="eastAsia"/>
                <w:color w:val="auto"/>
                <w:sz w:val="24"/>
                <w:lang w:bidi="ar"/>
              </w:rPr>
              <w:t>，</w:t>
            </w:r>
            <w:r>
              <w:rPr>
                <w:rFonts w:hint="eastAsia"/>
                <w:color w:val="auto"/>
                <w:sz w:val="24"/>
                <w:lang w:val="en-US" w:eastAsia="zh-CN" w:bidi="ar"/>
              </w:rPr>
              <w:t>全部为</w:t>
            </w:r>
            <w:r>
              <w:rPr>
                <w:rFonts w:hint="eastAsia"/>
                <w:color w:val="auto"/>
                <w:sz w:val="24"/>
                <w:lang w:bidi="ar"/>
              </w:rPr>
              <w:t>废石。剥离废石规范堆存于排土场</w:t>
            </w:r>
            <w:r>
              <w:rPr>
                <w:rFonts w:hint="eastAsia"/>
                <w:color w:val="auto"/>
                <w:sz w:val="24"/>
                <w:lang w:eastAsia="zh-CN" w:bidi="ar"/>
              </w:rPr>
              <w:t>。</w:t>
            </w:r>
          </w:p>
          <w:p w14:paraId="20B278FB">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eastAsia="宋体"/>
                <w:color w:val="auto"/>
                <w:sz w:val="24"/>
                <w:lang w:val="en-US" w:eastAsia="zh-CN"/>
              </w:rPr>
            </w:pPr>
            <w:r>
              <w:rPr>
                <w:rFonts w:hint="eastAsia"/>
                <w:color w:val="auto"/>
                <w:sz w:val="24"/>
                <w:lang w:val="en-US" w:eastAsia="zh-CN"/>
              </w:rPr>
              <w:t>由</w:t>
            </w:r>
            <w:r>
              <w:rPr>
                <w:rFonts w:hint="eastAsia"/>
                <w:color w:val="auto"/>
                <w:sz w:val="24"/>
              </w:rPr>
              <w:t>《山西省盂县石鑫矿业有限公司饰面用花岗岩矿资源开发利用和矿山环境保护与土地复垦方案》</w:t>
            </w:r>
            <w:r>
              <w:rPr>
                <w:rFonts w:hint="eastAsia"/>
                <w:color w:val="auto"/>
                <w:sz w:val="24"/>
                <w:lang w:val="en-US" w:eastAsia="zh-CN"/>
              </w:rPr>
              <w:t>可知，现有排土场表土堆存区暂存有资源整合前矿山开采时剥离的表土，暂存表土21.96</w:t>
            </w:r>
            <w:r>
              <w:rPr>
                <w:color w:val="auto"/>
                <w:kern w:val="0"/>
                <w:szCs w:val="21"/>
                <w:lang w:bidi="ar"/>
              </w:rPr>
              <w:t>万m</w:t>
            </w:r>
            <w:r>
              <w:rPr>
                <w:color w:val="auto"/>
                <w:kern w:val="0"/>
                <w:szCs w:val="21"/>
                <w:vertAlign w:val="superscript"/>
                <w:lang w:bidi="ar"/>
              </w:rPr>
              <w:t>3</w:t>
            </w:r>
            <w:r>
              <w:rPr>
                <w:rFonts w:hint="eastAsia"/>
                <w:color w:val="auto"/>
                <w:kern w:val="0"/>
                <w:szCs w:val="21"/>
                <w:vertAlign w:val="baseline"/>
                <w:lang w:eastAsia="zh-CN" w:bidi="ar"/>
              </w:rPr>
              <w:t>。</w:t>
            </w:r>
          </w:p>
          <w:p w14:paraId="220BDA9E">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表</w:t>
            </w:r>
            <w:r>
              <w:rPr>
                <w:rFonts w:hint="eastAsia"/>
                <w:color w:val="auto"/>
                <w:kern w:val="0"/>
                <w:szCs w:val="21"/>
                <w:highlight w:val="none"/>
                <w:lang w:bidi="ar"/>
              </w:rPr>
              <w:t>2-</w:t>
            </w:r>
            <w:r>
              <w:rPr>
                <w:color w:val="auto"/>
                <w:kern w:val="0"/>
                <w:szCs w:val="21"/>
                <w:highlight w:val="none"/>
                <w:lang w:bidi="ar"/>
              </w:rPr>
              <w:t>7</w:t>
            </w:r>
            <w:r>
              <w:rPr>
                <w:rFonts w:hint="eastAsia" w:ascii="宋体" w:hAnsi="宋体" w:cs="宋体"/>
                <w:color w:val="auto"/>
                <w:kern w:val="0"/>
                <w:szCs w:val="21"/>
                <w:highlight w:val="none"/>
                <w:lang w:bidi="ar"/>
              </w:rPr>
              <w:t xml:space="preserve">  覆土土方量统计表</w:t>
            </w:r>
          </w:p>
          <w:tbl>
            <w:tblPr>
              <w:tblStyle w:val="29"/>
              <w:tblW w:w="4923" w:type="pct"/>
              <w:tblInd w:w="0" w:type="dxa"/>
              <w:tblLayout w:type="autofit"/>
              <w:tblCellMar>
                <w:top w:w="0" w:type="dxa"/>
                <w:left w:w="108" w:type="dxa"/>
                <w:bottom w:w="0" w:type="dxa"/>
                <w:right w:w="108" w:type="dxa"/>
              </w:tblCellMar>
            </w:tblPr>
            <w:tblGrid>
              <w:gridCol w:w="1032"/>
              <w:gridCol w:w="2668"/>
              <w:gridCol w:w="1562"/>
              <w:gridCol w:w="1562"/>
              <w:gridCol w:w="1562"/>
            </w:tblGrid>
            <w:tr w14:paraId="2BB6589F">
              <w:tblPrEx>
                <w:tblCellMar>
                  <w:top w:w="0" w:type="dxa"/>
                  <w:left w:w="108" w:type="dxa"/>
                  <w:bottom w:w="0" w:type="dxa"/>
                  <w:right w:w="108" w:type="dxa"/>
                </w:tblCellMar>
              </w:tblPrEx>
              <w:trPr>
                <w:trHeight w:val="454" w:hRule="atLeast"/>
              </w:trPr>
              <w:tc>
                <w:tcPr>
                  <w:tcW w:w="220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ECA98B3">
                  <w:pPr>
                    <w:widowControl/>
                    <w:jc w:val="center"/>
                    <w:textAlignment w:val="center"/>
                    <w:rPr>
                      <w:color w:val="auto"/>
                      <w:szCs w:val="21"/>
                    </w:rPr>
                  </w:pPr>
                  <w:r>
                    <w:rPr>
                      <w:color w:val="auto"/>
                      <w:kern w:val="0"/>
                      <w:szCs w:val="21"/>
                      <w:lang w:bidi="ar"/>
                    </w:rPr>
                    <w:t>供需土区域</w:t>
                  </w:r>
                </w:p>
              </w:tc>
              <w:tc>
                <w:tcPr>
                  <w:tcW w:w="9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4BDC11">
                  <w:pPr>
                    <w:widowControl/>
                    <w:jc w:val="center"/>
                    <w:textAlignment w:val="center"/>
                    <w:rPr>
                      <w:color w:val="auto"/>
                      <w:szCs w:val="21"/>
                    </w:rPr>
                  </w:pPr>
                  <w:r>
                    <w:rPr>
                      <w:color w:val="auto"/>
                      <w:kern w:val="0"/>
                      <w:szCs w:val="21"/>
                      <w:lang w:bidi="ar"/>
                    </w:rPr>
                    <w:t>面积</w:t>
                  </w:r>
                  <w:r>
                    <w:rPr>
                      <w:rFonts w:hint="eastAsia"/>
                      <w:color w:val="auto"/>
                      <w:kern w:val="0"/>
                      <w:szCs w:val="21"/>
                      <w:lang w:bidi="ar"/>
                    </w:rPr>
                    <w:t>（</w:t>
                  </w:r>
                  <w:r>
                    <w:rPr>
                      <w:color w:val="auto"/>
                      <w:kern w:val="0"/>
                      <w:szCs w:val="21"/>
                      <w:lang w:bidi="ar"/>
                    </w:rPr>
                    <w:t>hm</w:t>
                  </w:r>
                  <w:r>
                    <w:rPr>
                      <w:color w:val="auto"/>
                      <w:kern w:val="0"/>
                      <w:szCs w:val="21"/>
                      <w:vertAlign w:val="superscript"/>
                      <w:lang w:bidi="ar"/>
                    </w:rPr>
                    <w:t>2</w:t>
                  </w:r>
                  <w:r>
                    <w:rPr>
                      <w:rFonts w:hint="eastAsia"/>
                      <w:color w:val="auto"/>
                      <w:kern w:val="0"/>
                      <w:szCs w:val="21"/>
                      <w:vertAlign w:val="baseline"/>
                      <w:lang w:bidi="ar"/>
                    </w:rPr>
                    <w:t>）</w:t>
                  </w:r>
                </w:p>
              </w:tc>
              <w:tc>
                <w:tcPr>
                  <w:tcW w:w="9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208DCC">
                  <w:pPr>
                    <w:widowControl/>
                    <w:jc w:val="center"/>
                    <w:textAlignment w:val="center"/>
                    <w:rPr>
                      <w:color w:val="auto"/>
                      <w:szCs w:val="21"/>
                    </w:rPr>
                  </w:pPr>
                  <w:r>
                    <w:rPr>
                      <w:color w:val="auto"/>
                      <w:kern w:val="0"/>
                      <w:szCs w:val="21"/>
                      <w:lang w:bidi="ar"/>
                    </w:rPr>
                    <w:t>厚度</w:t>
                  </w:r>
                  <w:r>
                    <w:rPr>
                      <w:rFonts w:hint="eastAsia"/>
                      <w:color w:val="auto"/>
                      <w:kern w:val="0"/>
                      <w:szCs w:val="21"/>
                      <w:lang w:bidi="ar"/>
                    </w:rPr>
                    <w:t>（</w:t>
                  </w:r>
                  <w:r>
                    <w:rPr>
                      <w:color w:val="auto"/>
                      <w:kern w:val="0"/>
                      <w:szCs w:val="21"/>
                      <w:lang w:bidi="ar"/>
                    </w:rPr>
                    <w:t>m</w:t>
                  </w:r>
                  <w:r>
                    <w:rPr>
                      <w:rFonts w:hint="eastAsia"/>
                      <w:color w:val="auto"/>
                      <w:kern w:val="0"/>
                      <w:szCs w:val="21"/>
                      <w:lang w:bidi="ar"/>
                    </w:rPr>
                    <w:t>）</w:t>
                  </w:r>
                </w:p>
              </w:tc>
              <w:tc>
                <w:tcPr>
                  <w:tcW w:w="9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36DB85">
                  <w:pPr>
                    <w:widowControl/>
                    <w:jc w:val="center"/>
                    <w:textAlignment w:val="center"/>
                    <w:rPr>
                      <w:color w:val="auto"/>
                      <w:szCs w:val="21"/>
                    </w:rPr>
                  </w:pPr>
                  <w:r>
                    <w:rPr>
                      <w:color w:val="auto"/>
                      <w:kern w:val="0"/>
                      <w:szCs w:val="21"/>
                      <w:lang w:bidi="ar"/>
                    </w:rPr>
                    <w:t>土量</w:t>
                  </w:r>
                  <w:r>
                    <w:rPr>
                      <w:rFonts w:hint="eastAsia"/>
                      <w:color w:val="auto"/>
                      <w:kern w:val="0"/>
                      <w:szCs w:val="21"/>
                      <w:lang w:bidi="ar"/>
                    </w:rPr>
                    <w:t>（</w:t>
                  </w:r>
                  <w:r>
                    <w:rPr>
                      <w:color w:val="auto"/>
                      <w:kern w:val="0"/>
                      <w:szCs w:val="21"/>
                      <w:lang w:bidi="ar"/>
                    </w:rPr>
                    <w:t>万m</w:t>
                  </w:r>
                  <w:r>
                    <w:rPr>
                      <w:color w:val="auto"/>
                      <w:kern w:val="0"/>
                      <w:szCs w:val="21"/>
                      <w:vertAlign w:val="superscript"/>
                      <w:lang w:bidi="ar"/>
                    </w:rPr>
                    <w:t>3</w:t>
                  </w:r>
                  <w:r>
                    <w:rPr>
                      <w:rFonts w:hint="eastAsia"/>
                      <w:color w:val="auto"/>
                      <w:kern w:val="0"/>
                      <w:szCs w:val="21"/>
                      <w:vertAlign w:val="baseline"/>
                      <w:lang w:bidi="ar"/>
                    </w:rPr>
                    <w:t>）</w:t>
                  </w:r>
                </w:p>
              </w:tc>
            </w:tr>
            <w:tr w14:paraId="2E2A52D3">
              <w:tblPrEx>
                <w:tblCellMar>
                  <w:top w:w="0" w:type="dxa"/>
                  <w:left w:w="108" w:type="dxa"/>
                  <w:bottom w:w="0" w:type="dxa"/>
                  <w:right w:w="108" w:type="dxa"/>
                </w:tblCellMar>
              </w:tblPrEx>
              <w:trPr>
                <w:trHeight w:val="454" w:hRule="atLeast"/>
              </w:trPr>
              <w:tc>
                <w:tcPr>
                  <w:tcW w:w="61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20E3817">
                  <w:pPr>
                    <w:widowControl/>
                    <w:jc w:val="center"/>
                    <w:textAlignment w:val="center"/>
                    <w:rPr>
                      <w:color w:val="auto"/>
                      <w:szCs w:val="21"/>
                    </w:rPr>
                  </w:pPr>
                  <w:r>
                    <w:rPr>
                      <w:color w:val="auto"/>
                      <w:kern w:val="0"/>
                      <w:szCs w:val="21"/>
                      <w:lang w:bidi="ar"/>
                    </w:rPr>
                    <w:t>供土分析</w:t>
                  </w:r>
                </w:p>
              </w:tc>
              <w:tc>
                <w:tcPr>
                  <w:tcW w:w="1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CA02CD">
                  <w:pPr>
                    <w:widowControl/>
                    <w:jc w:val="center"/>
                    <w:textAlignment w:val="center"/>
                    <w:rPr>
                      <w:color w:val="auto"/>
                      <w:szCs w:val="21"/>
                    </w:rPr>
                  </w:pPr>
                  <w:r>
                    <w:rPr>
                      <w:rFonts w:hint="eastAsia"/>
                      <w:color w:val="auto"/>
                      <w:kern w:val="0"/>
                    </w:rPr>
                    <w:t>排土场</w:t>
                  </w:r>
                </w:p>
              </w:tc>
              <w:tc>
                <w:tcPr>
                  <w:tcW w:w="9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E2783D">
                  <w:pPr>
                    <w:widowControl/>
                    <w:jc w:val="center"/>
                    <w:textAlignment w:val="center"/>
                    <w:rPr>
                      <w:color w:val="auto"/>
                      <w:szCs w:val="21"/>
                    </w:rPr>
                  </w:pPr>
                  <w:r>
                    <w:rPr>
                      <w:rFonts w:hint="eastAsia"/>
                      <w:color w:val="auto"/>
                      <w:kern w:val="0"/>
                      <w:szCs w:val="21"/>
                      <w:lang w:bidi="ar"/>
                    </w:rPr>
                    <w:t>/</w:t>
                  </w:r>
                </w:p>
              </w:tc>
              <w:tc>
                <w:tcPr>
                  <w:tcW w:w="9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E7B02E">
                  <w:pPr>
                    <w:widowControl/>
                    <w:jc w:val="center"/>
                    <w:textAlignment w:val="center"/>
                    <w:rPr>
                      <w:color w:val="auto"/>
                      <w:szCs w:val="21"/>
                    </w:rPr>
                  </w:pPr>
                  <w:r>
                    <w:rPr>
                      <w:rFonts w:hint="eastAsia"/>
                      <w:color w:val="auto"/>
                      <w:kern w:val="0"/>
                      <w:szCs w:val="21"/>
                      <w:lang w:bidi="ar"/>
                    </w:rPr>
                    <w:t>/</w:t>
                  </w:r>
                </w:p>
              </w:tc>
              <w:tc>
                <w:tcPr>
                  <w:tcW w:w="9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2995DE">
                  <w:pPr>
                    <w:widowControl/>
                    <w:jc w:val="center"/>
                    <w:textAlignment w:val="center"/>
                    <w:rPr>
                      <w:color w:val="auto"/>
                      <w:szCs w:val="21"/>
                    </w:rPr>
                  </w:pPr>
                  <w:r>
                    <w:rPr>
                      <w:rFonts w:hint="eastAsia"/>
                      <w:color w:val="auto"/>
                      <w:szCs w:val="21"/>
                    </w:rPr>
                    <w:t>21.96</w:t>
                  </w:r>
                </w:p>
              </w:tc>
            </w:tr>
            <w:tr w14:paraId="1E24C627">
              <w:tblPrEx>
                <w:tblCellMar>
                  <w:top w:w="0" w:type="dxa"/>
                  <w:left w:w="108" w:type="dxa"/>
                  <w:bottom w:w="0" w:type="dxa"/>
                  <w:right w:w="108" w:type="dxa"/>
                </w:tblCellMar>
              </w:tblPrEx>
              <w:trPr>
                <w:trHeight w:val="454" w:hRule="atLeast"/>
              </w:trPr>
              <w:tc>
                <w:tcPr>
                  <w:tcW w:w="6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5333A4">
                  <w:pPr>
                    <w:widowControl/>
                    <w:jc w:val="center"/>
                    <w:rPr>
                      <w:color w:val="auto"/>
                      <w:szCs w:val="21"/>
                    </w:rPr>
                  </w:pPr>
                </w:p>
              </w:tc>
              <w:tc>
                <w:tcPr>
                  <w:tcW w:w="1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A1779C">
                  <w:pPr>
                    <w:widowControl/>
                    <w:jc w:val="center"/>
                    <w:textAlignment w:val="center"/>
                    <w:rPr>
                      <w:color w:val="auto"/>
                      <w:szCs w:val="21"/>
                    </w:rPr>
                  </w:pPr>
                  <w:r>
                    <w:rPr>
                      <w:color w:val="auto"/>
                      <w:kern w:val="0"/>
                      <w:szCs w:val="21"/>
                      <w:lang w:bidi="ar"/>
                    </w:rPr>
                    <w:t>合计</w:t>
                  </w:r>
                </w:p>
              </w:tc>
              <w:tc>
                <w:tcPr>
                  <w:tcW w:w="9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33BB77">
                  <w:pPr>
                    <w:widowControl/>
                    <w:jc w:val="center"/>
                    <w:textAlignment w:val="center"/>
                    <w:rPr>
                      <w:color w:val="auto"/>
                      <w:szCs w:val="21"/>
                    </w:rPr>
                  </w:pPr>
                  <w:r>
                    <w:rPr>
                      <w:rFonts w:hint="eastAsia"/>
                      <w:color w:val="auto"/>
                      <w:kern w:val="0"/>
                      <w:szCs w:val="21"/>
                      <w:lang w:bidi="ar"/>
                    </w:rPr>
                    <w:t>/</w:t>
                  </w:r>
                </w:p>
              </w:tc>
              <w:tc>
                <w:tcPr>
                  <w:tcW w:w="9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A1CD90">
                  <w:pPr>
                    <w:widowControl/>
                    <w:jc w:val="center"/>
                    <w:textAlignment w:val="center"/>
                    <w:rPr>
                      <w:color w:val="auto"/>
                      <w:szCs w:val="21"/>
                    </w:rPr>
                  </w:pPr>
                  <w:r>
                    <w:rPr>
                      <w:rFonts w:hint="eastAsia"/>
                      <w:color w:val="auto"/>
                      <w:kern w:val="0"/>
                      <w:szCs w:val="21"/>
                      <w:lang w:bidi="ar"/>
                    </w:rPr>
                    <w:t>/</w:t>
                  </w:r>
                </w:p>
              </w:tc>
              <w:tc>
                <w:tcPr>
                  <w:tcW w:w="9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845947">
                  <w:pPr>
                    <w:widowControl/>
                    <w:jc w:val="center"/>
                    <w:textAlignment w:val="center"/>
                    <w:rPr>
                      <w:color w:val="auto"/>
                      <w:szCs w:val="21"/>
                    </w:rPr>
                  </w:pPr>
                  <w:r>
                    <w:rPr>
                      <w:rFonts w:hint="eastAsia"/>
                      <w:color w:val="auto"/>
                      <w:szCs w:val="21"/>
                    </w:rPr>
                    <w:t>21.96</w:t>
                  </w:r>
                </w:p>
              </w:tc>
            </w:tr>
            <w:tr w14:paraId="4B4B6D27">
              <w:tblPrEx>
                <w:tblCellMar>
                  <w:top w:w="0" w:type="dxa"/>
                  <w:left w:w="108" w:type="dxa"/>
                  <w:bottom w:w="0" w:type="dxa"/>
                  <w:right w:w="108" w:type="dxa"/>
                </w:tblCellMar>
              </w:tblPrEx>
              <w:trPr>
                <w:trHeight w:val="454" w:hRule="atLeast"/>
              </w:trPr>
              <w:tc>
                <w:tcPr>
                  <w:tcW w:w="61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5DC41C0">
                  <w:pPr>
                    <w:widowControl/>
                    <w:jc w:val="center"/>
                    <w:textAlignment w:val="center"/>
                    <w:rPr>
                      <w:color w:val="auto"/>
                      <w:szCs w:val="21"/>
                    </w:rPr>
                  </w:pPr>
                  <w:r>
                    <w:rPr>
                      <w:color w:val="auto"/>
                      <w:kern w:val="0"/>
                      <w:szCs w:val="21"/>
                      <w:lang w:bidi="ar"/>
                    </w:rPr>
                    <w:t>需土分析</w:t>
                  </w:r>
                </w:p>
              </w:tc>
              <w:tc>
                <w:tcPr>
                  <w:tcW w:w="1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F4D380">
                  <w:pPr>
                    <w:jc w:val="center"/>
                    <w:rPr>
                      <w:color w:val="auto"/>
                    </w:rPr>
                  </w:pPr>
                  <w:r>
                    <w:rPr>
                      <w:rFonts w:hint="eastAsia"/>
                      <w:color w:val="auto"/>
                    </w:rPr>
                    <w:t>已采区</w:t>
                  </w:r>
                </w:p>
              </w:tc>
              <w:tc>
                <w:tcPr>
                  <w:tcW w:w="9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697204">
                  <w:pPr>
                    <w:jc w:val="center"/>
                    <w:rPr>
                      <w:rFonts w:hint="default" w:eastAsia="宋体"/>
                      <w:color w:val="auto"/>
                      <w:lang w:val="en-US" w:eastAsia="zh-CN"/>
                    </w:rPr>
                  </w:pPr>
                  <w:r>
                    <w:rPr>
                      <w:color w:val="auto"/>
                    </w:rPr>
                    <w:t>9.</w:t>
                  </w:r>
                  <w:r>
                    <w:rPr>
                      <w:rFonts w:hint="eastAsia"/>
                      <w:color w:val="auto"/>
                      <w:lang w:val="en-US" w:eastAsia="zh-CN"/>
                    </w:rPr>
                    <w:t>3020</w:t>
                  </w:r>
                </w:p>
              </w:tc>
              <w:tc>
                <w:tcPr>
                  <w:tcW w:w="9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2F317E">
                  <w:pPr>
                    <w:widowControl/>
                    <w:jc w:val="center"/>
                    <w:textAlignment w:val="center"/>
                    <w:rPr>
                      <w:color w:val="auto"/>
                      <w:szCs w:val="21"/>
                    </w:rPr>
                  </w:pPr>
                  <w:r>
                    <w:rPr>
                      <w:color w:val="auto"/>
                      <w:kern w:val="0"/>
                      <w:szCs w:val="21"/>
                      <w:lang w:bidi="ar"/>
                    </w:rPr>
                    <w:t>0.5</w:t>
                  </w:r>
                </w:p>
              </w:tc>
              <w:tc>
                <w:tcPr>
                  <w:tcW w:w="9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A50E8B">
                  <w:pPr>
                    <w:jc w:val="center"/>
                    <w:rPr>
                      <w:rFonts w:hint="default" w:eastAsia="宋体"/>
                      <w:color w:val="auto"/>
                      <w:lang w:val="en-US" w:eastAsia="zh-CN"/>
                    </w:rPr>
                  </w:pPr>
                  <w:r>
                    <w:rPr>
                      <w:color w:val="auto"/>
                    </w:rPr>
                    <w:t>4.</w:t>
                  </w:r>
                  <w:r>
                    <w:rPr>
                      <w:rFonts w:hint="eastAsia"/>
                      <w:color w:val="auto"/>
                      <w:lang w:val="en-US" w:eastAsia="zh-CN"/>
                    </w:rPr>
                    <w:t>6510</w:t>
                  </w:r>
                </w:p>
              </w:tc>
            </w:tr>
            <w:tr w14:paraId="7DE4A8F8">
              <w:tblPrEx>
                <w:tblCellMar>
                  <w:top w:w="0" w:type="dxa"/>
                  <w:left w:w="108" w:type="dxa"/>
                  <w:bottom w:w="0" w:type="dxa"/>
                  <w:right w:w="108" w:type="dxa"/>
                </w:tblCellMar>
              </w:tblPrEx>
              <w:trPr>
                <w:trHeight w:val="454" w:hRule="atLeast"/>
              </w:trPr>
              <w:tc>
                <w:tcPr>
                  <w:tcW w:w="6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FAC071">
                  <w:pPr>
                    <w:widowControl/>
                    <w:jc w:val="center"/>
                    <w:rPr>
                      <w:color w:val="auto"/>
                      <w:szCs w:val="21"/>
                    </w:rPr>
                  </w:pPr>
                </w:p>
              </w:tc>
              <w:tc>
                <w:tcPr>
                  <w:tcW w:w="1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AFB003">
                  <w:pPr>
                    <w:jc w:val="center"/>
                    <w:rPr>
                      <w:color w:val="auto"/>
                    </w:rPr>
                  </w:pPr>
                  <w:r>
                    <w:rPr>
                      <w:rFonts w:hint="eastAsia"/>
                      <w:color w:val="auto"/>
                    </w:rPr>
                    <w:t>露天采场底平台</w:t>
                  </w:r>
                </w:p>
              </w:tc>
              <w:tc>
                <w:tcPr>
                  <w:tcW w:w="9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AE2A6A">
                  <w:pPr>
                    <w:jc w:val="center"/>
                    <w:rPr>
                      <w:color w:val="auto"/>
                    </w:rPr>
                  </w:pPr>
                  <w:r>
                    <w:rPr>
                      <w:color w:val="auto"/>
                    </w:rPr>
                    <w:t>3.7869</w:t>
                  </w:r>
                </w:p>
              </w:tc>
              <w:tc>
                <w:tcPr>
                  <w:tcW w:w="9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194EAD">
                  <w:pPr>
                    <w:widowControl/>
                    <w:jc w:val="center"/>
                    <w:textAlignment w:val="center"/>
                    <w:rPr>
                      <w:color w:val="auto"/>
                      <w:szCs w:val="21"/>
                    </w:rPr>
                  </w:pPr>
                  <w:r>
                    <w:rPr>
                      <w:rFonts w:hint="eastAsia"/>
                      <w:color w:val="auto"/>
                      <w:szCs w:val="21"/>
                    </w:rPr>
                    <w:t>0.</w:t>
                  </w:r>
                  <w:r>
                    <w:rPr>
                      <w:color w:val="auto"/>
                      <w:szCs w:val="21"/>
                    </w:rPr>
                    <w:t>8</w:t>
                  </w:r>
                </w:p>
              </w:tc>
              <w:tc>
                <w:tcPr>
                  <w:tcW w:w="9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87249B">
                  <w:pPr>
                    <w:jc w:val="center"/>
                    <w:rPr>
                      <w:color w:val="auto"/>
                    </w:rPr>
                  </w:pPr>
                  <w:r>
                    <w:rPr>
                      <w:color w:val="auto"/>
                    </w:rPr>
                    <w:t>3.0295</w:t>
                  </w:r>
                </w:p>
              </w:tc>
            </w:tr>
            <w:tr w14:paraId="39E2CEE7">
              <w:tblPrEx>
                <w:tblCellMar>
                  <w:top w:w="0" w:type="dxa"/>
                  <w:left w:w="108" w:type="dxa"/>
                  <w:bottom w:w="0" w:type="dxa"/>
                  <w:right w:w="108" w:type="dxa"/>
                </w:tblCellMar>
              </w:tblPrEx>
              <w:trPr>
                <w:trHeight w:val="454" w:hRule="atLeast"/>
              </w:trPr>
              <w:tc>
                <w:tcPr>
                  <w:tcW w:w="6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909BA3">
                  <w:pPr>
                    <w:widowControl/>
                    <w:jc w:val="center"/>
                    <w:rPr>
                      <w:color w:val="auto"/>
                      <w:szCs w:val="21"/>
                    </w:rPr>
                  </w:pPr>
                </w:p>
              </w:tc>
              <w:tc>
                <w:tcPr>
                  <w:tcW w:w="1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BFD450">
                  <w:pPr>
                    <w:jc w:val="center"/>
                    <w:rPr>
                      <w:color w:val="auto"/>
                    </w:rPr>
                  </w:pPr>
                  <w:r>
                    <w:rPr>
                      <w:rFonts w:hint="eastAsia"/>
                      <w:color w:val="auto"/>
                    </w:rPr>
                    <w:t>露天采场台阶平台</w:t>
                  </w:r>
                </w:p>
              </w:tc>
              <w:tc>
                <w:tcPr>
                  <w:tcW w:w="9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04D33C">
                  <w:pPr>
                    <w:jc w:val="center"/>
                    <w:rPr>
                      <w:color w:val="auto"/>
                    </w:rPr>
                  </w:pPr>
                  <w:r>
                    <w:rPr>
                      <w:color w:val="auto"/>
                    </w:rPr>
                    <w:t>5.9282</w:t>
                  </w:r>
                </w:p>
              </w:tc>
              <w:tc>
                <w:tcPr>
                  <w:tcW w:w="9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FEACE1">
                  <w:pPr>
                    <w:widowControl/>
                    <w:jc w:val="center"/>
                    <w:textAlignment w:val="center"/>
                    <w:rPr>
                      <w:color w:val="auto"/>
                      <w:szCs w:val="21"/>
                    </w:rPr>
                  </w:pPr>
                  <w:r>
                    <w:rPr>
                      <w:color w:val="auto"/>
                      <w:kern w:val="0"/>
                      <w:szCs w:val="21"/>
                      <w:lang w:bidi="ar"/>
                    </w:rPr>
                    <w:t>0.5</w:t>
                  </w:r>
                </w:p>
              </w:tc>
              <w:tc>
                <w:tcPr>
                  <w:tcW w:w="9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A32700">
                  <w:pPr>
                    <w:jc w:val="center"/>
                    <w:rPr>
                      <w:color w:val="auto"/>
                    </w:rPr>
                  </w:pPr>
                  <w:r>
                    <w:rPr>
                      <w:color w:val="auto"/>
                    </w:rPr>
                    <w:t>2.9641</w:t>
                  </w:r>
                </w:p>
              </w:tc>
            </w:tr>
            <w:tr w14:paraId="46F74702">
              <w:tblPrEx>
                <w:tblCellMar>
                  <w:top w:w="0" w:type="dxa"/>
                  <w:left w:w="108" w:type="dxa"/>
                  <w:bottom w:w="0" w:type="dxa"/>
                  <w:right w:w="108" w:type="dxa"/>
                </w:tblCellMar>
              </w:tblPrEx>
              <w:trPr>
                <w:trHeight w:val="454" w:hRule="atLeast"/>
              </w:trPr>
              <w:tc>
                <w:tcPr>
                  <w:tcW w:w="6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619084">
                  <w:pPr>
                    <w:widowControl/>
                    <w:jc w:val="center"/>
                    <w:rPr>
                      <w:color w:val="auto"/>
                      <w:szCs w:val="21"/>
                    </w:rPr>
                  </w:pPr>
                </w:p>
              </w:tc>
              <w:tc>
                <w:tcPr>
                  <w:tcW w:w="1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351022">
                  <w:pPr>
                    <w:jc w:val="center"/>
                    <w:rPr>
                      <w:color w:val="auto"/>
                    </w:rPr>
                  </w:pPr>
                  <w:r>
                    <w:rPr>
                      <w:rFonts w:hint="eastAsia"/>
                      <w:color w:val="auto"/>
                    </w:rPr>
                    <w:t>排土场平台</w:t>
                  </w:r>
                </w:p>
              </w:tc>
              <w:tc>
                <w:tcPr>
                  <w:tcW w:w="9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3763C6">
                  <w:pPr>
                    <w:jc w:val="center"/>
                    <w:rPr>
                      <w:color w:val="auto"/>
                    </w:rPr>
                  </w:pPr>
                  <w:r>
                    <w:rPr>
                      <w:color w:val="auto"/>
                    </w:rPr>
                    <w:t>2.5320</w:t>
                  </w:r>
                </w:p>
              </w:tc>
              <w:tc>
                <w:tcPr>
                  <w:tcW w:w="9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65FA7B">
                  <w:pPr>
                    <w:widowControl/>
                    <w:jc w:val="center"/>
                    <w:textAlignment w:val="center"/>
                    <w:rPr>
                      <w:color w:val="auto"/>
                      <w:kern w:val="0"/>
                      <w:szCs w:val="21"/>
                      <w:lang w:bidi="ar"/>
                    </w:rPr>
                  </w:pPr>
                  <w:r>
                    <w:rPr>
                      <w:rFonts w:hint="eastAsia"/>
                      <w:color w:val="auto"/>
                      <w:kern w:val="0"/>
                      <w:szCs w:val="21"/>
                      <w:lang w:bidi="ar"/>
                    </w:rPr>
                    <w:t>0.</w:t>
                  </w:r>
                  <w:r>
                    <w:rPr>
                      <w:color w:val="auto"/>
                      <w:kern w:val="0"/>
                      <w:szCs w:val="21"/>
                      <w:lang w:bidi="ar"/>
                    </w:rPr>
                    <w:t>8</w:t>
                  </w:r>
                </w:p>
              </w:tc>
              <w:tc>
                <w:tcPr>
                  <w:tcW w:w="9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587CA1">
                  <w:pPr>
                    <w:jc w:val="center"/>
                    <w:rPr>
                      <w:color w:val="auto"/>
                    </w:rPr>
                  </w:pPr>
                  <w:r>
                    <w:rPr>
                      <w:color w:val="auto"/>
                    </w:rPr>
                    <w:t>2.0256</w:t>
                  </w:r>
                </w:p>
              </w:tc>
            </w:tr>
            <w:tr w14:paraId="3D9EBE62">
              <w:tblPrEx>
                <w:tblCellMar>
                  <w:top w:w="0" w:type="dxa"/>
                  <w:left w:w="108" w:type="dxa"/>
                  <w:bottom w:w="0" w:type="dxa"/>
                  <w:right w:w="108" w:type="dxa"/>
                </w:tblCellMar>
              </w:tblPrEx>
              <w:trPr>
                <w:trHeight w:val="454" w:hRule="atLeast"/>
              </w:trPr>
              <w:tc>
                <w:tcPr>
                  <w:tcW w:w="6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96F190">
                  <w:pPr>
                    <w:widowControl/>
                    <w:jc w:val="center"/>
                    <w:rPr>
                      <w:color w:val="auto"/>
                      <w:szCs w:val="21"/>
                    </w:rPr>
                  </w:pPr>
                </w:p>
              </w:tc>
              <w:tc>
                <w:tcPr>
                  <w:tcW w:w="1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576A7F">
                  <w:pPr>
                    <w:jc w:val="center"/>
                    <w:rPr>
                      <w:color w:val="auto"/>
                    </w:rPr>
                  </w:pPr>
                  <w:r>
                    <w:rPr>
                      <w:rFonts w:hint="eastAsia"/>
                      <w:color w:val="auto"/>
                    </w:rPr>
                    <w:t>排土场边坡</w:t>
                  </w:r>
                </w:p>
              </w:tc>
              <w:tc>
                <w:tcPr>
                  <w:tcW w:w="9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7524D4">
                  <w:pPr>
                    <w:jc w:val="center"/>
                    <w:rPr>
                      <w:color w:val="auto"/>
                    </w:rPr>
                  </w:pPr>
                  <w:r>
                    <w:rPr>
                      <w:color w:val="auto"/>
                    </w:rPr>
                    <w:t>3.4275</w:t>
                  </w:r>
                </w:p>
              </w:tc>
              <w:tc>
                <w:tcPr>
                  <w:tcW w:w="9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772109">
                  <w:pPr>
                    <w:widowControl/>
                    <w:jc w:val="center"/>
                    <w:textAlignment w:val="center"/>
                    <w:rPr>
                      <w:color w:val="auto"/>
                      <w:kern w:val="0"/>
                      <w:szCs w:val="21"/>
                      <w:lang w:bidi="ar"/>
                    </w:rPr>
                  </w:pPr>
                  <w:r>
                    <w:rPr>
                      <w:rFonts w:hint="eastAsia"/>
                      <w:color w:val="auto"/>
                      <w:kern w:val="0"/>
                      <w:szCs w:val="21"/>
                      <w:lang w:bidi="ar"/>
                    </w:rPr>
                    <w:t>0.5</w:t>
                  </w:r>
                </w:p>
              </w:tc>
              <w:tc>
                <w:tcPr>
                  <w:tcW w:w="9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74883B">
                  <w:pPr>
                    <w:jc w:val="center"/>
                    <w:rPr>
                      <w:color w:val="auto"/>
                    </w:rPr>
                  </w:pPr>
                  <w:r>
                    <w:rPr>
                      <w:color w:val="auto"/>
                    </w:rPr>
                    <w:t>1.7138</w:t>
                  </w:r>
                </w:p>
              </w:tc>
            </w:tr>
            <w:tr w14:paraId="74CC1F9E">
              <w:tblPrEx>
                <w:tblCellMar>
                  <w:top w:w="0" w:type="dxa"/>
                  <w:left w:w="108" w:type="dxa"/>
                  <w:bottom w:w="0" w:type="dxa"/>
                  <w:right w:w="108" w:type="dxa"/>
                </w:tblCellMar>
              </w:tblPrEx>
              <w:trPr>
                <w:trHeight w:val="454" w:hRule="atLeast"/>
              </w:trPr>
              <w:tc>
                <w:tcPr>
                  <w:tcW w:w="6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6E6469">
                  <w:pPr>
                    <w:widowControl/>
                    <w:jc w:val="center"/>
                    <w:rPr>
                      <w:color w:val="auto"/>
                      <w:szCs w:val="21"/>
                    </w:rPr>
                  </w:pPr>
                </w:p>
              </w:tc>
              <w:tc>
                <w:tcPr>
                  <w:tcW w:w="1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C6F060">
                  <w:pPr>
                    <w:jc w:val="center"/>
                    <w:rPr>
                      <w:color w:val="auto"/>
                    </w:rPr>
                  </w:pPr>
                  <w:r>
                    <w:rPr>
                      <w:rFonts w:hint="eastAsia"/>
                      <w:color w:val="auto"/>
                    </w:rPr>
                    <w:t>办公生活区</w:t>
                  </w:r>
                </w:p>
              </w:tc>
              <w:tc>
                <w:tcPr>
                  <w:tcW w:w="9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D85E75">
                  <w:pPr>
                    <w:widowControl/>
                    <w:jc w:val="center"/>
                    <w:textAlignment w:val="center"/>
                    <w:rPr>
                      <w:color w:val="auto"/>
                      <w:kern w:val="0"/>
                      <w:szCs w:val="21"/>
                      <w:lang w:bidi="ar"/>
                    </w:rPr>
                  </w:pPr>
                  <w:r>
                    <w:rPr>
                      <w:color w:val="auto"/>
                      <w:kern w:val="0"/>
                      <w:szCs w:val="21"/>
                      <w:lang w:bidi="ar"/>
                    </w:rPr>
                    <w:t>0.2962</w:t>
                  </w:r>
                </w:p>
              </w:tc>
              <w:tc>
                <w:tcPr>
                  <w:tcW w:w="9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E127BE">
                  <w:pPr>
                    <w:widowControl/>
                    <w:jc w:val="center"/>
                    <w:textAlignment w:val="center"/>
                    <w:rPr>
                      <w:color w:val="auto"/>
                      <w:kern w:val="0"/>
                      <w:szCs w:val="21"/>
                      <w:lang w:bidi="ar"/>
                    </w:rPr>
                  </w:pPr>
                  <w:r>
                    <w:rPr>
                      <w:color w:val="auto"/>
                      <w:kern w:val="0"/>
                      <w:szCs w:val="21"/>
                      <w:lang w:bidi="ar"/>
                    </w:rPr>
                    <w:t>0.8</w:t>
                  </w:r>
                </w:p>
              </w:tc>
              <w:tc>
                <w:tcPr>
                  <w:tcW w:w="9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EE482E">
                  <w:pPr>
                    <w:jc w:val="center"/>
                    <w:rPr>
                      <w:color w:val="auto"/>
                    </w:rPr>
                  </w:pPr>
                  <w:r>
                    <w:rPr>
                      <w:color w:val="auto"/>
                    </w:rPr>
                    <w:t>0.2370</w:t>
                  </w:r>
                </w:p>
              </w:tc>
            </w:tr>
            <w:tr w14:paraId="6FF69156">
              <w:tblPrEx>
                <w:tblCellMar>
                  <w:top w:w="0" w:type="dxa"/>
                  <w:left w:w="108" w:type="dxa"/>
                  <w:bottom w:w="0" w:type="dxa"/>
                  <w:right w:w="108" w:type="dxa"/>
                </w:tblCellMar>
              </w:tblPrEx>
              <w:trPr>
                <w:trHeight w:val="454" w:hRule="atLeast"/>
              </w:trPr>
              <w:tc>
                <w:tcPr>
                  <w:tcW w:w="6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6AB566">
                  <w:pPr>
                    <w:widowControl/>
                    <w:jc w:val="center"/>
                    <w:rPr>
                      <w:color w:val="auto"/>
                      <w:szCs w:val="21"/>
                    </w:rPr>
                  </w:pPr>
                </w:p>
              </w:tc>
              <w:tc>
                <w:tcPr>
                  <w:tcW w:w="1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90859E">
                  <w:pPr>
                    <w:widowControl/>
                    <w:jc w:val="center"/>
                    <w:textAlignment w:val="center"/>
                    <w:rPr>
                      <w:color w:val="auto"/>
                      <w:szCs w:val="21"/>
                    </w:rPr>
                  </w:pPr>
                  <w:r>
                    <w:rPr>
                      <w:color w:val="auto"/>
                      <w:kern w:val="0"/>
                      <w:szCs w:val="21"/>
                      <w:lang w:bidi="ar"/>
                    </w:rPr>
                    <w:t>合计</w:t>
                  </w:r>
                </w:p>
              </w:tc>
              <w:tc>
                <w:tcPr>
                  <w:tcW w:w="9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EE9C14">
                  <w:pPr>
                    <w:widowControl/>
                    <w:jc w:val="center"/>
                    <w:textAlignment w:val="center"/>
                    <w:rPr>
                      <w:color w:val="auto"/>
                      <w:szCs w:val="21"/>
                    </w:rPr>
                  </w:pPr>
                  <w:r>
                    <w:rPr>
                      <w:color w:val="auto"/>
                      <w:kern w:val="0"/>
                      <w:szCs w:val="21"/>
                      <w:lang w:bidi="ar"/>
                    </w:rPr>
                    <w:t>25.2728</w:t>
                  </w:r>
                </w:p>
              </w:tc>
              <w:tc>
                <w:tcPr>
                  <w:tcW w:w="9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FB6820">
                  <w:pPr>
                    <w:widowControl/>
                    <w:jc w:val="center"/>
                    <w:textAlignment w:val="center"/>
                    <w:rPr>
                      <w:color w:val="auto"/>
                      <w:szCs w:val="21"/>
                    </w:rPr>
                  </w:pPr>
                  <w:r>
                    <w:rPr>
                      <w:rFonts w:hint="eastAsia"/>
                      <w:color w:val="auto"/>
                      <w:kern w:val="0"/>
                      <w:szCs w:val="21"/>
                      <w:lang w:bidi="ar"/>
                    </w:rPr>
                    <w:t>/</w:t>
                  </w:r>
                </w:p>
              </w:tc>
              <w:tc>
                <w:tcPr>
                  <w:tcW w:w="9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420B36">
                  <w:pPr>
                    <w:widowControl/>
                    <w:jc w:val="center"/>
                    <w:textAlignment w:val="center"/>
                    <w:rPr>
                      <w:rFonts w:hint="default" w:eastAsia="宋体"/>
                      <w:color w:val="auto"/>
                      <w:szCs w:val="21"/>
                      <w:lang w:val="en-US" w:eastAsia="zh-CN"/>
                    </w:rPr>
                  </w:pPr>
                  <w:r>
                    <w:rPr>
                      <w:color w:val="auto"/>
                      <w:kern w:val="0"/>
                      <w:szCs w:val="21"/>
                      <w:lang w:bidi="ar"/>
                    </w:rPr>
                    <w:t>14</w:t>
                  </w:r>
                  <w:r>
                    <w:rPr>
                      <w:rFonts w:hint="eastAsia"/>
                      <w:color w:val="auto"/>
                      <w:kern w:val="0"/>
                      <w:szCs w:val="21"/>
                      <w:lang w:val="en-US" w:eastAsia="zh-CN" w:bidi="ar"/>
                    </w:rPr>
                    <w:t>.6210</w:t>
                  </w:r>
                </w:p>
              </w:tc>
            </w:tr>
          </w:tbl>
          <w:p w14:paraId="3B3FD833">
            <w:pPr>
              <w:keepNext w:val="0"/>
              <w:keepLines w:val="0"/>
              <w:pageBreakBefore w:val="0"/>
              <w:kinsoku/>
              <w:wordWrap/>
              <w:overflowPunct/>
              <w:topLinePunct w:val="0"/>
              <w:autoSpaceDE/>
              <w:autoSpaceDN/>
              <w:bidi w:val="0"/>
              <w:adjustRightInd/>
              <w:snapToGrid/>
              <w:spacing w:line="480" w:lineRule="exact"/>
              <w:ind w:firstLine="480" w:firstLineChars="200"/>
              <w:textAlignment w:val="auto"/>
              <w:rPr>
                <w:color w:val="auto"/>
                <w:sz w:val="24"/>
              </w:rPr>
            </w:pPr>
            <w:r>
              <w:rPr>
                <w:rFonts w:hint="eastAsia"/>
                <w:color w:val="auto"/>
                <w:sz w:val="24"/>
              </w:rPr>
              <w:t>由表2-</w:t>
            </w:r>
            <w:r>
              <w:rPr>
                <w:rFonts w:hint="eastAsia"/>
                <w:color w:val="auto"/>
                <w:sz w:val="24"/>
                <w:lang w:val="en-US" w:eastAsia="zh-CN"/>
              </w:rPr>
              <w:t>7</w:t>
            </w:r>
            <w:r>
              <w:rPr>
                <w:rFonts w:hint="eastAsia"/>
                <w:color w:val="auto"/>
                <w:sz w:val="24"/>
              </w:rPr>
              <w:t>可知，排土场堆放表土</w:t>
            </w:r>
            <w:r>
              <w:rPr>
                <w:rFonts w:hint="eastAsia"/>
                <w:color w:val="auto"/>
                <w:sz w:val="24"/>
                <w:lang w:val="en-US" w:eastAsia="zh-CN"/>
              </w:rPr>
              <w:t>21.96</w:t>
            </w:r>
            <w:r>
              <w:rPr>
                <w:rFonts w:hint="eastAsia"/>
                <w:color w:val="auto"/>
                <w:sz w:val="24"/>
              </w:rPr>
              <w:t>万m</w:t>
            </w:r>
            <w:r>
              <w:rPr>
                <w:rFonts w:hint="eastAsia"/>
                <w:color w:val="auto"/>
                <w:sz w:val="24"/>
                <w:vertAlign w:val="superscript"/>
              </w:rPr>
              <w:t>3</w:t>
            </w:r>
            <w:r>
              <w:rPr>
                <w:rFonts w:hint="eastAsia"/>
                <w:color w:val="auto"/>
                <w:sz w:val="24"/>
              </w:rPr>
              <w:t>，生态恢复需覆土量为14.6210</w:t>
            </w:r>
            <w:r>
              <w:rPr>
                <w:color w:val="auto"/>
                <w:kern w:val="0"/>
                <w:szCs w:val="21"/>
                <w:lang w:bidi="ar"/>
              </w:rPr>
              <w:t>万</w:t>
            </w:r>
            <w:r>
              <w:rPr>
                <w:rFonts w:hint="eastAsia"/>
                <w:color w:val="auto"/>
                <w:sz w:val="24"/>
              </w:rPr>
              <w:t>m</w:t>
            </w:r>
            <w:r>
              <w:rPr>
                <w:rFonts w:hint="eastAsia"/>
                <w:color w:val="auto"/>
                <w:sz w:val="24"/>
                <w:vertAlign w:val="superscript"/>
              </w:rPr>
              <w:t>3</w:t>
            </w:r>
            <w:r>
              <w:rPr>
                <w:rFonts w:hint="eastAsia"/>
                <w:color w:val="auto"/>
                <w:sz w:val="24"/>
              </w:rPr>
              <w:t>。排土场堆放表土可满足生态恢复覆土，本项目可不设置取土场。</w:t>
            </w:r>
          </w:p>
          <w:p w14:paraId="3DCFDA81">
            <w:pPr>
              <w:keepNext w:val="0"/>
              <w:keepLines w:val="0"/>
              <w:pageBreakBefore w:val="0"/>
              <w:kinsoku/>
              <w:wordWrap/>
              <w:overflowPunct/>
              <w:topLinePunct w:val="0"/>
              <w:autoSpaceDE/>
              <w:autoSpaceDN/>
              <w:bidi w:val="0"/>
              <w:adjustRightInd/>
              <w:snapToGrid/>
              <w:spacing w:line="480" w:lineRule="exact"/>
              <w:ind w:firstLine="482" w:firstLineChars="200"/>
              <w:textAlignment w:val="auto"/>
              <w:rPr>
                <w:b/>
                <w:bCs/>
                <w:sz w:val="24"/>
                <w:highlight w:val="red"/>
              </w:rPr>
            </w:pPr>
            <w:r>
              <w:rPr>
                <w:rFonts w:hint="eastAsia"/>
                <w:b/>
                <w:bCs/>
                <w:sz w:val="24"/>
              </w:rPr>
              <w:t>7.</w:t>
            </w:r>
            <w:r>
              <w:rPr>
                <w:b/>
                <w:bCs/>
                <w:sz w:val="24"/>
              </w:rPr>
              <w:t>办公</w:t>
            </w:r>
            <w:r>
              <w:rPr>
                <w:rFonts w:hint="eastAsia"/>
                <w:b/>
                <w:bCs/>
                <w:sz w:val="24"/>
              </w:rPr>
              <w:t>生活</w:t>
            </w:r>
            <w:r>
              <w:rPr>
                <w:b/>
                <w:bCs/>
                <w:sz w:val="24"/>
              </w:rPr>
              <w:t>区</w:t>
            </w:r>
          </w:p>
          <w:p w14:paraId="7893757E">
            <w:pPr>
              <w:keepNext w:val="0"/>
              <w:keepLines w:val="0"/>
              <w:pageBreakBefore w:val="0"/>
              <w:kinsoku/>
              <w:wordWrap/>
              <w:overflowPunct/>
              <w:topLinePunct w:val="0"/>
              <w:autoSpaceDE/>
              <w:autoSpaceDN/>
              <w:bidi w:val="0"/>
              <w:adjustRightInd/>
              <w:snapToGrid/>
              <w:spacing w:line="480" w:lineRule="exact"/>
              <w:ind w:firstLine="480" w:firstLineChars="200"/>
              <w:textAlignment w:val="auto"/>
              <w:rPr>
                <w:sz w:val="24"/>
              </w:rPr>
            </w:pPr>
            <w:r>
              <w:rPr>
                <w:rFonts w:hint="eastAsia"/>
                <w:sz w:val="24"/>
              </w:rPr>
              <w:t>本项目共设置2处办公生活区，</w:t>
            </w:r>
            <w:r>
              <w:rPr>
                <w:sz w:val="24"/>
              </w:rPr>
              <w:t>1号办公生活区</w:t>
            </w:r>
            <w:r>
              <w:rPr>
                <w:rFonts w:hint="eastAsia"/>
                <w:sz w:val="24"/>
              </w:rPr>
              <w:t>位于矿区东侧，为办公区，占地面积1782m</w:t>
            </w:r>
            <w:r>
              <w:rPr>
                <w:rFonts w:hint="eastAsia"/>
                <w:sz w:val="24"/>
                <w:vertAlign w:val="superscript"/>
              </w:rPr>
              <w:t>2</w:t>
            </w:r>
            <w:r>
              <w:rPr>
                <w:rFonts w:hint="eastAsia"/>
                <w:sz w:val="24"/>
              </w:rPr>
              <w:t>，已建设办公室、停车场，办公室占地面积400m</w:t>
            </w:r>
            <w:r>
              <w:rPr>
                <w:rFonts w:hint="eastAsia"/>
                <w:sz w:val="24"/>
                <w:vertAlign w:val="superscript"/>
              </w:rPr>
              <w:t>2</w:t>
            </w:r>
            <w:r>
              <w:rPr>
                <w:rFonts w:hint="eastAsia"/>
                <w:sz w:val="24"/>
              </w:rPr>
              <w:t>，砖混结构，1层，办公设施齐全，满足依托需求。2</w:t>
            </w:r>
            <w:r>
              <w:rPr>
                <w:sz w:val="24"/>
              </w:rPr>
              <w:t>号办公生活区</w:t>
            </w:r>
            <w:r>
              <w:rPr>
                <w:rFonts w:hint="eastAsia"/>
                <w:sz w:val="24"/>
              </w:rPr>
              <w:t>位于排土场南侧，为休息区，占地面积1180m</w:t>
            </w:r>
            <w:r>
              <w:rPr>
                <w:rFonts w:hint="eastAsia"/>
                <w:sz w:val="24"/>
                <w:vertAlign w:val="superscript"/>
              </w:rPr>
              <w:t>2</w:t>
            </w:r>
            <w:r>
              <w:rPr>
                <w:rFonts w:hint="eastAsia"/>
                <w:sz w:val="24"/>
              </w:rPr>
              <w:t>，已建设一排宿舍，占地面积550m</w:t>
            </w:r>
            <w:r>
              <w:rPr>
                <w:rFonts w:hint="eastAsia"/>
                <w:sz w:val="24"/>
                <w:vertAlign w:val="superscript"/>
              </w:rPr>
              <w:t>2</w:t>
            </w:r>
            <w:r>
              <w:rPr>
                <w:rFonts w:hint="eastAsia"/>
                <w:sz w:val="24"/>
              </w:rPr>
              <w:t>，砖混结构，1层，生活区设施齐全，满足依托需求。</w:t>
            </w:r>
          </w:p>
          <w:p w14:paraId="222E9F39">
            <w:pPr>
              <w:keepNext w:val="0"/>
              <w:keepLines w:val="0"/>
              <w:pageBreakBefore w:val="0"/>
              <w:widowControl/>
              <w:kinsoku/>
              <w:wordWrap/>
              <w:overflowPunct/>
              <w:topLinePunct w:val="0"/>
              <w:autoSpaceDE/>
              <w:autoSpaceDN/>
              <w:bidi w:val="0"/>
              <w:adjustRightInd/>
              <w:snapToGrid/>
              <w:spacing w:line="480" w:lineRule="exact"/>
              <w:ind w:firstLine="482" w:firstLineChars="200"/>
              <w:textAlignment w:val="auto"/>
              <w:rPr>
                <w:b/>
                <w:bCs/>
                <w:kern w:val="0"/>
                <w:sz w:val="24"/>
                <w:lang w:bidi="ar"/>
              </w:rPr>
            </w:pPr>
            <w:r>
              <w:rPr>
                <w:rFonts w:hint="eastAsia"/>
                <w:b/>
                <w:bCs/>
                <w:kern w:val="0"/>
                <w:sz w:val="24"/>
                <w:lang w:bidi="ar"/>
              </w:rPr>
              <w:t>8.产品方案</w:t>
            </w:r>
          </w:p>
          <w:p w14:paraId="3FF739A0">
            <w:pPr>
              <w:keepNext w:val="0"/>
              <w:keepLines w:val="0"/>
              <w:pageBreakBefore w:val="0"/>
              <w:kinsoku/>
              <w:wordWrap/>
              <w:overflowPunct/>
              <w:topLinePunct w:val="0"/>
              <w:autoSpaceDE/>
              <w:autoSpaceDN/>
              <w:bidi w:val="0"/>
              <w:adjustRightInd/>
              <w:snapToGrid/>
              <w:spacing w:line="480" w:lineRule="exact"/>
              <w:ind w:firstLine="480" w:firstLineChars="200"/>
              <w:textAlignment w:val="auto"/>
              <w:rPr>
                <w:sz w:val="24"/>
              </w:rPr>
            </w:pPr>
            <w:r>
              <w:rPr>
                <w:rFonts w:hint="eastAsia"/>
                <w:sz w:val="24"/>
              </w:rPr>
              <w:t>本矿开采饰面用花岗岩矿具体产品方案见表2-</w:t>
            </w:r>
            <w:r>
              <w:rPr>
                <w:sz w:val="24"/>
              </w:rPr>
              <w:t>8</w:t>
            </w:r>
            <w:r>
              <w:rPr>
                <w:rFonts w:hint="eastAsia"/>
                <w:sz w:val="24"/>
              </w:rPr>
              <w:t>。</w:t>
            </w:r>
          </w:p>
          <w:p w14:paraId="085D99A3">
            <w:pPr>
              <w:pStyle w:val="15"/>
              <w:keepNext w:val="0"/>
              <w:keepLines w:val="0"/>
              <w:pageBreakBefore w:val="0"/>
              <w:widowControl/>
              <w:kinsoku/>
              <w:wordWrap/>
              <w:overflowPunct/>
              <w:topLinePunct w:val="0"/>
              <w:autoSpaceDE/>
              <w:autoSpaceDN/>
              <w:bidi w:val="0"/>
              <w:adjustRightInd/>
              <w:snapToGrid/>
              <w:spacing w:line="480" w:lineRule="exact"/>
              <w:ind w:firstLine="420" w:firstLineChars="200"/>
              <w:textAlignment w:val="auto"/>
              <w:rPr>
                <w:rFonts w:eastAsia="宋体"/>
                <w:sz w:val="21"/>
                <w:szCs w:val="21"/>
              </w:rPr>
            </w:pPr>
            <w:r>
              <w:rPr>
                <w:rFonts w:eastAsia="宋体"/>
                <w:sz w:val="21"/>
                <w:szCs w:val="21"/>
              </w:rPr>
              <w:t>表2-8本项目产品方案一览表</w:t>
            </w:r>
          </w:p>
          <w:tbl>
            <w:tblPr>
              <w:tblStyle w:val="29"/>
              <w:tblW w:w="4998" w:type="pct"/>
              <w:jc w:val="center"/>
              <w:tblLayout w:type="autofit"/>
              <w:tblCellMar>
                <w:top w:w="0" w:type="dxa"/>
                <w:left w:w="108" w:type="dxa"/>
                <w:bottom w:w="0" w:type="dxa"/>
                <w:right w:w="108" w:type="dxa"/>
              </w:tblCellMar>
            </w:tblPr>
            <w:tblGrid>
              <w:gridCol w:w="2298"/>
              <w:gridCol w:w="2317"/>
              <w:gridCol w:w="1934"/>
              <w:gridCol w:w="1965"/>
            </w:tblGrid>
            <w:tr w14:paraId="379068E1">
              <w:tblPrEx>
                <w:tblCellMar>
                  <w:top w:w="0" w:type="dxa"/>
                  <w:left w:w="108" w:type="dxa"/>
                  <w:bottom w:w="0" w:type="dxa"/>
                  <w:right w:w="108" w:type="dxa"/>
                </w:tblCellMar>
              </w:tblPrEx>
              <w:trPr>
                <w:trHeight w:val="454" w:hRule="atLeast"/>
                <w:jc w:val="center"/>
              </w:trPr>
              <w:tc>
                <w:tcPr>
                  <w:tcW w:w="1349" w:type="pct"/>
                  <w:tcBorders>
                    <w:top w:val="single" w:color="000000" w:sz="4" w:space="0"/>
                    <w:left w:val="single" w:color="000000" w:sz="4" w:space="0"/>
                    <w:bottom w:val="single" w:color="000000" w:sz="4" w:space="0"/>
                    <w:right w:val="single" w:color="000000" w:sz="4" w:space="0"/>
                  </w:tcBorders>
                  <w:noWrap/>
                  <w:vAlign w:val="center"/>
                </w:tcPr>
                <w:p w14:paraId="645A999F">
                  <w:pPr>
                    <w:widowControl/>
                    <w:jc w:val="center"/>
                    <w:textAlignment w:val="center"/>
                    <w:rPr>
                      <w:szCs w:val="21"/>
                    </w:rPr>
                  </w:pPr>
                  <w:r>
                    <w:rPr>
                      <w:rFonts w:hint="eastAsia"/>
                      <w:kern w:val="0"/>
                      <w:szCs w:val="21"/>
                      <w:lang w:bidi="ar"/>
                    </w:rPr>
                    <w:t>产品名称</w:t>
                  </w:r>
                </w:p>
              </w:tc>
              <w:tc>
                <w:tcPr>
                  <w:tcW w:w="1360" w:type="pct"/>
                  <w:tcBorders>
                    <w:top w:val="single" w:color="000000" w:sz="4" w:space="0"/>
                    <w:left w:val="single" w:color="000000" w:sz="4" w:space="0"/>
                    <w:bottom w:val="single" w:color="000000" w:sz="4" w:space="0"/>
                    <w:right w:val="single" w:color="000000" w:sz="4" w:space="0"/>
                  </w:tcBorders>
                  <w:noWrap/>
                  <w:vAlign w:val="center"/>
                </w:tcPr>
                <w:p w14:paraId="7156CDDE">
                  <w:pPr>
                    <w:widowControl/>
                    <w:jc w:val="center"/>
                    <w:textAlignment w:val="center"/>
                    <w:rPr>
                      <w:szCs w:val="21"/>
                    </w:rPr>
                  </w:pPr>
                  <w:r>
                    <w:rPr>
                      <w:rFonts w:hint="eastAsia"/>
                      <w:kern w:val="0"/>
                      <w:szCs w:val="21"/>
                      <w:lang w:bidi="ar"/>
                    </w:rPr>
                    <w:t>规格</w:t>
                  </w:r>
                </w:p>
              </w:tc>
              <w:tc>
                <w:tcPr>
                  <w:tcW w:w="1135" w:type="pct"/>
                  <w:tcBorders>
                    <w:top w:val="single" w:color="000000" w:sz="4" w:space="0"/>
                    <w:left w:val="single" w:color="000000" w:sz="4" w:space="0"/>
                    <w:bottom w:val="single" w:color="000000" w:sz="4" w:space="0"/>
                    <w:right w:val="single" w:color="000000" w:sz="4" w:space="0"/>
                  </w:tcBorders>
                  <w:noWrap/>
                  <w:vAlign w:val="center"/>
                </w:tcPr>
                <w:p w14:paraId="12DCEC54">
                  <w:pPr>
                    <w:widowControl/>
                    <w:jc w:val="center"/>
                    <w:textAlignment w:val="center"/>
                    <w:rPr>
                      <w:szCs w:val="21"/>
                    </w:rPr>
                  </w:pPr>
                  <w:r>
                    <w:rPr>
                      <w:kern w:val="0"/>
                      <w:szCs w:val="21"/>
                      <w:lang w:bidi="ar"/>
                    </w:rPr>
                    <w:t>单位</w:t>
                  </w:r>
                </w:p>
              </w:tc>
              <w:tc>
                <w:tcPr>
                  <w:tcW w:w="1153" w:type="pct"/>
                  <w:tcBorders>
                    <w:top w:val="single" w:color="000000" w:sz="4" w:space="0"/>
                    <w:left w:val="single" w:color="000000" w:sz="4" w:space="0"/>
                    <w:bottom w:val="single" w:color="000000" w:sz="4" w:space="0"/>
                    <w:right w:val="single" w:color="000000" w:sz="4" w:space="0"/>
                  </w:tcBorders>
                  <w:noWrap/>
                  <w:vAlign w:val="center"/>
                </w:tcPr>
                <w:p w14:paraId="113FA2CE">
                  <w:pPr>
                    <w:widowControl/>
                    <w:jc w:val="center"/>
                    <w:textAlignment w:val="center"/>
                    <w:rPr>
                      <w:szCs w:val="21"/>
                    </w:rPr>
                  </w:pPr>
                  <w:r>
                    <w:rPr>
                      <w:kern w:val="0"/>
                      <w:szCs w:val="21"/>
                      <w:lang w:bidi="ar"/>
                    </w:rPr>
                    <w:t>产量</w:t>
                  </w:r>
                </w:p>
              </w:tc>
            </w:tr>
            <w:tr w14:paraId="1F667294">
              <w:tblPrEx>
                <w:tblCellMar>
                  <w:top w:w="0" w:type="dxa"/>
                  <w:left w:w="108" w:type="dxa"/>
                  <w:bottom w:w="0" w:type="dxa"/>
                  <w:right w:w="108" w:type="dxa"/>
                </w:tblCellMar>
              </w:tblPrEx>
              <w:trPr>
                <w:trHeight w:val="454" w:hRule="atLeast"/>
                <w:jc w:val="center"/>
              </w:trPr>
              <w:tc>
                <w:tcPr>
                  <w:tcW w:w="1349" w:type="pct"/>
                  <w:tcBorders>
                    <w:top w:val="single" w:color="000000" w:sz="4" w:space="0"/>
                    <w:left w:val="single" w:color="000000" w:sz="4" w:space="0"/>
                    <w:bottom w:val="single" w:color="000000" w:sz="4" w:space="0"/>
                    <w:right w:val="single" w:color="000000" w:sz="4" w:space="0"/>
                  </w:tcBorders>
                  <w:vAlign w:val="center"/>
                </w:tcPr>
                <w:p w14:paraId="44837A41">
                  <w:pPr>
                    <w:widowControl/>
                    <w:jc w:val="center"/>
                    <w:textAlignment w:val="center"/>
                    <w:rPr>
                      <w:szCs w:val="21"/>
                    </w:rPr>
                  </w:pPr>
                  <w:r>
                    <w:rPr>
                      <w:rFonts w:hint="eastAsia"/>
                      <w:kern w:val="0"/>
                      <w:szCs w:val="21"/>
                      <w:lang w:bidi="ar"/>
                    </w:rPr>
                    <w:t>花岗石荒料</w:t>
                  </w:r>
                </w:p>
              </w:tc>
              <w:tc>
                <w:tcPr>
                  <w:tcW w:w="1360" w:type="pct"/>
                  <w:tcBorders>
                    <w:top w:val="single" w:color="000000" w:sz="4" w:space="0"/>
                    <w:left w:val="single" w:color="000000" w:sz="4" w:space="0"/>
                    <w:bottom w:val="single" w:color="000000" w:sz="4" w:space="0"/>
                    <w:right w:val="single" w:color="000000" w:sz="4" w:space="0"/>
                  </w:tcBorders>
                  <w:vAlign w:val="center"/>
                </w:tcPr>
                <w:p w14:paraId="59E72DE0">
                  <w:pPr>
                    <w:widowControl/>
                    <w:jc w:val="center"/>
                    <w:textAlignment w:val="center"/>
                    <w:rPr>
                      <w:szCs w:val="21"/>
                    </w:rPr>
                  </w:pPr>
                  <w:r>
                    <w:rPr>
                      <w:rFonts w:hint="eastAsia"/>
                      <w:kern w:val="0"/>
                      <w:szCs w:val="21"/>
                      <w:lang w:bidi="ar"/>
                    </w:rPr>
                    <w:t>1.1m</w:t>
                  </w:r>
                  <w:r>
                    <w:rPr>
                      <w:rFonts w:ascii="Arial" w:hAnsi="Arial" w:cs="Arial"/>
                      <w:kern w:val="0"/>
                      <w:szCs w:val="21"/>
                      <w:lang w:bidi="ar"/>
                    </w:rPr>
                    <w:t>×</w:t>
                  </w:r>
                  <w:r>
                    <w:rPr>
                      <w:rFonts w:hint="eastAsia"/>
                      <w:kern w:val="0"/>
                      <w:szCs w:val="21"/>
                      <w:lang w:bidi="ar"/>
                    </w:rPr>
                    <w:t>0.9m</w:t>
                  </w:r>
                  <w:r>
                    <w:rPr>
                      <w:rFonts w:ascii="Arial" w:hAnsi="Arial" w:cs="Arial"/>
                      <w:kern w:val="0"/>
                      <w:szCs w:val="21"/>
                      <w:lang w:bidi="ar"/>
                    </w:rPr>
                    <w:t>×</w:t>
                  </w:r>
                  <w:r>
                    <w:rPr>
                      <w:rFonts w:hint="eastAsia"/>
                      <w:kern w:val="0"/>
                      <w:szCs w:val="21"/>
                      <w:lang w:bidi="ar"/>
                    </w:rPr>
                    <w:t>1.5m</w:t>
                  </w:r>
                </w:p>
              </w:tc>
              <w:tc>
                <w:tcPr>
                  <w:tcW w:w="1135" w:type="pct"/>
                  <w:tcBorders>
                    <w:top w:val="single" w:color="000000" w:sz="4" w:space="0"/>
                    <w:left w:val="single" w:color="000000" w:sz="4" w:space="0"/>
                    <w:bottom w:val="single" w:color="000000" w:sz="4" w:space="0"/>
                    <w:right w:val="single" w:color="000000" w:sz="4" w:space="0"/>
                  </w:tcBorders>
                  <w:noWrap/>
                  <w:vAlign w:val="center"/>
                </w:tcPr>
                <w:p w14:paraId="439E465B">
                  <w:pPr>
                    <w:widowControl/>
                    <w:jc w:val="center"/>
                    <w:textAlignment w:val="center"/>
                    <w:rPr>
                      <w:szCs w:val="21"/>
                    </w:rPr>
                  </w:pPr>
                  <w:r>
                    <w:rPr>
                      <w:kern w:val="0"/>
                      <w:szCs w:val="21"/>
                      <w:lang w:bidi="ar"/>
                    </w:rPr>
                    <w:t>万</w:t>
                  </w:r>
                  <w:r>
                    <w:rPr>
                      <w:rFonts w:hint="eastAsia"/>
                      <w:kern w:val="0"/>
                      <w:szCs w:val="21"/>
                      <w:lang w:bidi="ar"/>
                    </w:rPr>
                    <w:t>m</w:t>
                  </w:r>
                  <w:r>
                    <w:rPr>
                      <w:rFonts w:hint="eastAsia"/>
                      <w:kern w:val="0"/>
                      <w:szCs w:val="21"/>
                      <w:vertAlign w:val="superscript"/>
                      <w:lang w:bidi="ar"/>
                    </w:rPr>
                    <w:t>3</w:t>
                  </w:r>
                </w:p>
              </w:tc>
              <w:tc>
                <w:tcPr>
                  <w:tcW w:w="1153" w:type="pct"/>
                  <w:tcBorders>
                    <w:top w:val="single" w:color="000000" w:sz="4" w:space="0"/>
                    <w:left w:val="single" w:color="000000" w:sz="4" w:space="0"/>
                    <w:bottom w:val="single" w:color="000000" w:sz="4" w:space="0"/>
                    <w:right w:val="single" w:color="000000" w:sz="4" w:space="0"/>
                  </w:tcBorders>
                  <w:vAlign w:val="center"/>
                </w:tcPr>
                <w:p w14:paraId="0D3A923F">
                  <w:pPr>
                    <w:widowControl/>
                    <w:jc w:val="center"/>
                    <w:textAlignment w:val="center"/>
                    <w:rPr>
                      <w:szCs w:val="21"/>
                    </w:rPr>
                  </w:pPr>
                  <w:r>
                    <w:rPr>
                      <w:kern w:val="0"/>
                      <w:szCs w:val="21"/>
                      <w:lang w:bidi="ar"/>
                    </w:rPr>
                    <w:t>2</w:t>
                  </w:r>
                </w:p>
              </w:tc>
            </w:tr>
          </w:tbl>
          <w:p w14:paraId="1C1C4CCA">
            <w:pPr>
              <w:keepNext w:val="0"/>
              <w:keepLines w:val="0"/>
              <w:pageBreakBefore w:val="0"/>
              <w:widowControl/>
              <w:kinsoku/>
              <w:wordWrap/>
              <w:overflowPunct/>
              <w:topLinePunct w:val="0"/>
              <w:autoSpaceDE/>
              <w:autoSpaceDN/>
              <w:bidi w:val="0"/>
              <w:adjustRightInd/>
              <w:snapToGrid/>
              <w:spacing w:line="480" w:lineRule="exact"/>
              <w:ind w:firstLine="482" w:firstLineChars="200"/>
              <w:textAlignment w:val="auto"/>
              <w:rPr>
                <w:b/>
                <w:bCs/>
                <w:kern w:val="0"/>
                <w:sz w:val="24"/>
                <w:lang w:bidi="ar"/>
              </w:rPr>
            </w:pPr>
            <w:r>
              <w:rPr>
                <w:rFonts w:hint="eastAsia"/>
                <w:b/>
                <w:bCs/>
                <w:kern w:val="0"/>
                <w:sz w:val="24"/>
                <w:lang w:bidi="ar"/>
              </w:rPr>
              <w:t>9.主要原辅材料</w:t>
            </w:r>
          </w:p>
          <w:p w14:paraId="3BF2413F">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kern w:val="0"/>
                <w:sz w:val="24"/>
                <w:lang w:bidi="ar"/>
              </w:rPr>
            </w:pPr>
            <w:r>
              <w:rPr>
                <w:rFonts w:hint="eastAsia"/>
                <w:kern w:val="0"/>
                <w:sz w:val="24"/>
                <w:lang w:bidi="ar"/>
              </w:rPr>
              <w:t>本项目主要原辅材料及能源消耗详见下表。</w:t>
            </w:r>
          </w:p>
          <w:p w14:paraId="4446F55E">
            <w:pPr>
              <w:pStyle w:val="15"/>
              <w:keepNext w:val="0"/>
              <w:keepLines w:val="0"/>
              <w:pageBreakBefore w:val="0"/>
              <w:widowControl/>
              <w:kinsoku/>
              <w:wordWrap/>
              <w:overflowPunct/>
              <w:topLinePunct w:val="0"/>
              <w:autoSpaceDE/>
              <w:autoSpaceDN/>
              <w:bidi w:val="0"/>
              <w:adjustRightInd/>
              <w:snapToGrid/>
              <w:spacing w:line="480" w:lineRule="exact"/>
              <w:ind w:firstLine="420" w:firstLineChars="200"/>
              <w:textAlignment w:val="auto"/>
              <w:rPr>
                <w:rFonts w:hint="eastAsia" w:ascii="宋体" w:hAnsi="宋体" w:eastAsia="宋体" w:cs="宋体"/>
                <w:sz w:val="21"/>
                <w:szCs w:val="21"/>
              </w:rPr>
            </w:pPr>
          </w:p>
          <w:p w14:paraId="302E2B71">
            <w:pPr>
              <w:pStyle w:val="15"/>
              <w:keepNext w:val="0"/>
              <w:keepLines w:val="0"/>
              <w:pageBreakBefore w:val="0"/>
              <w:widowControl/>
              <w:kinsoku/>
              <w:wordWrap/>
              <w:overflowPunct/>
              <w:topLinePunct w:val="0"/>
              <w:autoSpaceDE/>
              <w:autoSpaceDN/>
              <w:bidi w:val="0"/>
              <w:adjustRightInd/>
              <w:snapToGrid/>
              <w:spacing w:line="480" w:lineRule="exact"/>
              <w:ind w:firstLine="420" w:firstLineChars="200"/>
              <w:textAlignment w:val="auto"/>
              <w:rPr>
                <w:sz w:val="21"/>
                <w:szCs w:val="21"/>
              </w:rPr>
            </w:pPr>
            <w:r>
              <w:rPr>
                <w:rFonts w:hint="eastAsia" w:ascii="宋体" w:hAnsi="宋体" w:eastAsia="宋体" w:cs="宋体"/>
                <w:sz w:val="21"/>
                <w:szCs w:val="21"/>
              </w:rPr>
              <w:t>表</w:t>
            </w:r>
            <w:r>
              <w:rPr>
                <w:rFonts w:eastAsia="宋体"/>
                <w:sz w:val="21"/>
                <w:szCs w:val="21"/>
              </w:rPr>
              <w:t>2-9</w:t>
            </w:r>
            <w:r>
              <w:rPr>
                <w:rFonts w:hint="eastAsia" w:ascii="宋体" w:hAnsi="宋体" w:eastAsia="宋体" w:cs="宋体"/>
                <w:sz w:val="21"/>
                <w:szCs w:val="21"/>
              </w:rPr>
              <w:t xml:space="preserve"> 原辅材料用量一览表</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9"/>
              <w:gridCol w:w="1418"/>
              <w:gridCol w:w="1323"/>
              <w:gridCol w:w="3491"/>
              <w:gridCol w:w="1575"/>
            </w:tblGrid>
            <w:tr w14:paraId="713C3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59" w:type="dxa"/>
                  <w:tcBorders>
                    <w:tl2br w:val="nil"/>
                    <w:tr2bl w:val="nil"/>
                  </w:tcBorders>
                  <w:vAlign w:val="center"/>
                </w:tcPr>
                <w:p w14:paraId="44868867">
                  <w:pPr>
                    <w:jc w:val="center"/>
                  </w:pPr>
                  <w:r>
                    <w:rPr>
                      <w:rFonts w:hint="eastAsia"/>
                    </w:rPr>
                    <w:t>序号</w:t>
                  </w:r>
                </w:p>
              </w:tc>
              <w:tc>
                <w:tcPr>
                  <w:tcW w:w="1418" w:type="dxa"/>
                  <w:tcBorders>
                    <w:tl2br w:val="nil"/>
                    <w:tr2bl w:val="nil"/>
                  </w:tcBorders>
                  <w:vAlign w:val="center"/>
                </w:tcPr>
                <w:p w14:paraId="79B748CB">
                  <w:pPr>
                    <w:jc w:val="center"/>
                  </w:pPr>
                  <w:r>
                    <w:rPr>
                      <w:rFonts w:hint="eastAsia"/>
                    </w:rPr>
                    <w:t>材料名称</w:t>
                  </w:r>
                </w:p>
              </w:tc>
              <w:tc>
                <w:tcPr>
                  <w:tcW w:w="1323" w:type="dxa"/>
                  <w:tcBorders>
                    <w:tl2br w:val="nil"/>
                    <w:tr2bl w:val="nil"/>
                  </w:tcBorders>
                  <w:vAlign w:val="center"/>
                </w:tcPr>
                <w:p w14:paraId="229424AD">
                  <w:pPr>
                    <w:jc w:val="center"/>
                  </w:pPr>
                  <w:r>
                    <w:rPr>
                      <w:rFonts w:hint="eastAsia"/>
                    </w:rPr>
                    <w:t>消耗量</w:t>
                  </w:r>
                </w:p>
              </w:tc>
              <w:tc>
                <w:tcPr>
                  <w:tcW w:w="3491" w:type="dxa"/>
                  <w:tcBorders>
                    <w:tl2br w:val="nil"/>
                    <w:tr2bl w:val="nil"/>
                  </w:tcBorders>
                  <w:vAlign w:val="center"/>
                </w:tcPr>
                <w:p w14:paraId="00655131">
                  <w:pPr>
                    <w:jc w:val="center"/>
                  </w:pPr>
                  <w:r>
                    <w:rPr>
                      <w:rFonts w:hint="eastAsia"/>
                    </w:rPr>
                    <w:t>来源</w:t>
                  </w:r>
                </w:p>
              </w:tc>
              <w:tc>
                <w:tcPr>
                  <w:tcW w:w="1575" w:type="dxa"/>
                  <w:tcBorders>
                    <w:tl2br w:val="nil"/>
                    <w:tr2bl w:val="nil"/>
                  </w:tcBorders>
                  <w:vAlign w:val="center"/>
                </w:tcPr>
                <w:p w14:paraId="631FBD37">
                  <w:pPr>
                    <w:jc w:val="center"/>
                  </w:pPr>
                  <w:r>
                    <w:rPr>
                      <w:rFonts w:hint="eastAsia"/>
                    </w:rPr>
                    <w:t>备注</w:t>
                  </w:r>
                </w:p>
              </w:tc>
            </w:tr>
            <w:tr w14:paraId="1C68D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59" w:type="dxa"/>
                  <w:tcBorders>
                    <w:tl2br w:val="nil"/>
                    <w:tr2bl w:val="nil"/>
                  </w:tcBorders>
                  <w:vAlign w:val="center"/>
                </w:tcPr>
                <w:p w14:paraId="270CE044">
                  <w:pPr>
                    <w:jc w:val="center"/>
                  </w:pPr>
                  <w:r>
                    <w:rPr>
                      <w:rFonts w:hint="eastAsia"/>
                    </w:rPr>
                    <w:t>1</w:t>
                  </w:r>
                </w:p>
              </w:tc>
              <w:tc>
                <w:tcPr>
                  <w:tcW w:w="1418" w:type="dxa"/>
                  <w:tcBorders>
                    <w:tl2br w:val="nil"/>
                    <w:tr2bl w:val="nil"/>
                  </w:tcBorders>
                  <w:vAlign w:val="center"/>
                </w:tcPr>
                <w:p w14:paraId="42C1C890">
                  <w:pPr>
                    <w:jc w:val="center"/>
                  </w:pPr>
                  <w:r>
                    <w:t>水</w:t>
                  </w:r>
                </w:p>
              </w:tc>
              <w:tc>
                <w:tcPr>
                  <w:tcW w:w="1323" w:type="dxa"/>
                  <w:tcBorders>
                    <w:tl2br w:val="nil"/>
                    <w:tr2bl w:val="nil"/>
                  </w:tcBorders>
                  <w:vAlign w:val="center"/>
                </w:tcPr>
                <w:p w14:paraId="120EA272">
                  <w:pPr>
                    <w:jc w:val="center"/>
                  </w:pPr>
                  <w:r>
                    <w:t>11565.4m</w:t>
                  </w:r>
                  <w:r>
                    <w:rPr>
                      <w:vertAlign w:val="superscript"/>
                    </w:rPr>
                    <w:t>3</w:t>
                  </w:r>
                  <w:r>
                    <w:t>/a</w:t>
                  </w:r>
                </w:p>
              </w:tc>
              <w:tc>
                <w:tcPr>
                  <w:tcW w:w="3491" w:type="dxa"/>
                  <w:tcBorders>
                    <w:tl2br w:val="nil"/>
                    <w:tr2bl w:val="nil"/>
                  </w:tcBorders>
                  <w:vAlign w:val="center"/>
                </w:tcPr>
                <w:p w14:paraId="0E3E0B48">
                  <w:pPr>
                    <w:jc w:val="center"/>
                  </w:pPr>
                  <w:r>
                    <w:rPr>
                      <w:rFonts w:hint="eastAsia"/>
                    </w:rPr>
                    <w:t>购自附近村庄</w:t>
                  </w:r>
                </w:p>
              </w:tc>
              <w:tc>
                <w:tcPr>
                  <w:tcW w:w="1575" w:type="dxa"/>
                  <w:tcBorders>
                    <w:tl2br w:val="nil"/>
                    <w:tr2bl w:val="nil"/>
                  </w:tcBorders>
                  <w:vAlign w:val="center"/>
                </w:tcPr>
                <w:p w14:paraId="34F981AA">
                  <w:pPr>
                    <w:jc w:val="center"/>
                    <w:rPr>
                      <w:rFonts w:hint="eastAsia" w:eastAsia="宋体"/>
                      <w:lang w:val="en-US" w:eastAsia="zh-CN"/>
                    </w:rPr>
                  </w:pPr>
                  <w:r>
                    <w:rPr>
                      <w:rFonts w:hint="eastAsia"/>
                      <w:lang w:val="en-US" w:eastAsia="zh-CN"/>
                    </w:rPr>
                    <w:t>/</w:t>
                  </w:r>
                </w:p>
              </w:tc>
            </w:tr>
            <w:tr w14:paraId="5CBCE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59" w:type="dxa"/>
                  <w:tcBorders>
                    <w:tl2br w:val="nil"/>
                    <w:tr2bl w:val="nil"/>
                  </w:tcBorders>
                  <w:vAlign w:val="center"/>
                </w:tcPr>
                <w:p w14:paraId="61585718">
                  <w:pPr>
                    <w:jc w:val="center"/>
                  </w:pPr>
                  <w:r>
                    <w:rPr>
                      <w:rFonts w:hint="eastAsia"/>
                    </w:rPr>
                    <w:t>2</w:t>
                  </w:r>
                </w:p>
              </w:tc>
              <w:tc>
                <w:tcPr>
                  <w:tcW w:w="1418" w:type="dxa"/>
                  <w:tcBorders>
                    <w:tl2br w:val="nil"/>
                    <w:tr2bl w:val="nil"/>
                  </w:tcBorders>
                  <w:vAlign w:val="center"/>
                </w:tcPr>
                <w:p w14:paraId="16B841EE">
                  <w:pPr>
                    <w:jc w:val="center"/>
                  </w:pPr>
                  <w:r>
                    <w:t>电</w:t>
                  </w:r>
                </w:p>
              </w:tc>
              <w:tc>
                <w:tcPr>
                  <w:tcW w:w="1323" w:type="dxa"/>
                  <w:tcBorders>
                    <w:tl2br w:val="nil"/>
                    <w:tr2bl w:val="nil"/>
                  </w:tcBorders>
                  <w:vAlign w:val="center"/>
                </w:tcPr>
                <w:p w14:paraId="49EEF941">
                  <w:pPr>
                    <w:jc w:val="center"/>
                    <w:rPr>
                      <w:highlight w:val="red"/>
                    </w:rPr>
                  </w:pPr>
                  <w:r>
                    <w:t>10万度/年</w:t>
                  </w:r>
                </w:p>
              </w:tc>
              <w:tc>
                <w:tcPr>
                  <w:tcW w:w="3491" w:type="dxa"/>
                  <w:tcBorders>
                    <w:tl2br w:val="nil"/>
                    <w:tr2bl w:val="nil"/>
                  </w:tcBorders>
                  <w:vAlign w:val="center"/>
                </w:tcPr>
                <w:p w14:paraId="67684C4F">
                  <w:pPr>
                    <w:jc w:val="center"/>
                  </w:pPr>
                  <w:r>
                    <w:rPr>
                      <w:rFonts w:hint="eastAsia"/>
                    </w:rPr>
                    <w:t>依托当地电网</w:t>
                  </w:r>
                </w:p>
              </w:tc>
              <w:tc>
                <w:tcPr>
                  <w:tcW w:w="1575" w:type="dxa"/>
                  <w:tcBorders>
                    <w:tl2br w:val="nil"/>
                    <w:tr2bl w:val="nil"/>
                  </w:tcBorders>
                  <w:vAlign w:val="center"/>
                </w:tcPr>
                <w:p w14:paraId="05066BFE">
                  <w:pPr>
                    <w:jc w:val="center"/>
                    <w:rPr>
                      <w:rFonts w:hint="eastAsia" w:eastAsia="宋体"/>
                      <w:lang w:val="en-US" w:eastAsia="zh-CN"/>
                    </w:rPr>
                  </w:pPr>
                  <w:r>
                    <w:rPr>
                      <w:rFonts w:hint="eastAsia"/>
                      <w:lang w:val="en-US" w:eastAsia="zh-CN"/>
                    </w:rPr>
                    <w:t>/</w:t>
                  </w:r>
                </w:p>
              </w:tc>
            </w:tr>
            <w:tr w14:paraId="4C118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59" w:type="dxa"/>
                  <w:tcBorders>
                    <w:tl2br w:val="nil"/>
                    <w:tr2bl w:val="nil"/>
                  </w:tcBorders>
                  <w:vAlign w:val="center"/>
                </w:tcPr>
                <w:p w14:paraId="072A20E0">
                  <w:pPr>
                    <w:jc w:val="center"/>
                  </w:pPr>
                  <w:r>
                    <w:rPr>
                      <w:rFonts w:hint="eastAsia"/>
                    </w:rPr>
                    <w:t>3</w:t>
                  </w:r>
                </w:p>
              </w:tc>
              <w:tc>
                <w:tcPr>
                  <w:tcW w:w="1418" w:type="dxa"/>
                  <w:tcBorders>
                    <w:tl2br w:val="nil"/>
                    <w:tr2bl w:val="nil"/>
                  </w:tcBorders>
                  <w:vAlign w:val="center"/>
                </w:tcPr>
                <w:p w14:paraId="48795745">
                  <w:pPr>
                    <w:jc w:val="center"/>
                  </w:pPr>
                  <w:r>
                    <w:t>机油</w:t>
                  </w:r>
                </w:p>
              </w:tc>
              <w:tc>
                <w:tcPr>
                  <w:tcW w:w="1323" w:type="dxa"/>
                  <w:tcBorders>
                    <w:tl2br w:val="nil"/>
                    <w:tr2bl w:val="nil"/>
                  </w:tcBorders>
                  <w:vAlign w:val="center"/>
                </w:tcPr>
                <w:p w14:paraId="6662811B">
                  <w:pPr>
                    <w:jc w:val="center"/>
                  </w:pPr>
                  <w:r>
                    <w:t>1.02t/a</w:t>
                  </w:r>
                </w:p>
              </w:tc>
              <w:tc>
                <w:tcPr>
                  <w:tcW w:w="3491" w:type="dxa"/>
                  <w:tcBorders>
                    <w:tl2br w:val="nil"/>
                    <w:tr2bl w:val="nil"/>
                  </w:tcBorders>
                  <w:vAlign w:val="center"/>
                </w:tcPr>
                <w:p w14:paraId="018DE4D5">
                  <w:pPr>
                    <w:jc w:val="center"/>
                  </w:pPr>
                  <w:r>
                    <w:t>外购，每桶170kg，200L，6桶</w:t>
                  </w:r>
                </w:p>
              </w:tc>
              <w:tc>
                <w:tcPr>
                  <w:tcW w:w="1575" w:type="dxa"/>
                  <w:tcBorders>
                    <w:tl2br w:val="nil"/>
                    <w:tr2bl w:val="nil"/>
                  </w:tcBorders>
                  <w:vAlign w:val="center"/>
                </w:tcPr>
                <w:p w14:paraId="070196F2">
                  <w:pPr>
                    <w:jc w:val="center"/>
                  </w:pPr>
                  <w:r>
                    <w:rPr>
                      <w:rFonts w:hint="eastAsia"/>
                    </w:rPr>
                    <w:t>用于开采设备的保养使用</w:t>
                  </w:r>
                </w:p>
              </w:tc>
            </w:tr>
          </w:tbl>
          <w:p w14:paraId="3D7F3F42">
            <w:pPr>
              <w:widowControl/>
              <w:spacing w:line="480" w:lineRule="exact"/>
              <w:ind w:firstLine="482" w:firstLineChars="200"/>
              <w:rPr>
                <w:b/>
                <w:bCs/>
                <w:kern w:val="0"/>
                <w:sz w:val="24"/>
                <w:lang w:bidi="ar"/>
              </w:rPr>
            </w:pPr>
            <w:r>
              <w:rPr>
                <w:rFonts w:hint="eastAsia"/>
                <w:b/>
                <w:bCs/>
                <w:kern w:val="0"/>
                <w:sz w:val="24"/>
                <w:lang w:bidi="ar"/>
              </w:rPr>
              <w:t>10.主要生产设施及参数</w:t>
            </w:r>
          </w:p>
          <w:p w14:paraId="0334DF5E">
            <w:pPr>
              <w:widowControl/>
              <w:spacing w:line="480" w:lineRule="exact"/>
              <w:ind w:firstLine="480" w:firstLineChars="200"/>
              <w:rPr>
                <w:kern w:val="0"/>
                <w:sz w:val="24"/>
                <w:lang w:bidi="ar"/>
              </w:rPr>
            </w:pPr>
            <w:r>
              <w:rPr>
                <w:rFonts w:hint="eastAsia"/>
                <w:kern w:val="0"/>
                <w:sz w:val="24"/>
                <w:lang w:bidi="ar"/>
              </w:rPr>
              <w:t>矿山开采主要设备详见下表。</w:t>
            </w:r>
          </w:p>
          <w:p w14:paraId="63F9639B">
            <w:pPr>
              <w:pStyle w:val="15"/>
              <w:spacing w:line="480" w:lineRule="exact"/>
              <w:rPr>
                <w:rFonts w:ascii="宋体" w:hAnsi="宋体" w:eastAsia="宋体" w:cs="宋体"/>
                <w:sz w:val="21"/>
                <w:szCs w:val="21"/>
              </w:rPr>
            </w:pPr>
            <w:bookmarkStart w:id="12" w:name="_Hlk219926935"/>
            <w:r>
              <w:rPr>
                <w:rFonts w:hint="eastAsia" w:ascii="宋体" w:hAnsi="宋体" w:eastAsia="宋体" w:cs="宋体"/>
                <w:sz w:val="21"/>
                <w:szCs w:val="21"/>
              </w:rPr>
              <w:t>表</w:t>
            </w:r>
            <w:r>
              <w:rPr>
                <w:rFonts w:eastAsia="宋体"/>
                <w:sz w:val="21"/>
                <w:szCs w:val="21"/>
              </w:rPr>
              <w:t>2-</w:t>
            </w:r>
            <w:r>
              <w:rPr>
                <w:rFonts w:hint="eastAsia" w:eastAsia="宋体"/>
                <w:sz w:val="21"/>
                <w:szCs w:val="21"/>
              </w:rPr>
              <w:t>1</w:t>
            </w:r>
            <w:r>
              <w:rPr>
                <w:rFonts w:eastAsia="宋体"/>
                <w:sz w:val="21"/>
                <w:szCs w:val="21"/>
              </w:rPr>
              <w:t>0</w:t>
            </w:r>
            <w:r>
              <w:rPr>
                <w:rFonts w:hint="eastAsia" w:ascii="宋体" w:hAnsi="宋体" w:eastAsia="宋体" w:cs="宋体"/>
                <w:sz w:val="21"/>
                <w:szCs w:val="21"/>
              </w:rPr>
              <w:t xml:space="preserve">  矿山开采主要设备一览表</w:t>
            </w:r>
          </w:p>
          <w:tbl>
            <w:tblPr>
              <w:tblStyle w:val="2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4"/>
              <w:gridCol w:w="2294"/>
              <w:gridCol w:w="3402"/>
              <w:gridCol w:w="1134"/>
              <w:gridCol w:w="820"/>
            </w:tblGrid>
            <w:tr w14:paraId="55CE9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2" w:type="pct"/>
                  <w:vAlign w:val="center"/>
                </w:tcPr>
                <w:p w14:paraId="2FD83BD4">
                  <w:pPr>
                    <w:adjustRightInd w:val="0"/>
                    <w:snapToGrid w:val="0"/>
                    <w:jc w:val="center"/>
                    <w:rPr>
                      <w:szCs w:val="21"/>
                    </w:rPr>
                  </w:pPr>
                  <w:r>
                    <w:rPr>
                      <w:szCs w:val="21"/>
                    </w:rPr>
                    <w:t>序号</w:t>
                  </w:r>
                </w:p>
              </w:tc>
              <w:tc>
                <w:tcPr>
                  <w:tcW w:w="1349" w:type="pct"/>
                  <w:vAlign w:val="center"/>
                </w:tcPr>
                <w:p w14:paraId="5963C717">
                  <w:pPr>
                    <w:adjustRightInd w:val="0"/>
                    <w:snapToGrid w:val="0"/>
                    <w:jc w:val="center"/>
                    <w:rPr>
                      <w:szCs w:val="21"/>
                    </w:rPr>
                  </w:pPr>
                  <w:r>
                    <w:rPr>
                      <w:szCs w:val="21"/>
                    </w:rPr>
                    <w:t>设备名称</w:t>
                  </w:r>
                </w:p>
              </w:tc>
              <w:tc>
                <w:tcPr>
                  <w:tcW w:w="2000" w:type="pct"/>
                  <w:vAlign w:val="center"/>
                </w:tcPr>
                <w:p w14:paraId="785D6AA8">
                  <w:pPr>
                    <w:adjustRightInd w:val="0"/>
                    <w:snapToGrid w:val="0"/>
                    <w:jc w:val="center"/>
                    <w:rPr>
                      <w:szCs w:val="21"/>
                    </w:rPr>
                  </w:pPr>
                  <w:r>
                    <w:rPr>
                      <w:szCs w:val="21"/>
                    </w:rPr>
                    <w:t>型号</w:t>
                  </w:r>
                </w:p>
              </w:tc>
              <w:tc>
                <w:tcPr>
                  <w:tcW w:w="667" w:type="pct"/>
                  <w:vAlign w:val="center"/>
                </w:tcPr>
                <w:p w14:paraId="75B8E1D3">
                  <w:pPr>
                    <w:adjustRightInd w:val="0"/>
                    <w:snapToGrid w:val="0"/>
                    <w:jc w:val="center"/>
                    <w:rPr>
                      <w:szCs w:val="21"/>
                    </w:rPr>
                  </w:pPr>
                  <w:r>
                    <w:rPr>
                      <w:szCs w:val="21"/>
                    </w:rPr>
                    <w:t>数量</w:t>
                  </w:r>
                </w:p>
              </w:tc>
              <w:tc>
                <w:tcPr>
                  <w:tcW w:w="482" w:type="pct"/>
                  <w:vAlign w:val="center"/>
                </w:tcPr>
                <w:p w14:paraId="6B306E4E">
                  <w:pPr>
                    <w:adjustRightInd w:val="0"/>
                    <w:snapToGrid w:val="0"/>
                    <w:jc w:val="center"/>
                    <w:rPr>
                      <w:szCs w:val="21"/>
                    </w:rPr>
                  </w:pPr>
                  <w:r>
                    <w:rPr>
                      <w:szCs w:val="21"/>
                    </w:rPr>
                    <w:t>备注</w:t>
                  </w:r>
                </w:p>
              </w:tc>
            </w:tr>
            <w:tr w14:paraId="50C86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2" w:type="pct"/>
                  <w:vAlign w:val="center"/>
                </w:tcPr>
                <w:p w14:paraId="6E9E9ED2">
                  <w:pPr>
                    <w:adjustRightInd w:val="0"/>
                    <w:snapToGrid w:val="0"/>
                    <w:jc w:val="center"/>
                    <w:rPr>
                      <w:szCs w:val="21"/>
                    </w:rPr>
                  </w:pPr>
                  <w:r>
                    <w:rPr>
                      <w:szCs w:val="21"/>
                    </w:rPr>
                    <w:t>1</w:t>
                  </w:r>
                </w:p>
              </w:tc>
              <w:tc>
                <w:tcPr>
                  <w:tcW w:w="1349" w:type="pct"/>
                  <w:vAlign w:val="center"/>
                </w:tcPr>
                <w:p w14:paraId="364329D1">
                  <w:pPr>
                    <w:adjustRightInd w:val="0"/>
                    <w:snapToGrid w:val="0"/>
                    <w:jc w:val="center"/>
                    <w:rPr>
                      <w:szCs w:val="21"/>
                    </w:rPr>
                  </w:pPr>
                  <w:r>
                    <w:rPr>
                      <w:bCs/>
                      <w:szCs w:val="21"/>
                    </w:rPr>
                    <w:t>挖掘机（配凿岩锤）</w:t>
                  </w:r>
                </w:p>
              </w:tc>
              <w:tc>
                <w:tcPr>
                  <w:tcW w:w="2000" w:type="pct"/>
                  <w:vAlign w:val="center"/>
                </w:tcPr>
                <w:p w14:paraId="19E74657">
                  <w:pPr>
                    <w:adjustRightInd w:val="0"/>
                    <w:snapToGrid w:val="0"/>
                    <w:jc w:val="center"/>
                    <w:rPr>
                      <w:szCs w:val="21"/>
                    </w:rPr>
                  </w:pPr>
                  <w:r>
                    <w:rPr>
                      <w:bCs/>
                      <w:szCs w:val="21"/>
                    </w:rPr>
                    <w:t>CAT 385BL型挖掘机配H140型凿岩锤</w:t>
                  </w:r>
                </w:p>
              </w:tc>
              <w:tc>
                <w:tcPr>
                  <w:tcW w:w="667" w:type="pct"/>
                  <w:vAlign w:val="center"/>
                </w:tcPr>
                <w:p w14:paraId="2D22D372">
                  <w:pPr>
                    <w:adjustRightInd w:val="0"/>
                    <w:snapToGrid w:val="0"/>
                    <w:jc w:val="center"/>
                    <w:rPr>
                      <w:szCs w:val="21"/>
                    </w:rPr>
                  </w:pPr>
                  <w:r>
                    <w:rPr>
                      <w:szCs w:val="21"/>
                    </w:rPr>
                    <w:t>3台</w:t>
                  </w:r>
                </w:p>
              </w:tc>
              <w:tc>
                <w:tcPr>
                  <w:tcW w:w="482" w:type="pct"/>
                  <w:vAlign w:val="center"/>
                </w:tcPr>
                <w:p w14:paraId="69494CD5">
                  <w:pPr>
                    <w:adjustRightInd w:val="0"/>
                    <w:snapToGrid w:val="0"/>
                    <w:jc w:val="center"/>
                    <w:rPr>
                      <w:rFonts w:hint="eastAsia" w:eastAsia="宋体"/>
                      <w:szCs w:val="21"/>
                      <w:lang w:val="en-US" w:eastAsia="zh-CN"/>
                    </w:rPr>
                  </w:pPr>
                  <w:r>
                    <w:rPr>
                      <w:rFonts w:hint="eastAsia"/>
                      <w:szCs w:val="21"/>
                      <w:lang w:val="en-US" w:eastAsia="zh-CN"/>
                    </w:rPr>
                    <w:t>/</w:t>
                  </w:r>
                </w:p>
              </w:tc>
            </w:tr>
            <w:tr w14:paraId="6A859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2" w:type="pct"/>
                  <w:vAlign w:val="center"/>
                </w:tcPr>
                <w:p w14:paraId="07B44B2A">
                  <w:pPr>
                    <w:adjustRightInd w:val="0"/>
                    <w:snapToGrid w:val="0"/>
                    <w:jc w:val="center"/>
                    <w:rPr>
                      <w:szCs w:val="21"/>
                    </w:rPr>
                  </w:pPr>
                  <w:r>
                    <w:rPr>
                      <w:szCs w:val="21"/>
                    </w:rPr>
                    <w:t>2</w:t>
                  </w:r>
                </w:p>
              </w:tc>
              <w:tc>
                <w:tcPr>
                  <w:tcW w:w="1349" w:type="pct"/>
                  <w:vAlign w:val="center"/>
                </w:tcPr>
                <w:p w14:paraId="6C254F54">
                  <w:pPr>
                    <w:adjustRightInd w:val="0"/>
                    <w:snapToGrid w:val="0"/>
                    <w:jc w:val="center"/>
                    <w:rPr>
                      <w:szCs w:val="21"/>
                    </w:rPr>
                  </w:pPr>
                  <w:r>
                    <w:rPr>
                      <w:szCs w:val="21"/>
                    </w:rPr>
                    <w:t>矿山荒料双刀切石机</w:t>
                  </w:r>
                </w:p>
              </w:tc>
              <w:tc>
                <w:tcPr>
                  <w:tcW w:w="2000" w:type="pct"/>
                  <w:vAlign w:val="center"/>
                </w:tcPr>
                <w:p w14:paraId="40F50854">
                  <w:pPr>
                    <w:adjustRightInd w:val="0"/>
                    <w:snapToGrid w:val="0"/>
                    <w:jc w:val="center"/>
                    <w:rPr>
                      <w:szCs w:val="21"/>
                    </w:rPr>
                  </w:pPr>
                  <w:r>
                    <w:rPr>
                      <w:szCs w:val="21"/>
                    </w:rPr>
                    <w:t>YKZ-1950/2450-3600</w:t>
                  </w:r>
                </w:p>
              </w:tc>
              <w:tc>
                <w:tcPr>
                  <w:tcW w:w="667" w:type="pct"/>
                  <w:vAlign w:val="center"/>
                </w:tcPr>
                <w:p w14:paraId="41D418F7">
                  <w:pPr>
                    <w:adjustRightInd w:val="0"/>
                    <w:snapToGrid w:val="0"/>
                    <w:jc w:val="center"/>
                    <w:rPr>
                      <w:szCs w:val="21"/>
                    </w:rPr>
                  </w:pPr>
                  <w:r>
                    <w:rPr>
                      <w:szCs w:val="21"/>
                    </w:rPr>
                    <w:t>8台</w:t>
                  </w:r>
                </w:p>
              </w:tc>
              <w:tc>
                <w:tcPr>
                  <w:tcW w:w="482" w:type="pct"/>
                  <w:vAlign w:val="center"/>
                </w:tcPr>
                <w:p w14:paraId="37F66B3C">
                  <w:pPr>
                    <w:adjustRightInd w:val="0"/>
                    <w:snapToGrid w:val="0"/>
                    <w:jc w:val="center"/>
                    <w:rPr>
                      <w:szCs w:val="21"/>
                    </w:rPr>
                  </w:pPr>
                  <w:r>
                    <w:rPr>
                      <w:rFonts w:hint="eastAsia"/>
                      <w:szCs w:val="21"/>
                      <w:lang w:val="en-US" w:eastAsia="zh-CN"/>
                    </w:rPr>
                    <w:t>/</w:t>
                  </w:r>
                </w:p>
              </w:tc>
            </w:tr>
            <w:tr w14:paraId="1A4B8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2" w:type="pct"/>
                  <w:vAlign w:val="center"/>
                </w:tcPr>
                <w:p w14:paraId="08226786">
                  <w:pPr>
                    <w:adjustRightInd w:val="0"/>
                    <w:snapToGrid w:val="0"/>
                    <w:jc w:val="center"/>
                    <w:rPr>
                      <w:szCs w:val="21"/>
                    </w:rPr>
                  </w:pPr>
                  <w:r>
                    <w:rPr>
                      <w:szCs w:val="21"/>
                    </w:rPr>
                    <w:t>3</w:t>
                  </w:r>
                </w:p>
              </w:tc>
              <w:tc>
                <w:tcPr>
                  <w:tcW w:w="1349" w:type="pct"/>
                  <w:vAlign w:val="center"/>
                </w:tcPr>
                <w:p w14:paraId="79666E14">
                  <w:pPr>
                    <w:adjustRightInd w:val="0"/>
                    <w:snapToGrid w:val="0"/>
                    <w:jc w:val="center"/>
                    <w:rPr>
                      <w:szCs w:val="21"/>
                    </w:rPr>
                  </w:pPr>
                  <w:r>
                    <w:rPr>
                      <w:szCs w:val="21"/>
                    </w:rPr>
                    <w:t>金刚石串珠锯</w:t>
                  </w:r>
                </w:p>
              </w:tc>
              <w:tc>
                <w:tcPr>
                  <w:tcW w:w="2000" w:type="pct"/>
                  <w:vAlign w:val="center"/>
                </w:tcPr>
                <w:p w14:paraId="7B029E13">
                  <w:pPr>
                    <w:adjustRightInd w:val="0"/>
                    <w:snapToGrid w:val="0"/>
                    <w:jc w:val="center"/>
                    <w:rPr>
                      <w:szCs w:val="21"/>
                    </w:rPr>
                  </w:pPr>
                  <w:r>
                    <w:rPr>
                      <w:szCs w:val="21"/>
                    </w:rPr>
                    <w:t>华大75</w:t>
                  </w:r>
                </w:p>
              </w:tc>
              <w:tc>
                <w:tcPr>
                  <w:tcW w:w="667" w:type="pct"/>
                  <w:vAlign w:val="center"/>
                </w:tcPr>
                <w:p w14:paraId="157A5417">
                  <w:pPr>
                    <w:adjustRightInd w:val="0"/>
                    <w:snapToGrid w:val="0"/>
                    <w:jc w:val="center"/>
                    <w:rPr>
                      <w:szCs w:val="21"/>
                    </w:rPr>
                  </w:pPr>
                  <w:r>
                    <w:rPr>
                      <w:szCs w:val="21"/>
                    </w:rPr>
                    <w:t>4台</w:t>
                  </w:r>
                </w:p>
              </w:tc>
              <w:tc>
                <w:tcPr>
                  <w:tcW w:w="482" w:type="pct"/>
                  <w:vAlign w:val="center"/>
                </w:tcPr>
                <w:p w14:paraId="18169C24">
                  <w:pPr>
                    <w:adjustRightInd w:val="0"/>
                    <w:snapToGrid w:val="0"/>
                    <w:jc w:val="center"/>
                    <w:rPr>
                      <w:szCs w:val="21"/>
                    </w:rPr>
                  </w:pPr>
                  <w:r>
                    <w:rPr>
                      <w:rFonts w:hint="eastAsia"/>
                      <w:szCs w:val="21"/>
                      <w:lang w:val="en-US" w:eastAsia="zh-CN"/>
                    </w:rPr>
                    <w:t>/</w:t>
                  </w:r>
                </w:p>
              </w:tc>
            </w:tr>
            <w:tr w14:paraId="563D7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2" w:type="pct"/>
                  <w:vAlign w:val="center"/>
                </w:tcPr>
                <w:p w14:paraId="58A7E6E2">
                  <w:pPr>
                    <w:adjustRightInd w:val="0"/>
                    <w:snapToGrid w:val="0"/>
                    <w:jc w:val="center"/>
                    <w:rPr>
                      <w:szCs w:val="21"/>
                    </w:rPr>
                  </w:pPr>
                  <w:r>
                    <w:rPr>
                      <w:szCs w:val="21"/>
                    </w:rPr>
                    <w:t>4</w:t>
                  </w:r>
                </w:p>
              </w:tc>
              <w:tc>
                <w:tcPr>
                  <w:tcW w:w="1349" w:type="pct"/>
                  <w:vAlign w:val="center"/>
                </w:tcPr>
                <w:p w14:paraId="4365552F">
                  <w:pPr>
                    <w:adjustRightInd w:val="0"/>
                    <w:snapToGrid w:val="0"/>
                    <w:jc w:val="center"/>
                    <w:rPr>
                      <w:szCs w:val="21"/>
                    </w:rPr>
                  </w:pPr>
                  <w:r>
                    <w:rPr>
                      <w:szCs w:val="21"/>
                    </w:rPr>
                    <w:t>液压顶石机</w:t>
                  </w:r>
                </w:p>
              </w:tc>
              <w:tc>
                <w:tcPr>
                  <w:tcW w:w="2000" w:type="pct"/>
                  <w:vAlign w:val="center"/>
                </w:tcPr>
                <w:p w14:paraId="4EAFADC8">
                  <w:pPr>
                    <w:adjustRightInd w:val="0"/>
                    <w:snapToGrid w:val="0"/>
                    <w:jc w:val="center"/>
                    <w:rPr>
                      <w:szCs w:val="21"/>
                    </w:rPr>
                  </w:pPr>
                  <w:r>
                    <w:rPr>
                      <w:szCs w:val="21"/>
                    </w:rPr>
                    <w:t>CSH-8A型</w:t>
                  </w:r>
                </w:p>
              </w:tc>
              <w:tc>
                <w:tcPr>
                  <w:tcW w:w="667" w:type="pct"/>
                  <w:vAlign w:val="center"/>
                </w:tcPr>
                <w:p w14:paraId="1DDB8D24">
                  <w:pPr>
                    <w:adjustRightInd w:val="0"/>
                    <w:snapToGrid w:val="0"/>
                    <w:jc w:val="center"/>
                    <w:rPr>
                      <w:szCs w:val="21"/>
                    </w:rPr>
                  </w:pPr>
                  <w:r>
                    <w:rPr>
                      <w:szCs w:val="21"/>
                    </w:rPr>
                    <w:t>6台</w:t>
                  </w:r>
                </w:p>
              </w:tc>
              <w:tc>
                <w:tcPr>
                  <w:tcW w:w="482" w:type="pct"/>
                  <w:vAlign w:val="center"/>
                </w:tcPr>
                <w:p w14:paraId="551881AF">
                  <w:pPr>
                    <w:adjustRightInd w:val="0"/>
                    <w:snapToGrid w:val="0"/>
                    <w:jc w:val="center"/>
                    <w:rPr>
                      <w:szCs w:val="21"/>
                    </w:rPr>
                  </w:pPr>
                  <w:r>
                    <w:rPr>
                      <w:rFonts w:hint="eastAsia"/>
                      <w:szCs w:val="21"/>
                      <w:lang w:val="en-US" w:eastAsia="zh-CN"/>
                    </w:rPr>
                    <w:t>/</w:t>
                  </w:r>
                </w:p>
              </w:tc>
            </w:tr>
            <w:tr w14:paraId="59917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2" w:type="pct"/>
                  <w:vAlign w:val="center"/>
                </w:tcPr>
                <w:p w14:paraId="7A24A239">
                  <w:pPr>
                    <w:adjustRightInd w:val="0"/>
                    <w:snapToGrid w:val="0"/>
                    <w:jc w:val="center"/>
                    <w:rPr>
                      <w:szCs w:val="21"/>
                    </w:rPr>
                  </w:pPr>
                  <w:r>
                    <w:rPr>
                      <w:szCs w:val="21"/>
                    </w:rPr>
                    <w:t>5</w:t>
                  </w:r>
                </w:p>
              </w:tc>
              <w:tc>
                <w:tcPr>
                  <w:tcW w:w="1349" w:type="pct"/>
                  <w:vAlign w:val="center"/>
                </w:tcPr>
                <w:p w14:paraId="1525FD5D">
                  <w:pPr>
                    <w:adjustRightInd w:val="0"/>
                    <w:snapToGrid w:val="0"/>
                    <w:jc w:val="center"/>
                    <w:rPr>
                      <w:szCs w:val="21"/>
                    </w:rPr>
                  </w:pPr>
                  <w:r>
                    <w:rPr>
                      <w:szCs w:val="21"/>
                    </w:rPr>
                    <w:t>桅杆吊</w:t>
                  </w:r>
                </w:p>
              </w:tc>
              <w:tc>
                <w:tcPr>
                  <w:tcW w:w="2000" w:type="pct"/>
                  <w:vAlign w:val="center"/>
                </w:tcPr>
                <w:p w14:paraId="61F9242C">
                  <w:pPr>
                    <w:adjustRightInd w:val="0"/>
                    <w:snapToGrid w:val="0"/>
                    <w:jc w:val="center"/>
                    <w:rPr>
                      <w:rFonts w:hint="eastAsia" w:eastAsia="宋体"/>
                      <w:szCs w:val="21"/>
                      <w:lang w:val="en-US" w:eastAsia="zh-CN"/>
                    </w:rPr>
                  </w:pPr>
                  <w:r>
                    <w:rPr>
                      <w:rFonts w:hint="eastAsia"/>
                      <w:szCs w:val="21"/>
                      <w:lang w:val="en-US" w:eastAsia="zh-CN"/>
                    </w:rPr>
                    <w:t>/</w:t>
                  </w:r>
                </w:p>
              </w:tc>
              <w:tc>
                <w:tcPr>
                  <w:tcW w:w="667" w:type="pct"/>
                  <w:vAlign w:val="center"/>
                </w:tcPr>
                <w:p w14:paraId="650E2E23">
                  <w:pPr>
                    <w:adjustRightInd w:val="0"/>
                    <w:snapToGrid w:val="0"/>
                    <w:jc w:val="center"/>
                    <w:rPr>
                      <w:szCs w:val="21"/>
                    </w:rPr>
                  </w:pPr>
                  <w:r>
                    <w:rPr>
                      <w:szCs w:val="21"/>
                    </w:rPr>
                    <w:t>4台</w:t>
                  </w:r>
                </w:p>
              </w:tc>
              <w:tc>
                <w:tcPr>
                  <w:tcW w:w="482" w:type="pct"/>
                  <w:vAlign w:val="center"/>
                </w:tcPr>
                <w:p w14:paraId="4FEF9651">
                  <w:pPr>
                    <w:adjustRightInd w:val="0"/>
                    <w:snapToGrid w:val="0"/>
                    <w:jc w:val="center"/>
                    <w:rPr>
                      <w:szCs w:val="21"/>
                    </w:rPr>
                  </w:pPr>
                  <w:r>
                    <w:rPr>
                      <w:rFonts w:hint="eastAsia"/>
                      <w:szCs w:val="21"/>
                      <w:lang w:val="en-US" w:eastAsia="zh-CN"/>
                    </w:rPr>
                    <w:t>/</w:t>
                  </w:r>
                </w:p>
              </w:tc>
            </w:tr>
            <w:tr w14:paraId="32D1D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2" w:type="pct"/>
                  <w:vAlign w:val="center"/>
                </w:tcPr>
                <w:p w14:paraId="03BB3B77">
                  <w:pPr>
                    <w:adjustRightInd w:val="0"/>
                    <w:snapToGrid w:val="0"/>
                    <w:jc w:val="center"/>
                    <w:rPr>
                      <w:szCs w:val="21"/>
                    </w:rPr>
                  </w:pPr>
                  <w:r>
                    <w:rPr>
                      <w:szCs w:val="21"/>
                    </w:rPr>
                    <w:t>6</w:t>
                  </w:r>
                </w:p>
              </w:tc>
              <w:tc>
                <w:tcPr>
                  <w:tcW w:w="1349" w:type="pct"/>
                  <w:vAlign w:val="center"/>
                </w:tcPr>
                <w:p w14:paraId="4E5A6D22">
                  <w:pPr>
                    <w:adjustRightInd w:val="0"/>
                    <w:snapToGrid w:val="0"/>
                    <w:jc w:val="center"/>
                    <w:rPr>
                      <w:szCs w:val="21"/>
                    </w:rPr>
                  </w:pPr>
                  <w:r>
                    <w:rPr>
                      <w:szCs w:val="21"/>
                    </w:rPr>
                    <w:t>荒料运输车</w:t>
                  </w:r>
                </w:p>
              </w:tc>
              <w:tc>
                <w:tcPr>
                  <w:tcW w:w="2000" w:type="pct"/>
                  <w:vAlign w:val="center"/>
                </w:tcPr>
                <w:p w14:paraId="4182CCCB">
                  <w:pPr>
                    <w:adjustRightInd w:val="0"/>
                    <w:snapToGrid w:val="0"/>
                    <w:jc w:val="center"/>
                    <w:rPr>
                      <w:szCs w:val="21"/>
                    </w:rPr>
                  </w:pPr>
                  <w:r>
                    <w:rPr>
                      <w:szCs w:val="21"/>
                    </w:rPr>
                    <w:t>QE3060</w:t>
                  </w:r>
                </w:p>
              </w:tc>
              <w:tc>
                <w:tcPr>
                  <w:tcW w:w="667" w:type="pct"/>
                  <w:vAlign w:val="center"/>
                </w:tcPr>
                <w:p w14:paraId="1FB964B6">
                  <w:pPr>
                    <w:adjustRightInd w:val="0"/>
                    <w:snapToGrid w:val="0"/>
                    <w:jc w:val="center"/>
                    <w:rPr>
                      <w:szCs w:val="21"/>
                    </w:rPr>
                  </w:pPr>
                  <w:r>
                    <w:rPr>
                      <w:szCs w:val="21"/>
                    </w:rPr>
                    <w:t>4辆</w:t>
                  </w:r>
                </w:p>
              </w:tc>
              <w:tc>
                <w:tcPr>
                  <w:tcW w:w="482" w:type="pct"/>
                  <w:vAlign w:val="center"/>
                </w:tcPr>
                <w:p w14:paraId="2DA94336">
                  <w:pPr>
                    <w:adjustRightInd w:val="0"/>
                    <w:snapToGrid w:val="0"/>
                    <w:jc w:val="center"/>
                    <w:rPr>
                      <w:szCs w:val="21"/>
                    </w:rPr>
                  </w:pPr>
                  <w:r>
                    <w:rPr>
                      <w:rFonts w:hint="eastAsia"/>
                      <w:szCs w:val="21"/>
                      <w:lang w:val="en-US" w:eastAsia="zh-CN"/>
                    </w:rPr>
                    <w:t>/</w:t>
                  </w:r>
                </w:p>
              </w:tc>
            </w:tr>
            <w:tr w14:paraId="3C933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2" w:type="pct"/>
                  <w:vAlign w:val="center"/>
                </w:tcPr>
                <w:p w14:paraId="74960ABD">
                  <w:pPr>
                    <w:adjustRightInd w:val="0"/>
                    <w:snapToGrid w:val="0"/>
                    <w:jc w:val="center"/>
                    <w:rPr>
                      <w:szCs w:val="21"/>
                    </w:rPr>
                  </w:pPr>
                  <w:r>
                    <w:rPr>
                      <w:szCs w:val="21"/>
                    </w:rPr>
                    <w:t>7</w:t>
                  </w:r>
                </w:p>
              </w:tc>
              <w:tc>
                <w:tcPr>
                  <w:tcW w:w="1349" w:type="pct"/>
                  <w:vAlign w:val="center"/>
                </w:tcPr>
                <w:p w14:paraId="69E6E221">
                  <w:pPr>
                    <w:adjustRightInd w:val="0"/>
                    <w:snapToGrid w:val="0"/>
                    <w:jc w:val="center"/>
                    <w:rPr>
                      <w:szCs w:val="21"/>
                    </w:rPr>
                  </w:pPr>
                  <w:r>
                    <w:rPr>
                      <w:szCs w:val="21"/>
                    </w:rPr>
                    <w:t>挖掘机</w:t>
                  </w:r>
                </w:p>
              </w:tc>
              <w:tc>
                <w:tcPr>
                  <w:tcW w:w="2000" w:type="pct"/>
                  <w:vAlign w:val="center"/>
                </w:tcPr>
                <w:p w14:paraId="636E8DEF">
                  <w:pPr>
                    <w:adjustRightInd w:val="0"/>
                    <w:snapToGrid w:val="0"/>
                    <w:jc w:val="center"/>
                    <w:rPr>
                      <w:szCs w:val="21"/>
                    </w:rPr>
                  </w:pPr>
                  <w:r>
                    <w:rPr>
                      <w:szCs w:val="21"/>
                    </w:rPr>
                    <w:t>EC360BLC</w:t>
                  </w:r>
                </w:p>
              </w:tc>
              <w:tc>
                <w:tcPr>
                  <w:tcW w:w="667" w:type="pct"/>
                  <w:vAlign w:val="center"/>
                </w:tcPr>
                <w:p w14:paraId="25213051">
                  <w:pPr>
                    <w:adjustRightInd w:val="0"/>
                    <w:snapToGrid w:val="0"/>
                    <w:jc w:val="center"/>
                    <w:rPr>
                      <w:szCs w:val="21"/>
                    </w:rPr>
                  </w:pPr>
                  <w:r>
                    <w:rPr>
                      <w:szCs w:val="21"/>
                    </w:rPr>
                    <w:t>7台</w:t>
                  </w:r>
                </w:p>
              </w:tc>
              <w:tc>
                <w:tcPr>
                  <w:tcW w:w="482" w:type="pct"/>
                  <w:vAlign w:val="center"/>
                </w:tcPr>
                <w:p w14:paraId="6FEBF0E4">
                  <w:pPr>
                    <w:adjustRightInd w:val="0"/>
                    <w:snapToGrid w:val="0"/>
                    <w:jc w:val="center"/>
                    <w:rPr>
                      <w:szCs w:val="21"/>
                    </w:rPr>
                  </w:pPr>
                  <w:r>
                    <w:rPr>
                      <w:rFonts w:hint="eastAsia"/>
                      <w:szCs w:val="21"/>
                      <w:lang w:val="en-US" w:eastAsia="zh-CN"/>
                    </w:rPr>
                    <w:t>/</w:t>
                  </w:r>
                </w:p>
              </w:tc>
            </w:tr>
            <w:tr w14:paraId="72220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2" w:type="pct"/>
                  <w:vAlign w:val="center"/>
                </w:tcPr>
                <w:p w14:paraId="515B2B7A">
                  <w:pPr>
                    <w:adjustRightInd w:val="0"/>
                    <w:snapToGrid w:val="0"/>
                    <w:jc w:val="center"/>
                    <w:rPr>
                      <w:szCs w:val="21"/>
                    </w:rPr>
                  </w:pPr>
                  <w:r>
                    <w:rPr>
                      <w:szCs w:val="21"/>
                    </w:rPr>
                    <w:t>8</w:t>
                  </w:r>
                </w:p>
              </w:tc>
              <w:tc>
                <w:tcPr>
                  <w:tcW w:w="1349" w:type="pct"/>
                  <w:vAlign w:val="center"/>
                </w:tcPr>
                <w:p w14:paraId="5D5EBE97">
                  <w:pPr>
                    <w:adjustRightInd w:val="0"/>
                    <w:snapToGrid w:val="0"/>
                    <w:jc w:val="center"/>
                    <w:rPr>
                      <w:szCs w:val="21"/>
                    </w:rPr>
                  </w:pPr>
                  <w:r>
                    <w:rPr>
                      <w:szCs w:val="21"/>
                    </w:rPr>
                    <w:t>装载机</w:t>
                  </w:r>
                </w:p>
              </w:tc>
              <w:tc>
                <w:tcPr>
                  <w:tcW w:w="2000" w:type="pct"/>
                  <w:vAlign w:val="center"/>
                </w:tcPr>
                <w:p w14:paraId="2736C0AC">
                  <w:pPr>
                    <w:adjustRightInd w:val="0"/>
                    <w:snapToGrid w:val="0"/>
                    <w:jc w:val="center"/>
                    <w:rPr>
                      <w:szCs w:val="21"/>
                    </w:rPr>
                  </w:pPr>
                  <w:r>
                    <w:rPr>
                      <w:szCs w:val="21"/>
                    </w:rPr>
                    <w:t>LG953N、LKG956L</w:t>
                  </w:r>
                </w:p>
              </w:tc>
              <w:tc>
                <w:tcPr>
                  <w:tcW w:w="667" w:type="pct"/>
                  <w:vAlign w:val="center"/>
                </w:tcPr>
                <w:p w14:paraId="1D1D1A59">
                  <w:pPr>
                    <w:adjustRightInd w:val="0"/>
                    <w:snapToGrid w:val="0"/>
                    <w:jc w:val="center"/>
                    <w:rPr>
                      <w:szCs w:val="21"/>
                    </w:rPr>
                  </w:pPr>
                  <w:r>
                    <w:rPr>
                      <w:szCs w:val="21"/>
                    </w:rPr>
                    <w:t>各2台</w:t>
                  </w:r>
                </w:p>
              </w:tc>
              <w:tc>
                <w:tcPr>
                  <w:tcW w:w="482" w:type="pct"/>
                  <w:vAlign w:val="center"/>
                </w:tcPr>
                <w:p w14:paraId="01C24882">
                  <w:pPr>
                    <w:adjustRightInd w:val="0"/>
                    <w:snapToGrid w:val="0"/>
                    <w:jc w:val="center"/>
                    <w:rPr>
                      <w:szCs w:val="21"/>
                    </w:rPr>
                  </w:pPr>
                  <w:r>
                    <w:rPr>
                      <w:rFonts w:hint="eastAsia"/>
                      <w:szCs w:val="21"/>
                      <w:lang w:val="en-US" w:eastAsia="zh-CN"/>
                    </w:rPr>
                    <w:t>/</w:t>
                  </w:r>
                </w:p>
              </w:tc>
            </w:tr>
            <w:tr w14:paraId="0C0F5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2" w:type="pct"/>
                  <w:vAlign w:val="center"/>
                </w:tcPr>
                <w:p w14:paraId="7E8C970A">
                  <w:pPr>
                    <w:adjustRightInd w:val="0"/>
                    <w:snapToGrid w:val="0"/>
                    <w:jc w:val="center"/>
                    <w:rPr>
                      <w:szCs w:val="21"/>
                    </w:rPr>
                  </w:pPr>
                  <w:r>
                    <w:rPr>
                      <w:szCs w:val="21"/>
                    </w:rPr>
                    <w:t>9</w:t>
                  </w:r>
                </w:p>
              </w:tc>
              <w:tc>
                <w:tcPr>
                  <w:tcW w:w="1349" w:type="pct"/>
                  <w:vAlign w:val="center"/>
                </w:tcPr>
                <w:p w14:paraId="3F4361C8">
                  <w:pPr>
                    <w:adjustRightInd w:val="0"/>
                    <w:snapToGrid w:val="0"/>
                    <w:jc w:val="center"/>
                    <w:rPr>
                      <w:szCs w:val="21"/>
                    </w:rPr>
                  </w:pPr>
                  <w:r>
                    <w:rPr>
                      <w:szCs w:val="21"/>
                    </w:rPr>
                    <w:t>自卸汽车</w:t>
                  </w:r>
                </w:p>
              </w:tc>
              <w:tc>
                <w:tcPr>
                  <w:tcW w:w="2000" w:type="pct"/>
                  <w:vAlign w:val="center"/>
                </w:tcPr>
                <w:p w14:paraId="014298FB">
                  <w:pPr>
                    <w:adjustRightInd w:val="0"/>
                    <w:snapToGrid w:val="0"/>
                    <w:jc w:val="center"/>
                    <w:rPr>
                      <w:szCs w:val="21"/>
                    </w:rPr>
                  </w:pPr>
                  <w:r>
                    <w:rPr>
                      <w:szCs w:val="21"/>
                    </w:rPr>
                    <w:t>SX3254BM354</w:t>
                  </w:r>
                </w:p>
              </w:tc>
              <w:tc>
                <w:tcPr>
                  <w:tcW w:w="667" w:type="pct"/>
                  <w:vAlign w:val="center"/>
                </w:tcPr>
                <w:p w14:paraId="166BBF43">
                  <w:pPr>
                    <w:adjustRightInd w:val="0"/>
                    <w:snapToGrid w:val="0"/>
                    <w:jc w:val="center"/>
                    <w:rPr>
                      <w:szCs w:val="21"/>
                    </w:rPr>
                  </w:pPr>
                  <w:r>
                    <w:rPr>
                      <w:szCs w:val="21"/>
                    </w:rPr>
                    <w:t>18辆</w:t>
                  </w:r>
                </w:p>
              </w:tc>
              <w:tc>
                <w:tcPr>
                  <w:tcW w:w="482" w:type="pct"/>
                  <w:vAlign w:val="center"/>
                </w:tcPr>
                <w:p w14:paraId="75D9E2B6">
                  <w:pPr>
                    <w:adjustRightInd w:val="0"/>
                    <w:snapToGrid w:val="0"/>
                    <w:jc w:val="center"/>
                    <w:rPr>
                      <w:szCs w:val="21"/>
                    </w:rPr>
                  </w:pPr>
                  <w:r>
                    <w:rPr>
                      <w:rFonts w:hint="eastAsia"/>
                      <w:szCs w:val="21"/>
                      <w:lang w:val="en-US" w:eastAsia="zh-CN"/>
                    </w:rPr>
                    <w:t>/</w:t>
                  </w:r>
                </w:p>
              </w:tc>
            </w:tr>
            <w:tr w14:paraId="4441D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2" w:type="pct"/>
                  <w:vAlign w:val="center"/>
                </w:tcPr>
                <w:p w14:paraId="4ED4779A">
                  <w:pPr>
                    <w:adjustRightInd w:val="0"/>
                    <w:snapToGrid w:val="0"/>
                    <w:jc w:val="center"/>
                    <w:rPr>
                      <w:szCs w:val="21"/>
                    </w:rPr>
                  </w:pPr>
                  <w:r>
                    <w:rPr>
                      <w:szCs w:val="21"/>
                    </w:rPr>
                    <w:t>10</w:t>
                  </w:r>
                </w:p>
              </w:tc>
              <w:tc>
                <w:tcPr>
                  <w:tcW w:w="1349" w:type="pct"/>
                  <w:vAlign w:val="center"/>
                </w:tcPr>
                <w:p w14:paraId="5CD1D1E2">
                  <w:pPr>
                    <w:adjustRightInd w:val="0"/>
                    <w:snapToGrid w:val="0"/>
                    <w:jc w:val="center"/>
                    <w:rPr>
                      <w:szCs w:val="21"/>
                    </w:rPr>
                  </w:pPr>
                  <w:r>
                    <w:rPr>
                      <w:szCs w:val="21"/>
                    </w:rPr>
                    <w:t>洒水车</w:t>
                  </w:r>
                </w:p>
              </w:tc>
              <w:tc>
                <w:tcPr>
                  <w:tcW w:w="2000" w:type="pct"/>
                  <w:vAlign w:val="center"/>
                </w:tcPr>
                <w:p w14:paraId="0236C8DC">
                  <w:pPr>
                    <w:jc w:val="center"/>
                    <w:rPr>
                      <w:szCs w:val="21"/>
                    </w:rPr>
                  </w:pPr>
                  <w:r>
                    <w:rPr>
                      <w:rFonts w:hint="eastAsia"/>
                      <w:szCs w:val="21"/>
                    </w:rPr>
                    <w:t>射程28m，水泵流量60m</w:t>
                  </w:r>
                  <w:r>
                    <w:rPr>
                      <w:rFonts w:hint="eastAsia"/>
                      <w:szCs w:val="21"/>
                      <w:vertAlign w:val="superscript"/>
                    </w:rPr>
                    <w:t>3</w:t>
                  </w:r>
                  <w:r>
                    <w:rPr>
                      <w:rFonts w:hint="eastAsia"/>
                      <w:szCs w:val="21"/>
                    </w:rPr>
                    <w:t>/h，水泵压力1MPa</w:t>
                  </w:r>
                </w:p>
              </w:tc>
              <w:tc>
                <w:tcPr>
                  <w:tcW w:w="667" w:type="pct"/>
                  <w:vAlign w:val="center"/>
                </w:tcPr>
                <w:p w14:paraId="35968CAB">
                  <w:pPr>
                    <w:jc w:val="center"/>
                    <w:rPr>
                      <w:szCs w:val="21"/>
                    </w:rPr>
                  </w:pPr>
                  <w:r>
                    <w:rPr>
                      <w:rFonts w:hint="eastAsia"/>
                      <w:szCs w:val="21"/>
                    </w:rPr>
                    <w:t>2台</w:t>
                  </w:r>
                </w:p>
              </w:tc>
              <w:tc>
                <w:tcPr>
                  <w:tcW w:w="482" w:type="pct"/>
                  <w:vAlign w:val="center"/>
                </w:tcPr>
                <w:p w14:paraId="1FECA30D">
                  <w:pPr>
                    <w:adjustRightInd w:val="0"/>
                    <w:snapToGrid w:val="0"/>
                    <w:jc w:val="center"/>
                    <w:rPr>
                      <w:szCs w:val="21"/>
                    </w:rPr>
                  </w:pPr>
                  <w:r>
                    <w:rPr>
                      <w:rFonts w:hint="eastAsia"/>
                      <w:szCs w:val="21"/>
                      <w:lang w:val="en-US" w:eastAsia="zh-CN"/>
                    </w:rPr>
                    <w:t>/</w:t>
                  </w:r>
                </w:p>
              </w:tc>
            </w:tr>
            <w:bookmarkEnd w:id="12"/>
          </w:tbl>
          <w:p w14:paraId="1FD3BA85">
            <w:pPr>
              <w:keepNext w:val="0"/>
              <w:keepLines w:val="0"/>
              <w:pageBreakBefore w:val="0"/>
              <w:widowControl/>
              <w:kinsoku/>
              <w:wordWrap/>
              <w:overflowPunct/>
              <w:topLinePunct w:val="0"/>
              <w:autoSpaceDE/>
              <w:autoSpaceDN/>
              <w:bidi w:val="0"/>
              <w:adjustRightInd/>
              <w:snapToGrid/>
              <w:spacing w:line="480" w:lineRule="exact"/>
              <w:ind w:firstLine="482" w:firstLineChars="200"/>
              <w:textAlignment w:val="auto"/>
              <w:rPr>
                <w:kern w:val="0"/>
                <w:sz w:val="24"/>
                <w:lang w:bidi="ar"/>
              </w:rPr>
            </w:pPr>
            <w:r>
              <w:rPr>
                <w:rFonts w:hint="eastAsia"/>
                <w:b/>
                <w:bCs/>
                <w:kern w:val="0"/>
                <w:sz w:val="24"/>
                <w:lang w:bidi="ar"/>
              </w:rPr>
              <w:t>11.劳动定员及工作制度</w:t>
            </w:r>
          </w:p>
          <w:p w14:paraId="2D586581">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color w:val="FF0000"/>
                <w:kern w:val="0"/>
                <w:sz w:val="24"/>
                <w:lang w:bidi="ar"/>
              </w:rPr>
            </w:pPr>
            <w:r>
              <w:rPr>
                <w:rFonts w:hint="eastAsia"/>
                <w:kern w:val="0"/>
                <w:sz w:val="24"/>
                <w:lang w:bidi="ar"/>
              </w:rPr>
              <w:t>本项目劳动定员为50人，1班工作制，每班8h，每年4月—10月生产，</w:t>
            </w:r>
            <w:r>
              <w:rPr>
                <w:rFonts w:hint="eastAsia" w:ascii="宋体" w:hAnsi="宋体" w:cs="宋体"/>
                <w:sz w:val="24"/>
              </w:rPr>
              <w:t>冬天不生产，</w:t>
            </w:r>
            <w:r>
              <w:rPr>
                <w:rFonts w:hint="eastAsia"/>
                <w:kern w:val="0"/>
                <w:sz w:val="24"/>
                <w:lang w:bidi="ar"/>
              </w:rPr>
              <w:t>年工作200天。</w:t>
            </w:r>
          </w:p>
          <w:p w14:paraId="5EFD2020">
            <w:pPr>
              <w:keepNext w:val="0"/>
              <w:keepLines w:val="0"/>
              <w:pageBreakBefore w:val="0"/>
              <w:widowControl/>
              <w:kinsoku/>
              <w:wordWrap/>
              <w:overflowPunct/>
              <w:topLinePunct w:val="0"/>
              <w:autoSpaceDE/>
              <w:autoSpaceDN/>
              <w:bidi w:val="0"/>
              <w:adjustRightInd/>
              <w:snapToGrid/>
              <w:spacing w:line="480" w:lineRule="exact"/>
              <w:ind w:firstLine="482" w:firstLineChars="200"/>
              <w:textAlignment w:val="auto"/>
              <w:rPr>
                <w:b/>
                <w:bCs/>
                <w:kern w:val="0"/>
                <w:sz w:val="24"/>
                <w:lang w:bidi="ar"/>
              </w:rPr>
            </w:pPr>
            <w:r>
              <w:rPr>
                <w:rFonts w:hint="eastAsia"/>
                <w:b/>
                <w:bCs/>
                <w:kern w:val="0"/>
                <w:sz w:val="24"/>
                <w:lang w:bidi="ar"/>
              </w:rPr>
              <w:t>12.公用工程</w:t>
            </w:r>
          </w:p>
          <w:p w14:paraId="22232F2D">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kern w:val="0"/>
                <w:sz w:val="24"/>
                <w:lang w:bidi="ar"/>
              </w:rPr>
            </w:pPr>
            <w:r>
              <w:rPr>
                <w:rFonts w:hint="eastAsia"/>
                <w:kern w:val="0"/>
                <w:sz w:val="24"/>
                <w:lang w:bidi="ar"/>
              </w:rPr>
              <w:t>（1）供电</w:t>
            </w:r>
          </w:p>
          <w:p w14:paraId="5B68DB6B">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kern w:val="0"/>
                <w:sz w:val="24"/>
                <w:lang w:bidi="ar"/>
              </w:rPr>
            </w:pPr>
            <w:r>
              <w:rPr>
                <w:rFonts w:hint="eastAsia"/>
                <w:kern w:val="0"/>
                <w:sz w:val="24"/>
                <w:lang w:bidi="ar"/>
              </w:rPr>
              <w:t>本项目电源引自西潘乡供电所，本项目设置1台220kV变压器。</w:t>
            </w:r>
          </w:p>
          <w:p w14:paraId="34A1B14B">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kern w:val="0"/>
                <w:sz w:val="24"/>
                <w:lang w:bidi="ar"/>
              </w:rPr>
            </w:pPr>
            <w:r>
              <w:rPr>
                <w:rFonts w:hint="eastAsia"/>
                <w:kern w:val="0"/>
                <w:sz w:val="24"/>
                <w:lang w:bidi="ar"/>
              </w:rPr>
              <w:t>（2）供暖</w:t>
            </w:r>
          </w:p>
          <w:p w14:paraId="481B86AB">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color w:val="FF0000"/>
                <w:kern w:val="0"/>
                <w:sz w:val="24"/>
                <w:lang w:bidi="ar"/>
              </w:rPr>
            </w:pPr>
            <w:r>
              <w:rPr>
                <w:kern w:val="0"/>
                <w:sz w:val="24"/>
                <w:lang w:bidi="ar"/>
              </w:rPr>
              <w:t>本项目生产时间集中在非采暖期，生产区无需采暖，办公区冬季值班采暖采用</w:t>
            </w:r>
            <w:r>
              <w:rPr>
                <w:rFonts w:hint="eastAsia"/>
                <w:kern w:val="0"/>
                <w:sz w:val="24"/>
                <w:lang w:bidi="ar"/>
              </w:rPr>
              <w:t>电暖器。</w:t>
            </w:r>
          </w:p>
          <w:p w14:paraId="7F410921">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kern w:val="0"/>
                <w:sz w:val="24"/>
                <w:lang w:bidi="ar"/>
              </w:rPr>
            </w:pPr>
            <w:r>
              <w:rPr>
                <w:rFonts w:hint="eastAsia"/>
                <w:kern w:val="0"/>
                <w:sz w:val="24"/>
                <w:lang w:bidi="ar"/>
              </w:rPr>
              <w:t>（3）给排水</w:t>
            </w:r>
          </w:p>
          <w:p w14:paraId="19691344">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kern w:val="0"/>
                <w:sz w:val="24"/>
                <w:lang w:bidi="ar"/>
              </w:rPr>
            </w:pPr>
            <w:r>
              <w:rPr>
                <w:rFonts w:hint="eastAsia"/>
                <w:kern w:val="0"/>
                <w:sz w:val="24"/>
                <w:lang w:bidi="ar"/>
              </w:rPr>
              <w:t>①给水</w:t>
            </w:r>
          </w:p>
          <w:p w14:paraId="7B9E9D7A">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kern w:val="0"/>
                <w:sz w:val="24"/>
                <w:lang w:bidi="ar"/>
              </w:rPr>
            </w:pPr>
            <w:r>
              <w:rPr>
                <w:rFonts w:hint="eastAsia"/>
                <w:kern w:val="0"/>
                <w:sz w:val="24"/>
                <w:lang w:bidi="ar"/>
              </w:rPr>
              <w:t>本项目用水主要包括采场降尘洒水、工业场地抑尘洒水、车辆冲洗用水、绿化用水以及道路洒水等，外购于周边村庄，采用罐车拉水。</w:t>
            </w:r>
          </w:p>
          <w:p w14:paraId="595BC585">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kern w:val="0"/>
                <w:sz w:val="24"/>
                <w:lang w:bidi="ar"/>
              </w:rPr>
            </w:pPr>
            <w:r>
              <w:rPr>
                <w:rFonts w:hint="eastAsia" w:ascii="宋体" w:hAnsi="宋体" w:cs="宋体"/>
                <w:kern w:val="0"/>
                <w:sz w:val="24"/>
                <w:lang w:bidi="ar"/>
              </w:rPr>
              <w:t>②用排水</w:t>
            </w:r>
          </w:p>
          <w:p w14:paraId="112D3C11">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kern w:val="0"/>
                <w:sz w:val="24"/>
                <w:lang w:bidi="ar"/>
              </w:rPr>
            </w:pPr>
            <w:r>
              <w:rPr>
                <w:rFonts w:hint="eastAsia"/>
                <w:kern w:val="0"/>
                <w:sz w:val="24"/>
                <w:lang w:bidi="ar"/>
              </w:rPr>
              <w:t>a）凿岩开采用水</w:t>
            </w:r>
          </w:p>
          <w:p w14:paraId="4E56D395">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kern w:val="0"/>
                <w:sz w:val="24"/>
                <w:lang w:bidi="ar"/>
              </w:rPr>
            </w:pPr>
            <w:r>
              <w:rPr>
                <w:rFonts w:hint="eastAsia"/>
                <w:kern w:val="0"/>
                <w:sz w:val="24"/>
                <w:lang w:bidi="ar"/>
              </w:rPr>
              <w:t>项目凿岩开采过程影响范围主要为凿岩工作面20m范围内，凿岩过程采用雾炮车进行喷水抑尘，根据以往生产经验，凿岩降尘用水按5L/t矿石计算，项目采用</w:t>
            </w:r>
            <w:r>
              <w:rPr>
                <w:rFonts w:hint="eastAsia" w:ascii="宋体" w:hAnsi="宋体" w:cs="宋体"/>
                <w:kern w:val="0"/>
                <w:sz w:val="24"/>
                <w:lang w:bidi="ar"/>
              </w:rPr>
              <w:t>凿岩锤落开采方式</w:t>
            </w:r>
            <w:r>
              <w:rPr>
                <w:rFonts w:hint="eastAsia"/>
                <w:kern w:val="0"/>
                <w:sz w:val="24"/>
                <w:lang w:bidi="ar"/>
              </w:rPr>
              <w:t>，开采能力100m</w:t>
            </w:r>
            <w:r>
              <w:rPr>
                <w:rFonts w:hint="eastAsia"/>
                <w:kern w:val="0"/>
                <w:sz w:val="24"/>
                <w:vertAlign w:val="superscript"/>
                <w:lang w:bidi="ar"/>
              </w:rPr>
              <w:t>3</w:t>
            </w:r>
            <w:r>
              <w:rPr>
                <w:rFonts w:hint="eastAsia"/>
                <w:kern w:val="0"/>
                <w:sz w:val="24"/>
                <w:lang w:bidi="ar"/>
              </w:rPr>
              <w:t>/d（密度2.8g/cm</w:t>
            </w:r>
            <w:r>
              <w:rPr>
                <w:rFonts w:hint="eastAsia"/>
                <w:kern w:val="0"/>
                <w:sz w:val="24"/>
                <w:vertAlign w:val="superscript"/>
                <w:lang w:bidi="ar"/>
              </w:rPr>
              <w:t>3</w:t>
            </w:r>
            <w:r>
              <w:rPr>
                <w:rFonts w:hint="eastAsia"/>
                <w:kern w:val="0"/>
                <w:sz w:val="24"/>
                <w:lang w:bidi="ar"/>
              </w:rPr>
              <w:t>，280t/d），则凿岩开采抑尘用水量约1.4m</w:t>
            </w:r>
            <w:r>
              <w:rPr>
                <w:rFonts w:hint="eastAsia"/>
                <w:kern w:val="0"/>
                <w:sz w:val="24"/>
                <w:vertAlign w:val="superscript"/>
                <w:lang w:bidi="ar"/>
              </w:rPr>
              <w:t>3</w:t>
            </w:r>
            <w:r>
              <w:rPr>
                <w:rFonts w:hint="eastAsia"/>
                <w:kern w:val="0"/>
                <w:sz w:val="24"/>
                <w:lang w:bidi="ar"/>
              </w:rPr>
              <w:t>/d。</w:t>
            </w:r>
          </w:p>
          <w:p w14:paraId="5FDCDCDF">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kern w:val="0"/>
                <w:sz w:val="24"/>
                <w:lang w:bidi="ar"/>
              </w:rPr>
            </w:pPr>
            <w:r>
              <w:rPr>
                <w:rFonts w:hint="eastAsia"/>
                <w:kern w:val="0"/>
                <w:sz w:val="24"/>
                <w:lang w:bidi="ar"/>
              </w:rPr>
              <w:t>b）矿山装卸抑尘用水</w:t>
            </w:r>
          </w:p>
          <w:p w14:paraId="2B77597A">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kern w:val="0"/>
                <w:sz w:val="24"/>
                <w:lang w:bidi="ar"/>
              </w:rPr>
            </w:pPr>
            <w:r>
              <w:rPr>
                <w:rFonts w:hint="eastAsia"/>
                <w:kern w:val="0"/>
                <w:sz w:val="24"/>
                <w:lang w:bidi="ar"/>
              </w:rPr>
              <w:t>矿山物料在装卸过</w:t>
            </w:r>
            <w:r>
              <w:rPr>
                <w:rFonts w:hint="eastAsia"/>
                <w:kern w:val="0"/>
                <w:sz w:val="24"/>
                <w:lang w:eastAsia="zh-CN" w:bidi="ar"/>
              </w:rPr>
              <w:t>程中</w:t>
            </w:r>
            <w:r>
              <w:rPr>
                <w:rFonts w:hint="eastAsia"/>
                <w:kern w:val="0"/>
                <w:sz w:val="24"/>
                <w:lang w:bidi="ar"/>
              </w:rPr>
              <w:t>产生的扬尘采用可移动式雾炮机进行喷水抑尘，降尘洒水量按照2L/t矿石计算，本矿开采能力2万m</w:t>
            </w:r>
            <w:r>
              <w:rPr>
                <w:rFonts w:hint="eastAsia"/>
                <w:kern w:val="0"/>
                <w:sz w:val="24"/>
                <w:vertAlign w:val="superscript"/>
                <w:lang w:bidi="ar"/>
              </w:rPr>
              <w:t>3</w:t>
            </w:r>
            <w:r>
              <w:rPr>
                <w:rFonts w:hint="eastAsia"/>
                <w:kern w:val="0"/>
                <w:sz w:val="24"/>
                <w:lang w:bidi="ar"/>
              </w:rPr>
              <w:t>/a（100m</w:t>
            </w:r>
            <w:r>
              <w:rPr>
                <w:rFonts w:hint="eastAsia"/>
                <w:kern w:val="0"/>
                <w:sz w:val="24"/>
                <w:vertAlign w:val="superscript"/>
                <w:lang w:bidi="ar"/>
              </w:rPr>
              <w:t>3</w:t>
            </w:r>
            <w:r>
              <w:rPr>
                <w:rFonts w:hint="eastAsia"/>
                <w:kern w:val="0"/>
                <w:sz w:val="24"/>
                <w:lang w:bidi="ar"/>
              </w:rPr>
              <w:t>/d），密度2.8g/cm</w:t>
            </w:r>
            <w:r>
              <w:rPr>
                <w:rFonts w:hint="eastAsia"/>
                <w:kern w:val="0"/>
                <w:sz w:val="24"/>
                <w:vertAlign w:val="superscript"/>
                <w:lang w:bidi="ar"/>
              </w:rPr>
              <w:t>3</w:t>
            </w:r>
            <w:r>
              <w:rPr>
                <w:rFonts w:hint="eastAsia"/>
                <w:kern w:val="0"/>
                <w:sz w:val="24"/>
                <w:lang w:bidi="ar"/>
              </w:rPr>
              <w:t>，折合5.6万t/a（280t/d），则矿山装卸抑尘用水量为112m</w:t>
            </w:r>
            <w:r>
              <w:rPr>
                <w:rFonts w:hint="eastAsia"/>
                <w:kern w:val="0"/>
                <w:sz w:val="24"/>
                <w:vertAlign w:val="superscript"/>
                <w:lang w:bidi="ar"/>
              </w:rPr>
              <w:t>3</w:t>
            </w:r>
            <w:r>
              <w:rPr>
                <w:rFonts w:hint="eastAsia"/>
                <w:kern w:val="0"/>
                <w:sz w:val="24"/>
                <w:lang w:bidi="ar"/>
              </w:rPr>
              <w:t>/a（0.56m</w:t>
            </w:r>
            <w:r>
              <w:rPr>
                <w:rFonts w:hint="eastAsia"/>
                <w:kern w:val="0"/>
                <w:sz w:val="24"/>
                <w:vertAlign w:val="superscript"/>
                <w:lang w:bidi="ar"/>
              </w:rPr>
              <w:t>3</w:t>
            </w:r>
            <w:r>
              <w:rPr>
                <w:rFonts w:hint="eastAsia"/>
                <w:kern w:val="0"/>
                <w:sz w:val="24"/>
                <w:lang w:bidi="ar"/>
              </w:rPr>
              <w:t>/d）。</w:t>
            </w:r>
          </w:p>
          <w:p w14:paraId="34DAF43E">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kern w:val="0"/>
                <w:sz w:val="24"/>
                <w:lang w:bidi="ar"/>
              </w:rPr>
            </w:pPr>
            <w:r>
              <w:rPr>
                <w:rFonts w:hint="eastAsia"/>
                <w:kern w:val="0"/>
                <w:sz w:val="24"/>
                <w:lang w:bidi="ar"/>
              </w:rPr>
              <w:t>c）道路抑尘洒水</w:t>
            </w:r>
          </w:p>
          <w:p w14:paraId="51774591">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kern w:val="0"/>
                <w:sz w:val="24"/>
                <w:lang w:bidi="ar"/>
              </w:rPr>
            </w:pPr>
            <w:r>
              <w:rPr>
                <w:rFonts w:hint="eastAsia"/>
                <w:kern w:val="0"/>
                <w:sz w:val="24"/>
                <w:lang w:bidi="ar"/>
              </w:rPr>
              <w:t>本项目运矿道路</w:t>
            </w:r>
            <w:r>
              <w:rPr>
                <w:rFonts w:hint="eastAsia"/>
                <w:sz w:val="24"/>
              </w:rPr>
              <w:t>面积14539m</w:t>
            </w:r>
            <w:r>
              <w:rPr>
                <w:rFonts w:hint="eastAsia"/>
                <w:sz w:val="24"/>
                <w:vertAlign w:val="superscript"/>
              </w:rPr>
              <w:t>2</w:t>
            </w:r>
            <w:r>
              <w:rPr>
                <w:rFonts w:hint="eastAsia"/>
                <w:kern w:val="0"/>
                <w:sz w:val="24"/>
                <w:lang w:bidi="ar"/>
              </w:rPr>
              <w:t>。建设单位设置一台道路清扫车、一台洒水车、一台雾炮车，每天上午、下午分别对运矿道路清扫、洒水、喷雾降尘一次。浇洒道路用水量按1.5L/（m</w:t>
            </w:r>
            <w:r>
              <w:rPr>
                <w:rFonts w:hint="eastAsia"/>
                <w:kern w:val="0"/>
                <w:sz w:val="24"/>
                <w:vertAlign w:val="superscript"/>
                <w:lang w:bidi="ar"/>
              </w:rPr>
              <w:t>2</w:t>
            </w:r>
            <w:r>
              <w:rPr>
                <w:rFonts w:hint="eastAsia" w:ascii="宋体" w:hAnsi="宋体" w:cs="宋体"/>
                <w:kern w:val="0"/>
                <w:sz w:val="24"/>
                <w:lang w:bidi="ar"/>
              </w:rPr>
              <w:t>·次</w:t>
            </w:r>
            <w:r>
              <w:rPr>
                <w:rFonts w:hint="eastAsia"/>
                <w:kern w:val="0"/>
                <w:sz w:val="24"/>
                <w:lang w:bidi="ar"/>
              </w:rPr>
              <w:t>）计，则洒水量为43.617m</w:t>
            </w:r>
            <w:r>
              <w:rPr>
                <w:rFonts w:hint="eastAsia"/>
                <w:kern w:val="0"/>
                <w:sz w:val="24"/>
                <w:vertAlign w:val="superscript"/>
                <w:lang w:bidi="ar"/>
              </w:rPr>
              <w:t>3</w:t>
            </w:r>
            <w:r>
              <w:rPr>
                <w:rFonts w:hint="eastAsia"/>
                <w:kern w:val="0"/>
                <w:sz w:val="24"/>
                <w:lang w:bidi="ar"/>
              </w:rPr>
              <w:t>/d。</w:t>
            </w:r>
          </w:p>
          <w:p w14:paraId="4731C999">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kern w:val="0"/>
                <w:sz w:val="24"/>
                <w:lang w:bidi="ar"/>
              </w:rPr>
            </w:pPr>
            <w:r>
              <w:rPr>
                <w:rFonts w:hint="eastAsia"/>
                <w:kern w:val="0"/>
                <w:sz w:val="24"/>
                <w:lang w:bidi="ar"/>
              </w:rPr>
              <w:t>d）排土场堆排作业抑尘用水</w:t>
            </w:r>
          </w:p>
          <w:p w14:paraId="1FA30148">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kern w:val="0"/>
                <w:sz w:val="24"/>
                <w:lang w:bidi="ar"/>
              </w:rPr>
            </w:pPr>
            <w:r>
              <w:rPr>
                <w:rFonts w:hint="eastAsia"/>
                <w:kern w:val="0"/>
                <w:sz w:val="24"/>
                <w:lang w:bidi="ar"/>
              </w:rPr>
              <w:t>项目排土场堆排作业单元按100m</w:t>
            </w:r>
            <w:r>
              <w:rPr>
                <w:rFonts w:hint="eastAsia"/>
                <w:kern w:val="0"/>
                <w:sz w:val="24"/>
                <w:vertAlign w:val="superscript"/>
                <w:lang w:bidi="ar"/>
              </w:rPr>
              <w:t>2</w:t>
            </w:r>
            <w:r>
              <w:rPr>
                <w:rFonts w:hint="eastAsia"/>
                <w:kern w:val="0"/>
                <w:sz w:val="24"/>
                <w:lang w:bidi="ar"/>
              </w:rPr>
              <w:t>考虑，采用可移动式雾炮机进行喷水抑尘，用水量按2.0L/（m</w:t>
            </w:r>
            <w:r>
              <w:rPr>
                <w:rFonts w:hint="eastAsia"/>
                <w:kern w:val="0"/>
                <w:sz w:val="24"/>
                <w:vertAlign w:val="superscript"/>
                <w:lang w:bidi="ar"/>
              </w:rPr>
              <w:t>2</w:t>
            </w:r>
            <w:r>
              <w:rPr>
                <w:rFonts w:hint="eastAsia" w:ascii="宋体" w:hAnsi="宋体" w:cs="宋体"/>
                <w:kern w:val="0"/>
                <w:sz w:val="24"/>
                <w:lang w:bidi="ar"/>
              </w:rPr>
              <w:t>·天</w:t>
            </w:r>
            <w:r>
              <w:rPr>
                <w:rFonts w:hint="eastAsia"/>
                <w:kern w:val="0"/>
                <w:sz w:val="24"/>
                <w:lang w:bidi="ar"/>
              </w:rPr>
              <w:t>）计，则用水量为0.2m</w:t>
            </w:r>
            <w:r>
              <w:rPr>
                <w:rFonts w:hint="eastAsia"/>
                <w:kern w:val="0"/>
                <w:sz w:val="24"/>
                <w:vertAlign w:val="superscript"/>
                <w:lang w:bidi="ar"/>
              </w:rPr>
              <w:t>3</w:t>
            </w:r>
            <w:r>
              <w:rPr>
                <w:rFonts w:hint="eastAsia"/>
                <w:kern w:val="0"/>
                <w:sz w:val="24"/>
                <w:lang w:bidi="ar"/>
              </w:rPr>
              <w:t>/d。</w:t>
            </w:r>
          </w:p>
          <w:p w14:paraId="770328C1">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kern w:val="0"/>
                <w:sz w:val="24"/>
                <w:lang w:bidi="ar"/>
              </w:rPr>
            </w:pPr>
            <w:r>
              <w:rPr>
                <w:rFonts w:hint="eastAsia"/>
                <w:kern w:val="0"/>
                <w:sz w:val="24"/>
                <w:lang w:bidi="ar"/>
              </w:rPr>
              <w:t>e）车辆清洗用水</w:t>
            </w:r>
          </w:p>
          <w:p w14:paraId="657C59DC">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kern w:val="0"/>
                <w:sz w:val="24"/>
                <w:lang w:bidi="ar"/>
              </w:rPr>
            </w:pPr>
            <w:r>
              <w:rPr>
                <w:rFonts w:hint="eastAsia"/>
                <w:kern w:val="0"/>
                <w:sz w:val="24"/>
                <w:lang w:bidi="ar"/>
              </w:rPr>
              <w:t>车辆清洗用水已在本项目配套工业场地环评中评价，本次环评不再描述。</w:t>
            </w:r>
          </w:p>
          <w:p w14:paraId="088EFAC1">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sz w:val="24"/>
              </w:rPr>
            </w:pPr>
            <w:r>
              <w:rPr>
                <w:sz w:val="24"/>
              </w:rPr>
              <w:t>f）切割用水</w:t>
            </w:r>
          </w:p>
          <w:p w14:paraId="5BBE64A1">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kern w:val="0"/>
                <w:sz w:val="24"/>
                <w:lang w:bidi="ar"/>
              </w:rPr>
            </w:pPr>
            <w:r>
              <w:rPr>
                <w:sz w:val="24"/>
              </w:rPr>
              <w:t>本项目采用切割机对矿石进行切割，在使用切割机时会产生大量的热量，需要用水进行降温处理；此外，切割机的使用会产生粉尘，冷却用水同时用于切割过程的降尘。</w:t>
            </w:r>
            <w:r>
              <w:rPr>
                <w:kern w:val="0"/>
                <w:sz w:val="24"/>
                <w:lang w:bidi="ar"/>
              </w:rPr>
              <w:t>据《山西省用水定额第</w:t>
            </w:r>
            <w:r>
              <w:rPr>
                <w:rFonts w:hint="eastAsia"/>
                <w:kern w:val="0"/>
                <w:sz w:val="24"/>
                <w:lang w:val="en-US" w:eastAsia="zh-CN" w:bidi="ar"/>
              </w:rPr>
              <w:t>2</w:t>
            </w:r>
            <w:r>
              <w:rPr>
                <w:kern w:val="0"/>
                <w:sz w:val="24"/>
                <w:lang w:bidi="ar"/>
              </w:rPr>
              <w:t>部分</w:t>
            </w:r>
            <w:r>
              <w:rPr>
                <w:rFonts w:hint="eastAsia"/>
                <w:kern w:val="0"/>
                <w:sz w:val="24"/>
                <w:lang w:eastAsia="zh-CN" w:bidi="ar"/>
              </w:rPr>
              <w:t>：</w:t>
            </w:r>
            <w:r>
              <w:rPr>
                <w:rFonts w:hint="eastAsia"/>
                <w:kern w:val="0"/>
                <w:sz w:val="24"/>
                <w:lang w:val="en-US" w:eastAsia="zh-CN" w:bidi="ar"/>
              </w:rPr>
              <w:t>工业</w:t>
            </w:r>
            <w:r>
              <w:rPr>
                <w:kern w:val="0"/>
                <w:sz w:val="24"/>
                <w:lang w:bidi="ar"/>
              </w:rPr>
              <w:t>》（DB14/T1049.</w:t>
            </w:r>
            <w:r>
              <w:rPr>
                <w:rFonts w:hint="eastAsia"/>
                <w:kern w:val="0"/>
                <w:sz w:val="24"/>
                <w:lang w:val="en-US" w:eastAsia="zh-CN" w:bidi="ar"/>
              </w:rPr>
              <w:t>2</w:t>
            </w:r>
            <w:r>
              <w:rPr>
                <w:kern w:val="0"/>
                <w:sz w:val="24"/>
                <w:lang w:bidi="ar"/>
              </w:rPr>
              <w:t>-202</w:t>
            </w:r>
            <w:r>
              <w:rPr>
                <w:rFonts w:hint="eastAsia"/>
                <w:kern w:val="0"/>
                <w:sz w:val="24"/>
                <w:lang w:val="en-US" w:eastAsia="zh-CN" w:bidi="ar"/>
              </w:rPr>
              <w:t>5</w:t>
            </w:r>
            <w:r>
              <w:rPr>
                <w:kern w:val="0"/>
                <w:sz w:val="24"/>
                <w:lang w:bidi="ar"/>
              </w:rPr>
              <w:t>），用水量为0.0</w:t>
            </w:r>
            <w:r>
              <w:rPr>
                <w:rFonts w:hint="eastAsia"/>
                <w:kern w:val="0"/>
                <w:sz w:val="24"/>
                <w:lang w:bidi="ar"/>
              </w:rPr>
              <w:t>2</w:t>
            </w:r>
            <w:r>
              <w:rPr>
                <w:kern w:val="0"/>
                <w:sz w:val="24"/>
                <w:lang w:bidi="ar"/>
              </w:rPr>
              <w:t>m</w:t>
            </w:r>
            <w:r>
              <w:rPr>
                <w:kern w:val="0"/>
                <w:sz w:val="24"/>
                <w:vertAlign w:val="superscript"/>
                <w:lang w:bidi="ar"/>
              </w:rPr>
              <w:t>3</w:t>
            </w:r>
            <w:r>
              <w:rPr>
                <w:kern w:val="0"/>
                <w:sz w:val="24"/>
                <w:lang w:bidi="ar"/>
              </w:rPr>
              <w:t>/t，</w:t>
            </w:r>
            <w:r>
              <w:rPr>
                <w:rFonts w:hint="eastAsia"/>
                <w:kern w:val="0"/>
                <w:sz w:val="24"/>
                <w:lang w:bidi="ar"/>
              </w:rPr>
              <w:t>本矿开采能力2万m</w:t>
            </w:r>
            <w:r>
              <w:rPr>
                <w:rFonts w:hint="eastAsia"/>
                <w:kern w:val="0"/>
                <w:sz w:val="24"/>
                <w:vertAlign w:val="superscript"/>
                <w:lang w:bidi="ar"/>
              </w:rPr>
              <w:t>3</w:t>
            </w:r>
            <w:r>
              <w:rPr>
                <w:rFonts w:hint="eastAsia"/>
                <w:kern w:val="0"/>
                <w:sz w:val="24"/>
                <w:lang w:bidi="ar"/>
              </w:rPr>
              <w:t>/a（100m</w:t>
            </w:r>
            <w:r>
              <w:rPr>
                <w:rFonts w:hint="eastAsia"/>
                <w:kern w:val="0"/>
                <w:sz w:val="24"/>
                <w:vertAlign w:val="superscript"/>
                <w:lang w:bidi="ar"/>
              </w:rPr>
              <w:t>3</w:t>
            </w:r>
            <w:r>
              <w:rPr>
                <w:rFonts w:hint="eastAsia"/>
                <w:kern w:val="0"/>
                <w:sz w:val="24"/>
                <w:lang w:bidi="ar"/>
              </w:rPr>
              <w:t>/d），密度2.8g/cm</w:t>
            </w:r>
            <w:r>
              <w:rPr>
                <w:rFonts w:hint="eastAsia"/>
                <w:kern w:val="0"/>
                <w:sz w:val="24"/>
                <w:vertAlign w:val="superscript"/>
                <w:lang w:bidi="ar"/>
              </w:rPr>
              <w:t>3</w:t>
            </w:r>
            <w:r>
              <w:rPr>
                <w:rFonts w:hint="eastAsia"/>
                <w:kern w:val="0"/>
                <w:sz w:val="24"/>
                <w:lang w:bidi="ar"/>
              </w:rPr>
              <w:t>，折合5.6万t/a（280t/d），</w:t>
            </w:r>
            <w:r>
              <w:rPr>
                <w:kern w:val="0"/>
                <w:sz w:val="24"/>
                <w:lang w:bidi="ar"/>
              </w:rPr>
              <w:t>则矿山切割抑尘用水量为</w:t>
            </w:r>
            <w:r>
              <w:rPr>
                <w:rFonts w:hint="eastAsia"/>
                <w:kern w:val="0"/>
                <w:sz w:val="24"/>
                <w:lang w:bidi="ar"/>
              </w:rPr>
              <w:t>112</w:t>
            </w:r>
            <w:r>
              <w:rPr>
                <w:kern w:val="0"/>
                <w:sz w:val="24"/>
                <w:lang w:bidi="ar"/>
              </w:rPr>
              <w:t>0m</w:t>
            </w:r>
            <w:r>
              <w:rPr>
                <w:kern w:val="0"/>
                <w:sz w:val="24"/>
                <w:vertAlign w:val="superscript"/>
                <w:lang w:bidi="ar"/>
              </w:rPr>
              <w:t>3</w:t>
            </w:r>
            <w:r>
              <w:rPr>
                <w:kern w:val="0"/>
                <w:sz w:val="24"/>
                <w:lang w:bidi="ar"/>
              </w:rPr>
              <w:t>/a</w:t>
            </w:r>
            <w:r>
              <w:rPr>
                <w:rFonts w:hint="eastAsia"/>
                <w:kern w:val="0"/>
                <w:sz w:val="24"/>
                <w:lang w:bidi="ar"/>
              </w:rPr>
              <w:t>（5.6</w:t>
            </w:r>
            <w:r>
              <w:rPr>
                <w:kern w:val="0"/>
                <w:sz w:val="24"/>
                <w:lang w:bidi="ar"/>
              </w:rPr>
              <w:t>m</w:t>
            </w:r>
            <w:r>
              <w:rPr>
                <w:kern w:val="0"/>
                <w:sz w:val="24"/>
                <w:vertAlign w:val="superscript"/>
                <w:lang w:bidi="ar"/>
              </w:rPr>
              <w:t>3</w:t>
            </w:r>
            <w:r>
              <w:rPr>
                <w:kern w:val="0"/>
                <w:sz w:val="24"/>
                <w:lang w:bidi="ar"/>
              </w:rPr>
              <w:t>/d</w:t>
            </w:r>
            <w:r>
              <w:rPr>
                <w:rFonts w:hint="eastAsia"/>
                <w:kern w:val="0"/>
                <w:sz w:val="24"/>
                <w:lang w:bidi="ar"/>
              </w:rPr>
              <w:t>）</w:t>
            </w:r>
            <w:r>
              <w:rPr>
                <w:kern w:val="0"/>
                <w:sz w:val="24"/>
                <w:lang w:bidi="ar"/>
              </w:rPr>
              <w:t>。</w:t>
            </w:r>
          </w:p>
          <w:p w14:paraId="2931CB81">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kern w:val="0"/>
                <w:sz w:val="24"/>
                <w:lang w:bidi="ar"/>
              </w:rPr>
            </w:pPr>
            <w:r>
              <w:rPr>
                <w:rFonts w:hint="eastAsia"/>
                <w:kern w:val="0"/>
                <w:sz w:val="24"/>
                <w:lang w:bidi="ar"/>
              </w:rPr>
              <w:t>g）绿化洒水</w:t>
            </w:r>
          </w:p>
          <w:p w14:paraId="24FD101A">
            <w:pPr>
              <w:pStyle w:val="2"/>
              <w:keepNext w:val="0"/>
              <w:keepLines w:val="0"/>
              <w:pageBreakBefore w:val="0"/>
              <w:kinsoku/>
              <w:wordWrap/>
              <w:overflowPunct/>
              <w:topLinePunct w:val="0"/>
              <w:autoSpaceDE/>
              <w:autoSpaceDN/>
              <w:bidi w:val="0"/>
              <w:adjustRightInd/>
              <w:snapToGrid/>
              <w:spacing w:after="0" w:line="480" w:lineRule="exact"/>
              <w:ind w:left="0" w:leftChars="0" w:firstLine="480" w:firstLineChars="200"/>
              <w:textAlignment w:val="auto"/>
            </w:pPr>
            <w:r>
              <w:rPr>
                <w:rFonts w:hint="eastAsia"/>
                <w:kern w:val="0"/>
                <w:sz w:val="24"/>
                <w:lang w:bidi="ar"/>
              </w:rPr>
              <w:t>本项目办公生活区绿化面积300m</w:t>
            </w:r>
            <w:r>
              <w:rPr>
                <w:rFonts w:hint="eastAsia"/>
                <w:kern w:val="0"/>
                <w:sz w:val="24"/>
                <w:vertAlign w:val="superscript"/>
                <w:lang w:bidi="ar"/>
              </w:rPr>
              <w:t>2</w:t>
            </w:r>
            <w:r>
              <w:rPr>
                <w:rFonts w:hint="eastAsia"/>
                <w:kern w:val="0"/>
                <w:sz w:val="24"/>
                <w:lang w:bidi="ar"/>
              </w:rPr>
              <w:t>，根据《山西省用水定额 第3部分：服务业用水定额》（DB14/T1049.3-2021），绿化洒水按1.5L/（m</w:t>
            </w:r>
            <w:r>
              <w:rPr>
                <w:rFonts w:hint="eastAsia"/>
                <w:kern w:val="0"/>
                <w:sz w:val="24"/>
                <w:vertAlign w:val="superscript"/>
                <w:lang w:bidi="ar"/>
              </w:rPr>
              <w:t>2</w:t>
            </w:r>
            <w:r>
              <w:rPr>
                <w:rFonts w:hint="eastAsia"/>
                <w:kern w:val="0"/>
                <w:sz w:val="24"/>
                <w:lang w:bidi="ar"/>
              </w:rPr>
              <w:t>·d）计，则绿化洒水用水量为0.45m</w:t>
            </w:r>
            <w:r>
              <w:rPr>
                <w:rFonts w:hint="eastAsia"/>
                <w:kern w:val="0"/>
                <w:sz w:val="24"/>
                <w:vertAlign w:val="superscript"/>
                <w:lang w:bidi="ar"/>
              </w:rPr>
              <w:t>3</w:t>
            </w:r>
            <w:r>
              <w:rPr>
                <w:rFonts w:hint="eastAsia"/>
                <w:kern w:val="0"/>
                <w:sz w:val="24"/>
                <w:lang w:bidi="ar"/>
              </w:rPr>
              <w:t>/d。</w:t>
            </w:r>
          </w:p>
          <w:p w14:paraId="74AA988E">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kern w:val="0"/>
                <w:sz w:val="24"/>
                <w:lang w:bidi="ar"/>
              </w:rPr>
            </w:pPr>
            <w:r>
              <w:rPr>
                <w:rFonts w:hint="eastAsia"/>
                <w:kern w:val="0"/>
                <w:sz w:val="24"/>
                <w:lang w:bidi="ar"/>
              </w:rPr>
              <w:t>g）生活用水</w:t>
            </w:r>
          </w:p>
          <w:p w14:paraId="2E46A763">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sz w:val="24"/>
              </w:rPr>
            </w:pPr>
            <w:r>
              <w:rPr>
                <w:rFonts w:hint="eastAsia"/>
                <w:bCs/>
                <w:sz w:val="24"/>
              </w:rPr>
              <w:t>本矿职工定员50人，</w:t>
            </w:r>
            <w:r>
              <w:rPr>
                <w:rFonts w:hint="eastAsia"/>
                <w:kern w:val="0"/>
                <w:sz w:val="24"/>
                <w:lang w:bidi="ar"/>
              </w:rPr>
              <w:t>厂内设宿舍、食堂。2</w:t>
            </w:r>
            <w:r>
              <w:rPr>
                <w:kern w:val="0"/>
                <w:sz w:val="24"/>
                <w:lang w:bidi="ar"/>
              </w:rPr>
              <w:t>#</w:t>
            </w:r>
            <w:r>
              <w:rPr>
                <w:rFonts w:hint="eastAsia"/>
                <w:kern w:val="0"/>
                <w:sz w:val="24"/>
                <w:lang w:bidi="ar"/>
              </w:rPr>
              <w:t>办公生活区设有食堂，</w:t>
            </w:r>
            <w:r>
              <w:rPr>
                <w:rFonts w:hint="eastAsia"/>
                <w:bCs/>
                <w:sz w:val="24"/>
              </w:rPr>
              <w:t>生活用水量按1</w:t>
            </w:r>
            <w:r>
              <w:rPr>
                <w:rFonts w:hint="eastAsia"/>
                <w:bCs/>
                <w:sz w:val="24"/>
                <w:lang w:val="en-US" w:eastAsia="zh-CN"/>
              </w:rPr>
              <w:t>0</w:t>
            </w:r>
            <w:r>
              <w:rPr>
                <w:rFonts w:hint="eastAsia"/>
                <w:bCs/>
                <w:sz w:val="24"/>
              </w:rPr>
              <w:t>0L/人</w:t>
            </w:r>
            <w:r>
              <w:rPr>
                <w:rFonts w:hint="eastAsia" w:ascii="宋体" w:hAnsi="宋体" w:cs="宋体"/>
                <w:bCs/>
                <w:sz w:val="24"/>
              </w:rPr>
              <w:t>·</w:t>
            </w:r>
            <w:r>
              <w:rPr>
                <w:rFonts w:hint="eastAsia"/>
                <w:bCs/>
                <w:sz w:val="24"/>
              </w:rPr>
              <w:t>天计，则生活用水量为</w:t>
            </w:r>
            <w:r>
              <w:rPr>
                <w:rFonts w:hint="eastAsia"/>
                <w:bCs/>
                <w:sz w:val="24"/>
                <w:lang w:val="en-US" w:eastAsia="zh-CN"/>
              </w:rPr>
              <w:t>5.0</w:t>
            </w:r>
            <w:r>
              <w:rPr>
                <w:rFonts w:hint="eastAsia"/>
                <w:sz w:val="24"/>
              </w:rPr>
              <w:t>m</w:t>
            </w:r>
            <w:r>
              <w:rPr>
                <w:rFonts w:hint="eastAsia"/>
                <w:sz w:val="24"/>
                <w:vertAlign w:val="superscript"/>
              </w:rPr>
              <w:t>3</w:t>
            </w:r>
            <w:r>
              <w:rPr>
                <w:rFonts w:hint="eastAsia"/>
                <w:sz w:val="24"/>
              </w:rPr>
              <w:t>/d。生活污水按80%计，则产生量为</w:t>
            </w:r>
            <w:r>
              <w:rPr>
                <w:sz w:val="24"/>
              </w:rPr>
              <w:t>4</w:t>
            </w:r>
            <w:r>
              <w:rPr>
                <w:rFonts w:hint="eastAsia"/>
                <w:sz w:val="24"/>
                <w:lang w:val="en-US" w:eastAsia="zh-CN"/>
              </w:rPr>
              <w:t>.0</w:t>
            </w:r>
            <w:r>
              <w:rPr>
                <w:rFonts w:hint="eastAsia"/>
                <w:sz w:val="24"/>
              </w:rPr>
              <w:t>m</w:t>
            </w:r>
            <w:r>
              <w:rPr>
                <w:rFonts w:hint="eastAsia"/>
                <w:sz w:val="24"/>
                <w:vertAlign w:val="superscript"/>
              </w:rPr>
              <w:t>3</w:t>
            </w:r>
            <w:r>
              <w:rPr>
                <w:rFonts w:hint="eastAsia"/>
                <w:sz w:val="24"/>
              </w:rPr>
              <w:t>/d。生活污水排入化粪池，定期清掏。</w:t>
            </w:r>
          </w:p>
          <w:p w14:paraId="001F8C82">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kern w:val="0"/>
                <w:sz w:val="24"/>
                <w:lang w:bidi="ar"/>
              </w:rPr>
            </w:pPr>
            <w:r>
              <w:rPr>
                <w:rFonts w:hint="eastAsia"/>
                <w:sz w:val="24"/>
              </w:rPr>
              <w:t>食堂</w:t>
            </w:r>
            <w:r>
              <w:rPr>
                <w:sz w:val="24"/>
              </w:rPr>
              <w:t>用水量以</w:t>
            </w:r>
            <w:r>
              <w:rPr>
                <w:rFonts w:hint="eastAsia"/>
                <w:sz w:val="24"/>
              </w:rPr>
              <w:t>15</w:t>
            </w:r>
            <w:r>
              <w:rPr>
                <w:sz w:val="24"/>
              </w:rPr>
              <w:t>L/人·</w:t>
            </w:r>
            <w:r>
              <w:rPr>
                <w:rFonts w:hint="eastAsia"/>
                <w:sz w:val="24"/>
              </w:rPr>
              <w:t>餐</w:t>
            </w:r>
            <w:r>
              <w:rPr>
                <w:sz w:val="24"/>
              </w:rPr>
              <w:t>计，</w:t>
            </w:r>
            <w:r>
              <w:rPr>
                <w:rFonts w:hint="eastAsia"/>
                <w:sz w:val="24"/>
              </w:rPr>
              <w:t>一日三餐，劳动定员</w:t>
            </w:r>
            <w:r>
              <w:rPr>
                <w:sz w:val="24"/>
              </w:rPr>
              <w:t>50</w:t>
            </w:r>
            <w:r>
              <w:rPr>
                <w:rFonts w:hint="eastAsia"/>
                <w:sz w:val="24"/>
              </w:rPr>
              <w:t>人，则项目总计食堂用水量为0.</w:t>
            </w:r>
            <w:r>
              <w:rPr>
                <w:sz w:val="24"/>
              </w:rPr>
              <w:t>75m</w:t>
            </w:r>
            <w:r>
              <w:rPr>
                <w:sz w:val="24"/>
                <w:vertAlign w:val="superscript"/>
              </w:rPr>
              <w:t>3</w:t>
            </w:r>
            <w:r>
              <w:rPr>
                <w:sz w:val="24"/>
              </w:rPr>
              <w:t>/d</w:t>
            </w:r>
            <w:r>
              <w:rPr>
                <w:rFonts w:hint="eastAsia"/>
                <w:sz w:val="24"/>
              </w:rPr>
              <w:t>。</w:t>
            </w:r>
            <w:r>
              <w:rPr>
                <w:sz w:val="24"/>
              </w:rPr>
              <w:t>废水量按</w:t>
            </w:r>
            <w:r>
              <w:rPr>
                <w:rFonts w:hint="eastAsia"/>
                <w:sz w:val="24"/>
              </w:rPr>
              <w:t>80%</w:t>
            </w:r>
            <w:r>
              <w:rPr>
                <w:sz w:val="24"/>
              </w:rPr>
              <w:t>计，</w:t>
            </w:r>
            <w:r>
              <w:rPr>
                <w:rFonts w:hint="eastAsia"/>
                <w:sz w:val="24"/>
              </w:rPr>
              <w:t>则食堂</w:t>
            </w:r>
            <w:r>
              <w:rPr>
                <w:sz w:val="24"/>
              </w:rPr>
              <w:t>污水</w:t>
            </w:r>
            <w:r>
              <w:rPr>
                <w:rFonts w:hint="eastAsia"/>
                <w:sz w:val="24"/>
              </w:rPr>
              <w:t>产生</w:t>
            </w:r>
            <w:r>
              <w:rPr>
                <w:sz w:val="24"/>
              </w:rPr>
              <w:t>量为</w:t>
            </w:r>
            <w:r>
              <w:rPr>
                <w:rFonts w:hint="eastAsia"/>
                <w:sz w:val="24"/>
              </w:rPr>
              <w:t>0.</w:t>
            </w:r>
            <w:r>
              <w:rPr>
                <w:sz w:val="24"/>
              </w:rPr>
              <w:t>6m</w:t>
            </w:r>
            <w:r>
              <w:rPr>
                <w:sz w:val="24"/>
                <w:vertAlign w:val="superscript"/>
              </w:rPr>
              <w:t>3</w:t>
            </w:r>
            <w:r>
              <w:rPr>
                <w:sz w:val="24"/>
              </w:rPr>
              <w:t>/d</w:t>
            </w:r>
            <w:r>
              <w:rPr>
                <w:rFonts w:hint="eastAsia"/>
                <w:sz w:val="24"/>
              </w:rPr>
              <w:t>；食堂内新增1套油水分离器，食堂污水经油水分离器处理后，排入化粪池，定期清掏。食堂用水及食堂污水均涵盖在生活用水和生活污水总量中，全厂水平衡不重复统计。</w:t>
            </w:r>
          </w:p>
          <w:p w14:paraId="2F66D05D">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b/>
                <w:bCs/>
                <w:szCs w:val="21"/>
              </w:rPr>
            </w:pPr>
            <w:r>
              <w:rPr>
                <w:rFonts w:hint="eastAsia"/>
                <w:kern w:val="0"/>
                <w:sz w:val="24"/>
                <w:lang w:bidi="ar"/>
              </w:rPr>
              <w:t>全厂用排水统计见表2-11。水平衡见图2-1。</w:t>
            </w:r>
          </w:p>
          <w:p w14:paraId="3291787C">
            <w:pPr>
              <w:pStyle w:val="15"/>
              <w:keepNext w:val="0"/>
              <w:keepLines w:val="0"/>
              <w:pageBreakBefore w:val="0"/>
              <w:kinsoku/>
              <w:wordWrap/>
              <w:overflowPunct/>
              <w:topLinePunct w:val="0"/>
              <w:autoSpaceDE/>
              <w:autoSpaceDN/>
              <w:bidi w:val="0"/>
              <w:adjustRightInd/>
              <w:snapToGrid/>
              <w:spacing w:line="480" w:lineRule="exact"/>
              <w:textAlignment w:val="auto"/>
              <w:rPr>
                <w:rFonts w:ascii="宋体" w:hAnsi="宋体" w:eastAsia="宋体" w:cs="宋体"/>
                <w:sz w:val="21"/>
                <w:szCs w:val="21"/>
              </w:rPr>
            </w:pPr>
            <w:r>
              <w:rPr>
                <w:rFonts w:hint="eastAsia" w:ascii="宋体" w:hAnsi="宋体" w:eastAsia="宋体" w:cs="宋体"/>
                <w:sz w:val="21"/>
                <w:szCs w:val="21"/>
              </w:rPr>
              <w:t>表</w:t>
            </w:r>
            <w:r>
              <w:rPr>
                <w:rFonts w:eastAsia="宋体"/>
                <w:sz w:val="21"/>
                <w:szCs w:val="21"/>
              </w:rPr>
              <w:t>2-</w:t>
            </w:r>
            <w:r>
              <w:rPr>
                <w:rFonts w:hint="eastAsia" w:eastAsia="宋体"/>
                <w:sz w:val="21"/>
                <w:szCs w:val="21"/>
              </w:rPr>
              <w:t>11</w:t>
            </w:r>
            <w:r>
              <w:rPr>
                <w:rFonts w:hint="eastAsia" w:ascii="宋体" w:hAnsi="宋体" w:eastAsia="宋体" w:cs="宋体"/>
                <w:sz w:val="21"/>
                <w:szCs w:val="21"/>
              </w:rPr>
              <w:t xml:space="preserve"> 项目供排水情况一览表</w:t>
            </w:r>
          </w:p>
          <w:tbl>
            <w:tblPr>
              <w:tblStyle w:val="29"/>
              <w:tblW w:w="5000"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476"/>
              <w:gridCol w:w="1501"/>
              <w:gridCol w:w="1352"/>
              <w:gridCol w:w="1234"/>
              <w:gridCol w:w="1563"/>
              <w:gridCol w:w="1173"/>
              <w:gridCol w:w="1198"/>
            </w:tblGrid>
            <w:tr w14:paraId="67C805B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454" w:hRule="atLeast"/>
                <w:jc w:val="center"/>
              </w:trPr>
              <w:tc>
                <w:tcPr>
                  <w:tcW w:w="280" w:type="pct"/>
                  <w:tcBorders>
                    <w:tl2br w:val="nil"/>
                    <w:tr2bl w:val="nil"/>
                  </w:tcBorders>
                  <w:vAlign w:val="center"/>
                </w:tcPr>
                <w:p w14:paraId="5389311E">
                  <w:pPr>
                    <w:pStyle w:val="47"/>
                    <w:jc w:val="center"/>
                    <w:rPr>
                      <w:rFonts w:ascii="Times New Roman" w:cs="Times New Roman"/>
                      <w:bCs/>
                      <w:color w:val="auto"/>
                      <w:sz w:val="21"/>
                      <w:szCs w:val="21"/>
                    </w:rPr>
                  </w:pPr>
                  <w:r>
                    <w:rPr>
                      <w:rFonts w:ascii="Times New Roman" w:cs="Times New Roman"/>
                      <w:bCs/>
                      <w:color w:val="auto"/>
                      <w:sz w:val="21"/>
                      <w:szCs w:val="21"/>
                    </w:rPr>
                    <w:t>序号</w:t>
                  </w:r>
                </w:p>
              </w:tc>
              <w:tc>
                <w:tcPr>
                  <w:tcW w:w="883" w:type="pct"/>
                  <w:tcBorders>
                    <w:tl2br w:val="nil"/>
                    <w:tr2bl w:val="nil"/>
                  </w:tcBorders>
                  <w:vAlign w:val="center"/>
                </w:tcPr>
                <w:p w14:paraId="387B3BE1">
                  <w:pPr>
                    <w:pStyle w:val="47"/>
                    <w:jc w:val="center"/>
                    <w:rPr>
                      <w:rFonts w:ascii="Times New Roman" w:cs="Times New Roman"/>
                      <w:bCs/>
                      <w:color w:val="auto"/>
                      <w:sz w:val="21"/>
                      <w:szCs w:val="21"/>
                    </w:rPr>
                  </w:pPr>
                  <w:r>
                    <w:rPr>
                      <w:rFonts w:ascii="Times New Roman" w:cs="Times New Roman"/>
                      <w:bCs/>
                      <w:color w:val="auto"/>
                      <w:sz w:val="21"/>
                      <w:szCs w:val="21"/>
                    </w:rPr>
                    <w:t>用水</w:t>
                  </w:r>
                  <w:r>
                    <w:rPr>
                      <w:rFonts w:hint="eastAsia" w:ascii="Times New Roman" w:cs="Times New Roman"/>
                      <w:bCs/>
                      <w:color w:val="auto"/>
                      <w:sz w:val="21"/>
                      <w:szCs w:val="21"/>
                    </w:rPr>
                    <w:t>环节</w:t>
                  </w:r>
                </w:p>
              </w:tc>
              <w:tc>
                <w:tcPr>
                  <w:tcW w:w="795" w:type="pct"/>
                  <w:tcBorders>
                    <w:tl2br w:val="nil"/>
                    <w:tr2bl w:val="nil"/>
                  </w:tcBorders>
                  <w:vAlign w:val="center"/>
                </w:tcPr>
                <w:p w14:paraId="57E1F05A">
                  <w:pPr>
                    <w:pStyle w:val="47"/>
                    <w:jc w:val="center"/>
                    <w:rPr>
                      <w:rFonts w:ascii="Times New Roman" w:cs="Times New Roman"/>
                      <w:bCs/>
                      <w:color w:val="auto"/>
                      <w:sz w:val="21"/>
                      <w:szCs w:val="21"/>
                    </w:rPr>
                  </w:pPr>
                  <w:r>
                    <w:rPr>
                      <w:rFonts w:ascii="Times New Roman" w:cs="Times New Roman"/>
                      <w:bCs/>
                      <w:color w:val="auto"/>
                      <w:sz w:val="21"/>
                      <w:szCs w:val="21"/>
                    </w:rPr>
                    <w:t>用水系数</w:t>
                  </w:r>
                </w:p>
              </w:tc>
              <w:tc>
                <w:tcPr>
                  <w:tcW w:w="726" w:type="pct"/>
                  <w:tcBorders>
                    <w:tl2br w:val="nil"/>
                    <w:tr2bl w:val="nil"/>
                  </w:tcBorders>
                  <w:vAlign w:val="center"/>
                </w:tcPr>
                <w:p w14:paraId="011C556D">
                  <w:pPr>
                    <w:pStyle w:val="47"/>
                    <w:jc w:val="center"/>
                    <w:rPr>
                      <w:rFonts w:ascii="Times New Roman" w:cs="Times New Roman"/>
                      <w:bCs/>
                      <w:color w:val="auto"/>
                      <w:sz w:val="21"/>
                      <w:szCs w:val="21"/>
                    </w:rPr>
                  </w:pPr>
                  <w:r>
                    <w:rPr>
                      <w:rFonts w:ascii="Times New Roman" w:cs="Times New Roman"/>
                      <w:bCs/>
                      <w:color w:val="auto"/>
                      <w:sz w:val="21"/>
                      <w:szCs w:val="21"/>
                    </w:rPr>
                    <w:t>数量</w:t>
                  </w:r>
                </w:p>
              </w:tc>
              <w:tc>
                <w:tcPr>
                  <w:tcW w:w="919" w:type="pct"/>
                  <w:tcBorders>
                    <w:tl2br w:val="nil"/>
                    <w:tr2bl w:val="nil"/>
                  </w:tcBorders>
                  <w:vAlign w:val="center"/>
                </w:tcPr>
                <w:p w14:paraId="3D73C449">
                  <w:pPr>
                    <w:pStyle w:val="47"/>
                    <w:jc w:val="center"/>
                    <w:rPr>
                      <w:rFonts w:ascii="Times New Roman" w:cs="Times New Roman"/>
                      <w:bCs/>
                      <w:color w:val="auto"/>
                      <w:sz w:val="21"/>
                      <w:szCs w:val="21"/>
                    </w:rPr>
                  </w:pPr>
                  <w:r>
                    <w:rPr>
                      <w:rFonts w:ascii="Times New Roman" w:cs="Times New Roman"/>
                      <w:bCs/>
                      <w:color w:val="auto"/>
                      <w:sz w:val="21"/>
                      <w:szCs w:val="21"/>
                    </w:rPr>
                    <w:t>用水量（m</w:t>
                  </w:r>
                  <w:r>
                    <w:rPr>
                      <w:rFonts w:ascii="Times New Roman" w:cs="Times New Roman"/>
                      <w:bCs/>
                      <w:color w:val="auto"/>
                      <w:sz w:val="21"/>
                      <w:szCs w:val="21"/>
                      <w:vertAlign w:val="superscript"/>
                    </w:rPr>
                    <w:t>3</w:t>
                  </w:r>
                  <w:r>
                    <w:rPr>
                      <w:rFonts w:ascii="Times New Roman" w:cs="Times New Roman"/>
                      <w:bCs/>
                      <w:color w:val="auto"/>
                      <w:sz w:val="21"/>
                      <w:szCs w:val="21"/>
                    </w:rPr>
                    <w:t>/d）</w:t>
                  </w:r>
                </w:p>
              </w:tc>
              <w:tc>
                <w:tcPr>
                  <w:tcW w:w="690" w:type="pct"/>
                  <w:tcBorders>
                    <w:tl2br w:val="nil"/>
                    <w:tr2bl w:val="nil"/>
                  </w:tcBorders>
                  <w:vAlign w:val="center"/>
                </w:tcPr>
                <w:p w14:paraId="219D9FDC">
                  <w:pPr>
                    <w:pStyle w:val="47"/>
                    <w:jc w:val="center"/>
                    <w:rPr>
                      <w:rFonts w:ascii="Times New Roman" w:cs="Times New Roman"/>
                      <w:bCs/>
                      <w:color w:val="auto"/>
                      <w:sz w:val="21"/>
                      <w:szCs w:val="21"/>
                    </w:rPr>
                  </w:pPr>
                  <w:r>
                    <w:rPr>
                      <w:rFonts w:hint="eastAsia" w:ascii="Times New Roman" w:cs="Times New Roman"/>
                      <w:bCs/>
                      <w:color w:val="auto"/>
                      <w:sz w:val="21"/>
                      <w:szCs w:val="21"/>
                    </w:rPr>
                    <w:t>废水产生量</w:t>
                  </w:r>
                  <w:r>
                    <w:rPr>
                      <w:rFonts w:ascii="Times New Roman" w:cs="Times New Roman"/>
                      <w:bCs/>
                      <w:color w:val="auto"/>
                      <w:sz w:val="21"/>
                      <w:szCs w:val="21"/>
                    </w:rPr>
                    <w:t>（m</w:t>
                  </w:r>
                  <w:r>
                    <w:rPr>
                      <w:rFonts w:ascii="Times New Roman" w:cs="Times New Roman"/>
                      <w:bCs/>
                      <w:color w:val="auto"/>
                      <w:sz w:val="21"/>
                      <w:szCs w:val="21"/>
                      <w:vertAlign w:val="superscript"/>
                    </w:rPr>
                    <w:t>3</w:t>
                  </w:r>
                  <w:r>
                    <w:rPr>
                      <w:rFonts w:ascii="Times New Roman" w:cs="Times New Roman"/>
                      <w:bCs/>
                      <w:color w:val="auto"/>
                      <w:sz w:val="21"/>
                      <w:szCs w:val="21"/>
                    </w:rPr>
                    <w:t>/d）</w:t>
                  </w:r>
                </w:p>
              </w:tc>
              <w:tc>
                <w:tcPr>
                  <w:tcW w:w="704" w:type="pct"/>
                  <w:tcBorders>
                    <w:tl2br w:val="nil"/>
                    <w:tr2bl w:val="nil"/>
                  </w:tcBorders>
                  <w:vAlign w:val="center"/>
                </w:tcPr>
                <w:p w14:paraId="756D1CE0">
                  <w:pPr>
                    <w:pStyle w:val="47"/>
                    <w:jc w:val="center"/>
                    <w:rPr>
                      <w:rFonts w:ascii="Times New Roman" w:cs="Times New Roman"/>
                      <w:bCs/>
                      <w:color w:val="auto"/>
                      <w:sz w:val="21"/>
                      <w:szCs w:val="21"/>
                    </w:rPr>
                  </w:pPr>
                  <w:r>
                    <w:rPr>
                      <w:rFonts w:hint="eastAsia" w:ascii="Times New Roman" w:cs="Times New Roman"/>
                      <w:bCs/>
                      <w:color w:val="auto"/>
                      <w:sz w:val="21"/>
                      <w:szCs w:val="21"/>
                    </w:rPr>
                    <w:t>排放量</w:t>
                  </w:r>
                  <w:r>
                    <w:rPr>
                      <w:rFonts w:ascii="Times New Roman" w:cs="Times New Roman"/>
                      <w:bCs/>
                      <w:color w:val="auto"/>
                      <w:sz w:val="21"/>
                      <w:szCs w:val="21"/>
                    </w:rPr>
                    <w:t>（m</w:t>
                  </w:r>
                  <w:r>
                    <w:rPr>
                      <w:rFonts w:ascii="Times New Roman" w:cs="Times New Roman"/>
                      <w:bCs/>
                      <w:color w:val="auto"/>
                      <w:sz w:val="21"/>
                      <w:szCs w:val="21"/>
                      <w:vertAlign w:val="superscript"/>
                    </w:rPr>
                    <w:t>3</w:t>
                  </w:r>
                  <w:r>
                    <w:rPr>
                      <w:rFonts w:ascii="Times New Roman" w:cs="Times New Roman"/>
                      <w:bCs/>
                      <w:color w:val="auto"/>
                      <w:sz w:val="21"/>
                      <w:szCs w:val="21"/>
                    </w:rPr>
                    <w:t>/d）</w:t>
                  </w:r>
                </w:p>
              </w:tc>
            </w:tr>
            <w:tr w14:paraId="62EFB2E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454" w:hRule="atLeast"/>
                <w:jc w:val="center"/>
              </w:trPr>
              <w:tc>
                <w:tcPr>
                  <w:tcW w:w="280" w:type="pct"/>
                  <w:tcBorders>
                    <w:tl2br w:val="nil"/>
                    <w:tr2bl w:val="nil"/>
                  </w:tcBorders>
                  <w:vAlign w:val="center"/>
                </w:tcPr>
                <w:p w14:paraId="53A313E4">
                  <w:pPr>
                    <w:pStyle w:val="47"/>
                    <w:jc w:val="center"/>
                    <w:rPr>
                      <w:rFonts w:ascii="Times New Roman" w:cs="Times New Roman"/>
                      <w:bCs/>
                      <w:color w:val="auto"/>
                      <w:sz w:val="21"/>
                      <w:szCs w:val="21"/>
                    </w:rPr>
                  </w:pPr>
                  <w:r>
                    <w:rPr>
                      <w:rFonts w:hint="eastAsia" w:ascii="Times New Roman" w:cs="Times New Roman"/>
                      <w:bCs/>
                      <w:color w:val="auto"/>
                      <w:sz w:val="21"/>
                      <w:szCs w:val="21"/>
                    </w:rPr>
                    <w:t>1</w:t>
                  </w:r>
                </w:p>
              </w:tc>
              <w:tc>
                <w:tcPr>
                  <w:tcW w:w="883" w:type="pct"/>
                  <w:tcBorders>
                    <w:tl2br w:val="nil"/>
                    <w:tr2bl w:val="nil"/>
                  </w:tcBorders>
                  <w:vAlign w:val="center"/>
                </w:tcPr>
                <w:p w14:paraId="494031FE">
                  <w:pPr>
                    <w:pStyle w:val="47"/>
                    <w:jc w:val="center"/>
                    <w:rPr>
                      <w:rFonts w:ascii="Times New Roman" w:cs="Times New Roman"/>
                      <w:bCs/>
                      <w:color w:val="auto"/>
                      <w:sz w:val="21"/>
                      <w:szCs w:val="21"/>
                      <w:highlight w:val="none"/>
                    </w:rPr>
                  </w:pPr>
                  <w:r>
                    <w:rPr>
                      <w:rFonts w:hint="eastAsia" w:ascii="Times New Roman" w:cs="Times New Roman"/>
                      <w:bCs/>
                      <w:color w:val="auto"/>
                      <w:sz w:val="21"/>
                      <w:szCs w:val="21"/>
                      <w:highlight w:val="none"/>
                    </w:rPr>
                    <w:t>凿岩抑尘用水</w:t>
                  </w:r>
                </w:p>
              </w:tc>
              <w:tc>
                <w:tcPr>
                  <w:tcW w:w="795" w:type="pct"/>
                  <w:tcBorders>
                    <w:tl2br w:val="nil"/>
                    <w:tr2bl w:val="nil"/>
                  </w:tcBorders>
                  <w:vAlign w:val="center"/>
                </w:tcPr>
                <w:p w14:paraId="58B0B966">
                  <w:pPr>
                    <w:pStyle w:val="47"/>
                    <w:jc w:val="center"/>
                    <w:rPr>
                      <w:rFonts w:ascii="Times New Roman" w:cs="Times New Roman"/>
                      <w:bCs/>
                      <w:color w:val="auto"/>
                      <w:sz w:val="21"/>
                      <w:szCs w:val="21"/>
                    </w:rPr>
                  </w:pPr>
                  <w:r>
                    <w:rPr>
                      <w:rFonts w:hint="eastAsia" w:ascii="Times New Roman" w:cs="Times New Roman"/>
                      <w:bCs/>
                      <w:color w:val="auto"/>
                      <w:sz w:val="21"/>
                      <w:szCs w:val="21"/>
                    </w:rPr>
                    <w:t>5L/t矿石</w:t>
                  </w:r>
                </w:p>
              </w:tc>
              <w:tc>
                <w:tcPr>
                  <w:tcW w:w="726" w:type="pct"/>
                  <w:tcBorders>
                    <w:tl2br w:val="nil"/>
                    <w:tr2bl w:val="nil"/>
                  </w:tcBorders>
                  <w:vAlign w:val="center"/>
                </w:tcPr>
                <w:p w14:paraId="1BE838FE">
                  <w:pPr>
                    <w:pStyle w:val="47"/>
                    <w:jc w:val="center"/>
                    <w:rPr>
                      <w:rFonts w:ascii="Times New Roman" w:cs="Times New Roman"/>
                      <w:bCs/>
                      <w:color w:val="auto"/>
                      <w:sz w:val="21"/>
                      <w:szCs w:val="21"/>
                    </w:rPr>
                  </w:pPr>
                  <w:r>
                    <w:rPr>
                      <w:rFonts w:hint="eastAsia" w:ascii="Times New Roman" w:cs="Times New Roman"/>
                      <w:bCs/>
                      <w:color w:val="auto"/>
                      <w:sz w:val="21"/>
                      <w:szCs w:val="21"/>
                    </w:rPr>
                    <w:t>280t/d</w:t>
                  </w:r>
                </w:p>
              </w:tc>
              <w:tc>
                <w:tcPr>
                  <w:tcW w:w="919" w:type="pct"/>
                  <w:tcBorders>
                    <w:tl2br w:val="nil"/>
                    <w:tr2bl w:val="nil"/>
                  </w:tcBorders>
                  <w:vAlign w:val="center"/>
                </w:tcPr>
                <w:p w14:paraId="7BC160A9">
                  <w:pPr>
                    <w:pStyle w:val="47"/>
                    <w:jc w:val="center"/>
                    <w:rPr>
                      <w:rFonts w:ascii="Times New Roman" w:cs="Times New Roman"/>
                      <w:bCs/>
                      <w:color w:val="auto"/>
                      <w:sz w:val="21"/>
                      <w:szCs w:val="21"/>
                    </w:rPr>
                  </w:pPr>
                  <w:r>
                    <w:rPr>
                      <w:rFonts w:hint="eastAsia" w:ascii="Times New Roman" w:cs="Times New Roman"/>
                      <w:bCs/>
                      <w:color w:val="auto"/>
                      <w:sz w:val="21"/>
                      <w:szCs w:val="21"/>
                    </w:rPr>
                    <w:t>1.4</w:t>
                  </w:r>
                </w:p>
              </w:tc>
              <w:tc>
                <w:tcPr>
                  <w:tcW w:w="690" w:type="pct"/>
                  <w:tcBorders>
                    <w:tl2br w:val="nil"/>
                    <w:tr2bl w:val="nil"/>
                  </w:tcBorders>
                  <w:vAlign w:val="center"/>
                </w:tcPr>
                <w:p w14:paraId="2BC2E4B2">
                  <w:pPr>
                    <w:pStyle w:val="47"/>
                    <w:jc w:val="center"/>
                    <w:rPr>
                      <w:rFonts w:ascii="Times New Roman" w:cs="Times New Roman"/>
                      <w:bCs/>
                      <w:color w:val="auto"/>
                      <w:sz w:val="21"/>
                      <w:szCs w:val="21"/>
                    </w:rPr>
                  </w:pPr>
                  <w:r>
                    <w:rPr>
                      <w:rFonts w:hint="eastAsia" w:ascii="Times New Roman" w:cs="Times New Roman"/>
                      <w:bCs/>
                      <w:color w:val="auto"/>
                      <w:sz w:val="21"/>
                      <w:szCs w:val="21"/>
                    </w:rPr>
                    <w:t>0</w:t>
                  </w:r>
                </w:p>
              </w:tc>
              <w:tc>
                <w:tcPr>
                  <w:tcW w:w="704" w:type="pct"/>
                  <w:tcBorders>
                    <w:tl2br w:val="nil"/>
                    <w:tr2bl w:val="nil"/>
                  </w:tcBorders>
                  <w:vAlign w:val="center"/>
                </w:tcPr>
                <w:p w14:paraId="17AA4BB0">
                  <w:pPr>
                    <w:pStyle w:val="47"/>
                    <w:jc w:val="center"/>
                    <w:rPr>
                      <w:rFonts w:ascii="Times New Roman" w:cs="Times New Roman"/>
                      <w:bCs/>
                      <w:color w:val="auto"/>
                      <w:sz w:val="21"/>
                      <w:szCs w:val="21"/>
                    </w:rPr>
                  </w:pPr>
                  <w:r>
                    <w:rPr>
                      <w:rFonts w:hint="eastAsia" w:ascii="Times New Roman" w:cs="Times New Roman"/>
                      <w:bCs/>
                      <w:color w:val="auto"/>
                      <w:sz w:val="21"/>
                      <w:szCs w:val="21"/>
                    </w:rPr>
                    <w:t>0</w:t>
                  </w:r>
                </w:p>
              </w:tc>
            </w:tr>
            <w:tr w14:paraId="1FF6C59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454" w:hRule="atLeast"/>
                <w:jc w:val="center"/>
              </w:trPr>
              <w:tc>
                <w:tcPr>
                  <w:tcW w:w="280" w:type="pct"/>
                  <w:tcBorders>
                    <w:tl2br w:val="nil"/>
                    <w:tr2bl w:val="nil"/>
                  </w:tcBorders>
                  <w:vAlign w:val="center"/>
                </w:tcPr>
                <w:p w14:paraId="30370C0A">
                  <w:pPr>
                    <w:pStyle w:val="47"/>
                    <w:jc w:val="center"/>
                    <w:rPr>
                      <w:rFonts w:ascii="Times New Roman" w:cs="Times New Roman"/>
                      <w:bCs/>
                      <w:color w:val="auto"/>
                      <w:sz w:val="21"/>
                      <w:szCs w:val="21"/>
                    </w:rPr>
                  </w:pPr>
                  <w:r>
                    <w:rPr>
                      <w:rFonts w:hint="eastAsia" w:ascii="Times New Roman" w:cs="Times New Roman"/>
                      <w:bCs/>
                      <w:color w:val="auto"/>
                      <w:sz w:val="21"/>
                      <w:szCs w:val="21"/>
                    </w:rPr>
                    <w:t>2</w:t>
                  </w:r>
                </w:p>
              </w:tc>
              <w:tc>
                <w:tcPr>
                  <w:tcW w:w="883" w:type="pct"/>
                  <w:tcBorders>
                    <w:tl2br w:val="nil"/>
                    <w:tr2bl w:val="nil"/>
                  </w:tcBorders>
                  <w:vAlign w:val="center"/>
                </w:tcPr>
                <w:p w14:paraId="60596306">
                  <w:pPr>
                    <w:pStyle w:val="47"/>
                    <w:jc w:val="center"/>
                    <w:rPr>
                      <w:rFonts w:ascii="Times New Roman" w:cs="Times New Roman"/>
                      <w:bCs/>
                      <w:color w:val="auto"/>
                      <w:sz w:val="21"/>
                      <w:szCs w:val="21"/>
                      <w:highlight w:val="none"/>
                    </w:rPr>
                  </w:pPr>
                  <w:r>
                    <w:rPr>
                      <w:rFonts w:hint="eastAsia" w:ascii="Times New Roman" w:cs="Times New Roman"/>
                      <w:bCs/>
                      <w:color w:val="auto"/>
                      <w:sz w:val="21"/>
                      <w:szCs w:val="21"/>
                      <w:highlight w:val="none"/>
                    </w:rPr>
                    <w:t>矿山装卸抑尘用水</w:t>
                  </w:r>
                </w:p>
              </w:tc>
              <w:tc>
                <w:tcPr>
                  <w:tcW w:w="795" w:type="pct"/>
                  <w:tcBorders>
                    <w:tl2br w:val="nil"/>
                    <w:tr2bl w:val="nil"/>
                  </w:tcBorders>
                  <w:vAlign w:val="center"/>
                </w:tcPr>
                <w:p w14:paraId="61C20CA4">
                  <w:pPr>
                    <w:pStyle w:val="47"/>
                    <w:jc w:val="center"/>
                    <w:rPr>
                      <w:rFonts w:ascii="Times New Roman" w:cs="Times New Roman"/>
                      <w:bCs/>
                      <w:color w:val="auto"/>
                      <w:sz w:val="21"/>
                      <w:szCs w:val="21"/>
                    </w:rPr>
                  </w:pPr>
                  <w:r>
                    <w:rPr>
                      <w:rFonts w:hint="eastAsia" w:ascii="Times New Roman" w:cs="Times New Roman"/>
                      <w:bCs/>
                      <w:color w:val="auto"/>
                      <w:sz w:val="21"/>
                      <w:szCs w:val="21"/>
                    </w:rPr>
                    <w:t>2L/t矿石</w:t>
                  </w:r>
                </w:p>
              </w:tc>
              <w:tc>
                <w:tcPr>
                  <w:tcW w:w="726" w:type="pct"/>
                  <w:tcBorders>
                    <w:tl2br w:val="nil"/>
                    <w:tr2bl w:val="nil"/>
                  </w:tcBorders>
                  <w:vAlign w:val="center"/>
                </w:tcPr>
                <w:p w14:paraId="6CF4DFE0">
                  <w:pPr>
                    <w:pStyle w:val="47"/>
                    <w:jc w:val="center"/>
                    <w:rPr>
                      <w:rFonts w:ascii="Times New Roman" w:cs="Times New Roman"/>
                      <w:bCs/>
                      <w:color w:val="auto"/>
                      <w:sz w:val="21"/>
                      <w:szCs w:val="21"/>
                    </w:rPr>
                  </w:pPr>
                  <w:r>
                    <w:rPr>
                      <w:rFonts w:hint="eastAsia" w:ascii="Times New Roman" w:cs="Times New Roman"/>
                      <w:bCs/>
                      <w:color w:val="auto"/>
                      <w:sz w:val="21"/>
                      <w:szCs w:val="21"/>
                    </w:rPr>
                    <w:t>280t/d</w:t>
                  </w:r>
                </w:p>
              </w:tc>
              <w:tc>
                <w:tcPr>
                  <w:tcW w:w="919" w:type="pct"/>
                  <w:tcBorders>
                    <w:tl2br w:val="nil"/>
                    <w:tr2bl w:val="nil"/>
                  </w:tcBorders>
                  <w:vAlign w:val="center"/>
                </w:tcPr>
                <w:p w14:paraId="221793B4">
                  <w:pPr>
                    <w:pStyle w:val="47"/>
                    <w:jc w:val="center"/>
                    <w:rPr>
                      <w:rFonts w:ascii="Times New Roman" w:cs="Times New Roman"/>
                      <w:bCs/>
                      <w:color w:val="auto"/>
                      <w:sz w:val="21"/>
                      <w:szCs w:val="21"/>
                    </w:rPr>
                  </w:pPr>
                  <w:r>
                    <w:rPr>
                      <w:rFonts w:hint="eastAsia" w:ascii="Times New Roman" w:cs="Times New Roman"/>
                      <w:bCs/>
                      <w:color w:val="auto"/>
                      <w:sz w:val="21"/>
                      <w:szCs w:val="21"/>
                    </w:rPr>
                    <w:t>0.56</w:t>
                  </w:r>
                </w:p>
              </w:tc>
              <w:tc>
                <w:tcPr>
                  <w:tcW w:w="690" w:type="pct"/>
                  <w:tcBorders>
                    <w:tl2br w:val="nil"/>
                    <w:tr2bl w:val="nil"/>
                  </w:tcBorders>
                  <w:vAlign w:val="center"/>
                </w:tcPr>
                <w:p w14:paraId="34AFACAF">
                  <w:pPr>
                    <w:pStyle w:val="47"/>
                    <w:jc w:val="center"/>
                    <w:rPr>
                      <w:rFonts w:ascii="Times New Roman" w:cs="Times New Roman"/>
                      <w:bCs/>
                      <w:color w:val="auto"/>
                      <w:sz w:val="21"/>
                      <w:szCs w:val="21"/>
                    </w:rPr>
                  </w:pPr>
                  <w:r>
                    <w:rPr>
                      <w:rFonts w:hint="eastAsia" w:ascii="Times New Roman" w:cs="Times New Roman"/>
                      <w:bCs/>
                      <w:color w:val="auto"/>
                      <w:sz w:val="21"/>
                      <w:szCs w:val="21"/>
                    </w:rPr>
                    <w:t>0</w:t>
                  </w:r>
                </w:p>
              </w:tc>
              <w:tc>
                <w:tcPr>
                  <w:tcW w:w="704" w:type="pct"/>
                  <w:tcBorders>
                    <w:tl2br w:val="nil"/>
                    <w:tr2bl w:val="nil"/>
                  </w:tcBorders>
                  <w:vAlign w:val="center"/>
                </w:tcPr>
                <w:p w14:paraId="09359172">
                  <w:pPr>
                    <w:pStyle w:val="47"/>
                    <w:jc w:val="center"/>
                    <w:rPr>
                      <w:rFonts w:ascii="Times New Roman" w:cs="Times New Roman"/>
                      <w:bCs/>
                      <w:color w:val="auto"/>
                      <w:sz w:val="21"/>
                      <w:szCs w:val="21"/>
                    </w:rPr>
                  </w:pPr>
                  <w:r>
                    <w:rPr>
                      <w:rFonts w:hint="eastAsia" w:ascii="Times New Roman" w:cs="Times New Roman"/>
                      <w:bCs/>
                      <w:color w:val="auto"/>
                      <w:sz w:val="21"/>
                      <w:szCs w:val="21"/>
                    </w:rPr>
                    <w:t>0</w:t>
                  </w:r>
                </w:p>
              </w:tc>
            </w:tr>
            <w:tr w14:paraId="36CA09D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454" w:hRule="atLeast"/>
                <w:jc w:val="center"/>
              </w:trPr>
              <w:tc>
                <w:tcPr>
                  <w:tcW w:w="280" w:type="pct"/>
                  <w:tcBorders>
                    <w:tl2br w:val="nil"/>
                    <w:tr2bl w:val="nil"/>
                  </w:tcBorders>
                  <w:vAlign w:val="center"/>
                </w:tcPr>
                <w:p w14:paraId="4A89CC93">
                  <w:pPr>
                    <w:pStyle w:val="47"/>
                    <w:jc w:val="center"/>
                    <w:rPr>
                      <w:rFonts w:ascii="Times New Roman" w:cs="Times New Roman"/>
                      <w:bCs/>
                      <w:color w:val="auto"/>
                      <w:sz w:val="21"/>
                      <w:szCs w:val="21"/>
                    </w:rPr>
                  </w:pPr>
                  <w:r>
                    <w:rPr>
                      <w:rFonts w:hint="eastAsia" w:ascii="Times New Roman" w:cs="Times New Roman"/>
                      <w:bCs/>
                      <w:color w:val="auto"/>
                      <w:sz w:val="21"/>
                      <w:szCs w:val="21"/>
                    </w:rPr>
                    <w:t>3</w:t>
                  </w:r>
                </w:p>
              </w:tc>
              <w:tc>
                <w:tcPr>
                  <w:tcW w:w="883" w:type="pct"/>
                  <w:tcBorders>
                    <w:tl2br w:val="nil"/>
                    <w:tr2bl w:val="nil"/>
                  </w:tcBorders>
                  <w:vAlign w:val="center"/>
                </w:tcPr>
                <w:p w14:paraId="19BC6B15">
                  <w:pPr>
                    <w:pStyle w:val="47"/>
                    <w:jc w:val="center"/>
                    <w:rPr>
                      <w:rFonts w:ascii="Times New Roman" w:cs="Times New Roman"/>
                      <w:bCs/>
                      <w:color w:val="auto"/>
                      <w:sz w:val="21"/>
                      <w:szCs w:val="21"/>
                      <w:highlight w:val="none"/>
                    </w:rPr>
                  </w:pPr>
                  <w:r>
                    <w:rPr>
                      <w:rFonts w:hint="eastAsia" w:ascii="Times New Roman" w:cs="Times New Roman"/>
                      <w:bCs/>
                      <w:color w:val="auto"/>
                      <w:sz w:val="21"/>
                      <w:szCs w:val="21"/>
                      <w:highlight w:val="none"/>
                    </w:rPr>
                    <w:t>道路抑尘洒水</w:t>
                  </w:r>
                </w:p>
              </w:tc>
              <w:tc>
                <w:tcPr>
                  <w:tcW w:w="795" w:type="pct"/>
                  <w:tcBorders>
                    <w:tl2br w:val="nil"/>
                    <w:tr2bl w:val="nil"/>
                  </w:tcBorders>
                  <w:vAlign w:val="center"/>
                </w:tcPr>
                <w:p w14:paraId="3BCF72D0">
                  <w:pPr>
                    <w:pStyle w:val="47"/>
                    <w:jc w:val="center"/>
                    <w:rPr>
                      <w:rFonts w:ascii="Times New Roman" w:cs="Times New Roman"/>
                      <w:bCs/>
                      <w:color w:val="auto"/>
                      <w:sz w:val="21"/>
                      <w:szCs w:val="21"/>
                    </w:rPr>
                  </w:pPr>
                  <w:r>
                    <w:rPr>
                      <w:rFonts w:hint="eastAsia" w:ascii="Times New Roman" w:cs="Times New Roman"/>
                      <w:bCs/>
                      <w:color w:val="auto"/>
                      <w:sz w:val="21"/>
                      <w:szCs w:val="21"/>
                    </w:rPr>
                    <w:t>1.5L/（m</w:t>
                  </w:r>
                  <w:r>
                    <w:rPr>
                      <w:rFonts w:hint="eastAsia" w:ascii="Times New Roman" w:cs="Times New Roman"/>
                      <w:bCs/>
                      <w:color w:val="auto"/>
                      <w:sz w:val="21"/>
                      <w:szCs w:val="21"/>
                      <w:vertAlign w:val="superscript"/>
                    </w:rPr>
                    <w:t>2</w:t>
                  </w:r>
                  <w:r>
                    <w:rPr>
                      <w:rFonts w:hint="eastAsia" w:ascii="Times New Roman" w:cs="Times New Roman"/>
                      <w:bCs/>
                      <w:color w:val="auto"/>
                      <w:sz w:val="21"/>
                      <w:szCs w:val="21"/>
                    </w:rPr>
                    <w:t>·次）</w:t>
                  </w:r>
                </w:p>
              </w:tc>
              <w:tc>
                <w:tcPr>
                  <w:tcW w:w="726" w:type="pct"/>
                  <w:tcBorders>
                    <w:tl2br w:val="nil"/>
                    <w:tr2bl w:val="nil"/>
                  </w:tcBorders>
                  <w:vAlign w:val="center"/>
                </w:tcPr>
                <w:p w14:paraId="46FB7A6B">
                  <w:pPr>
                    <w:pStyle w:val="47"/>
                    <w:jc w:val="center"/>
                    <w:rPr>
                      <w:rFonts w:ascii="Times New Roman" w:cs="Times New Roman"/>
                      <w:color w:val="auto"/>
                      <w:kern w:val="0"/>
                      <w:sz w:val="21"/>
                      <w:szCs w:val="21"/>
                      <w:lang w:bidi="ar"/>
                    </w:rPr>
                  </w:pPr>
                  <w:r>
                    <w:rPr>
                      <w:rFonts w:ascii="Times New Roman" w:cs="Times New Roman"/>
                      <w:color w:val="auto"/>
                      <w:sz w:val="21"/>
                      <w:szCs w:val="21"/>
                    </w:rPr>
                    <w:t>14539m</w:t>
                  </w:r>
                  <w:r>
                    <w:rPr>
                      <w:rFonts w:ascii="Times New Roman" w:cs="Times New Roman"/>
                      <w:color w:val="auto"/>
                      <w:sz w:val="21"/>
                      <w:szCs w:val="21"/>
                      <w:vertAlign w:val="superscript"/>
                    </w:rPr>
                    <w:t>2</w:t>
                  </w:r>
                </w:p>
                <w:p w14:paraId="08AC789D">
                  <w:pPr>
                    <w:pStyle w:val="47"/>
                    <w:jc w:val="center"/>
                    <w:rPr>
                      <w:rFonts w:ascii="Times New Roman" w:cs="Times New Roman"/>
                      <w:bCs/>
                      <w:color w:val="auto"/>
                      <w:sz w:val="21"/>
                      <w:szCs w:val="21"/>
                    </w:rPr>
                  </w:pPr>
                  <w:r>
                    <w:rPr>
                      <w:rFonts w:hint="eastAsia" w:ascii="Times New Roman" w:cs="Times New Roman"/>
                      <w:color w:val="auto"/>
                      <w:kern w:val="0"/>
                      <w:sz w:val="21"/>
                      <w:szCs w:val="21"/>
                      <w:lang w:bidi="ar"/>
                    </w:rPr>
                    <w:t>2次/天</w:t>
                  </w:r>
                </w:p>
              </w:tc>
              <w:tc>
                <w:tcPr>
                  <w:tcW w:w="919" w:type="pct"/>
                  <w:tcBorders>
                    <w:tl2br w:val="nil"/>
                    <w:tr2bl w:val="nil"/>
                  </w:tcBorders>
                  <w:vAlign w:val="center"/>
                </w:tcPr>
                <w:p w14:paraId="3C1D055E">
                  <w:pPr>
                    <w:pStyle w:val="47"/>
                    <w:jc w:val="center"/>
                    <w:rPr>
                      <w:rFonts w:ascii="Times New Roman" w:cs="Times New Roman"/>
                      <w:bCs/>
                      <w:color w:val="auto"/>
                      <w:sz w:val="21"/>
                      <w:szCs w:val="21"/>
                    </w:rPr>
                  </w:pPr>
                  <w:r>
                    <w:rPr>
                      <w:rFonts w:ascii="Times New Roman" w:cs="Times New Roman"/>
                      <w:bCs/>
                      <w:color w:val="auto"/>
                      <w:sz w:val="21"/>
                      <w:szCs w:val="21"/>
                    </w:rPr>
                    <w:t>43.617</w:t>
                  </w:r>
                </w:p>
              </w:tc>
              <w:tc>
                <w:tcPr>
                  <w:tcW w:w="690" w:type="pct"/>
                  <w:tcBorders>
                    <w:tl2br w:val="nil"/>
                    <w:tr2bl w:val="nil"/>
                  </w:tcBorders>
                  <w:vAlign w:val="center"/>
                </w:tcPr>
                <w:p w14:paraId="3EAADC03">
                  <w:pPr>
                    <w:pStyle w:val="47"/>
                    <w:jc w:val="center"/>
                    <w:rPr>
                      <w:rFonts w:ascii="Times New Roman" w:cs="Times New Roman"/>
                      <w:bCs/>
                      <w:color w:val="auto"/>
                      <w:sz w:val="21"/>
                      <w:szCs w:val="21"/>
                    </w:rPr>
                  </w:pPr>
                  <w:r>
                    <w:rPr>
                      <w:rFonts w:hint="eastAsia" w:ascii="Times New Roman" w:cs="Times New Roman"/>
                      <w:bCs/>
                      <w:color w:val="auto"/>
                      <w:sz w:val="21"/>
                      <w:szCs w:val="21"/>
                    </w:rPr>
                    <w:t>0</w:t>
                  </w:r>
                </w:p>
              </w:tc>
              <w:tc>
                <w:tcPr>
                  <w:tcW w:w="704" w:type="pct"/>
                  <w:tcBorders>
                    <w:tl2br w:val="nil"/>
                    <w:tr2bl w:val="nil"/>
                  </w:tcBorders>
                  <w:vAlign w:val="center"/>
                </w:tcPr>
                <w:p w14:paraId="21AAC0DC">
                  <w:pPr>
                    <w:pStyle w:val="47"/>
                    <w:jc w:val="center"/>
                    <w:rPr>
                      <w:rFonts w:ascii="Times New Roman" w:cs="Times New Roman"/>
                      <w:bCs/>
                      <w:color w:val="auto"/>
                      <w:sz w:val="21"/>
                      <w:szCs w:val="21"/>
                    </w:rPr>
                  </w:pPr>
                  <w:r>
                    <w:rPr>
                      <w:rFonts w:hint="eastAsia" w:ascii="Times New Roman" w:cs="Times New Roman"/>
                      <w:bCs/>
                      <w:color w:val="auto"/>
                      <w:sz w:val="21"/>
                      <w:szCs w:val="21"/>
                    </w:rPr>
                    <w:t>0</w:t>
                  </w:r>
                </w:p>
              </w:tc>
            </w:tr>
            <w:tr w14:paraId="12FE395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454" w:hRule="atLeast"/>
                <w:jc w:val="center"/>
              </w:trPr>
              <w:tc>
                <w:tcPr>
                  <w:tcW w:w="280" w:type="pct"/>
                  <w:tcBorders>
                    <w:tl2br w:val="nil"/>
                    <w:tr2bl w:val="nil"/>
                  </w:tcBorders>
                  <w:vAlign w:val="center"/>
                </w:tcPr>
                <w:p w14:paraId="6A618128">
                  <w:pPr>
                    <w:pStyle w:val="47"/>
                    <w:jc w:val="center"/>
                    <w:rPr>
                      <w:rFonts w:ascii="Times New Roman" w:cs="Times New Roman"/>
                      <w:bCs/>
                      <w:color w:val="auto"/>
                      <w:sz w:val="21"/>
                      <w:szCs w:val="21"/>
                    </w:rPr>
                  </w:pPr>
                  <w:r>
                    <w:rPr>
                      <w:rFonts w:hint="eastAsia" w:ascii="Times New Roman" w:cs="Times New Roman"/>
                      <w:bCs/>
                      <w:color w:val="auto"/>
                      <w:sz w:val="21"/>
                      <w:szCs w:val="21"/>
                    </w:rPr>
                    <w:t>4</w:t>
                  </w:r>
                </w:p>
              </w:tc>
              <w:tc>
                <w:tcPr>
                  <w:tcW w:w="883" w:type="pct"/>
                  <w:tcBorders>
                    <w:tl2br w:val="nil"/>
                    <w:tr2bl w:val="nil"/>
                  </w:tcBorders>
                  <w:vAlign w:val="center"/>
                </w:tcPr>
                <w:p w14:paraId="2FE8F638">
                  <w:pPr>
                    <w:pStyle w:val="47"/>
                    <w:jc w:val="center"/>
                    <w:rPr>
                      <w:rFonts w:ascii="Times New Roman" w:cs="Times New Roman"/>
                      <w:bCs/>
                      <w:color w:val="auto"/>
                      <w:sz w:val="21"/>
                      <w:szCs w:val="21"/>
                      <w:highlight w:val="none"/>
                    </w:rPr>
                  </w:pPr>
                  <w:r>
                    <w:rPr>
                      <w:rFonts w:hint="eastAsia" w:ascii="Times New Roman" w:cs="Times New Roman"/>
                      <w:bCs/>
                      <w:color w:val="auto"/>
                      <w:sz w:val="21"/>
                      <w:szCs w:val="21"/>
                      <w:highlight w:val="none"/>
                    </w:rPr>
                    <w:t>排土场作业抑尘用水</w:t>
                  </w:r>
                </w:p>
              </w:tc>
              <w:tc>
                <w:tcPr>
                  <w:tcW w:w="795" w:type="pct"/>
                  <w:tcBorders>
                    <w:tl2br w:val="nil"/>
                    <w:tr2bl w:val="nil"/>
                  </w:tcBorders>
                  <w:vAlign w:val="center"/>
                </w:tcPr>
                <w:p w14:paraId="4A7ED562">
                  <w:pPr>
                    <w:pStyle w:val="47"/>
                    <w:jc w:val="center"/>
                    <w:rPr>
                      <w:rFonts w:ascii="Times New Roman" w:cs="Times New Roman"/>
                      <w:bCs/>
                      <w:color w:val="auto"/>
                      <w:sz w:val="21"/>
                      <w:szCs w:val="21"/>
                    </w:rPr>
                  </w:pPr>
                  <w:r>
                    <w:rPr>
                      <w:rFonts w:ascii="Times New Roman" w:cs="Times New Roman"/>
                      <w:bCs/>
                      <w:color w:val="auto"/>
                      <w:sz w:val="21"/>
                      <w:szCs w:val="21"/>
                    </w:rPr>
                    <w:t>2.0L/（m</w:t>
                  </w:r>
                  <w:r>
                    <w:rPr>
                      <w:rFonts w:ascii="Times New Roman" w:cs="Times New Roman"/>
                      <w:bCs/>
                      <w:color w:val="auto"/>
                      <w:sz w:val="21"/>
                      <w:szCs w:val="21"/>
                      <w:vertAlign w:val="superscript"/>
                    </w:rPr>
                    <w:t>2</w:t>
                  </w:r>
                  <w:r>
                    <w:rPr>
                      <w:rFonts w:ascii="Times New Roman" w:cs="Times New Roman"/>
                      <w:bCs/>
                      <w:color w:val="auto"/>
                      <w:sz w:val="21"/>
                      <w:szCs w:val="21"/>
                    </w:rPr>
                    <w:t>·天）</w:t>
                  </w:r>
                </w:p>
              </w:tc>
              <w:tc>
                <w:tcPr>
                  <w:tcW w:w="726" w:type="pct"/>
                  <w:tcBorders>
                    <w:tl2br w:val="nil"/>
                    <w:tr2bl w:val="nil"/>
                  </w:tcBorders>
                  <w:vAlign w:val="center"/>
                </w:tcPr>
                <w:p w14:paraId="28ED7DCC">
                  <w:pPr>
                    <w:pStyle w:val="47"/>
                    <w:jc w:val="center"/>
                    <w:rPr>
                      <w:rFonts w:ascii="Times New Roman" w:cs="Times New Roman"/>
                      <w:bCs/>
                      <w:color w:val="auto"/>
                      <w:sz w:val="21"/>
                      <w:szCs w:val="21"/>
                    </w:rPr>
                  </w:pPr>
                  <w:r>
                    <w:rPr>
                      <w:rFonts w:hint="eastAsia" w:ascii="Times New Roman" w:cs="Times New Roman"/>
                      <w:bCs/>
                      <w:color w:val="auto"/>
                      <w:sz w:val="21"/>
                      <w:szCs w:val="21"/>
                    </w:rPr>
                    <w:t>作业单元100</w:t>
                  </w:r>
                  <w:r>
                    <w:rPr>
                      <w:rFonts w:ascii="Times New Roman" w:cs="Times New Roman"/>
                      <w:bCs/>
                      <w:color w:val="auto"/>
                      <w:sz w:val="21"/>
                      <w:szCs w:val="21"/>
                    </w:rPr>
                    <w:t>m</w:t>
                  </w:r>
                  <w:r>
                    <w:rPr>
                      <w:rFonts w:ascii="Times New Roman" w:cs="Times New Roman"/>
                      <w:bCs/>
                      <w:color w:val="auto"/>
                      <w:sz w:val="21"/>
                      <w:szCs w:val="21"/>
                      <w:vertAlign w:val="superscript"/>
                    </w:rPr>
                    <w:t>2</w:t>
                  </w:r>
                </w:p>
              </w:tc>
              <w:tc>
                <w:tcPr>
                  <w:tcW w:w="919" w:type="pct"/>
                  <w:tcBorders>
                    <w:tl2br w:val="nil"/>
                    <w:tr2bl w:val="nil"/>
                  </w:tcBorders>
                  <w:vAlign w:val="center"/>
                </w:tcPr>
                <w:p w14:paraId="02E42CB7">
                  <w:pPr>
                    <w:pStyle w:val="47"/>
                    <w:jc w:val="center"/>
                    <w:rPr>
                      <w:rFonts w:ascii="Times New Roman" w:cs="Times New Roman"/>
                      <w:bCs/>
                      <w:color w:val="auto"/>
                      <w:sz w:val="21"/>
                      <w:szCs w:val="21"/>
                    </w:rPr>
                  </w:pPr>
                  <w:r>
                    <w:rPr>
                      <w:rFonts w:hint="eastAsia" w:ascii="Times New Roman" w:cs="Times New Roman"/>
                      <w:bCs/>
                      <w:color w:val="auto"/>
                      <w:sz w:val="21"/>
                      <w:szCs w:val="21"/>
                    </w:rPr>
                    <w:t>0.2</w:t>
                  </w:r>
                </w:p>
              </w:tc>
              <w:tc>
                <w:tcPr>
                  <w:tcW w:w="690" w:type="pct"/>
                  <w:tcBorders>
                    <w:tl2br w:val="nil"/>
                    <w:tr2bl w:val="nil"/>
                  </w:tcBorders>
                  <w:vAlign w:val="center"/>
                </w:tcPr>
                <w:p w14:paraId="7303AF10">
                  <w:pPr>
                    <w:pStyle w:val="47"/>
                    <w:jc w:val="center"/>
                    <w:rPr>
                      <w:rFonts w:ascii="Times New Roman" w:cs="Times New Roman"/>
                      <w:bCs/>
                      <w:color w:val="auto"/>
                      <w:sz w:val="21"/>
                      <w:szCs w:val="21"/>
                    </w:rPr>
                  </w:pPr>
                  <w:r>
                    <w:rPr>
                      <w:rFonts w:hint="eastAsia" w:ascii="Times New Roman" w:cs="Times New Roman"/>
                      <w:bCs/>
                      <w:color w:val="auto"/>
                      <w:sz w:val="21"/>
                      <w:szCs w:val="21"/>
                    </w:rPr>
                    <w:t>0</w:t>
                  </w:r>
                </w:p>
              </w:tc>
              <w:tc>
                <w:tcPr>
                  <w:tcW w:w="704" w:type="pct"/>
                  <w:tcBorders>
                    <w:tl2br w:val="nil"/>
                    <w:tr2bl w:val="nil"/>
                  </w:tcBorders>
                  <w:vAlign w:val="center"/>
                </w:tcPr>
                <w:p w14:paraId="40416FF5">
                  <w:pPr>
                    <w:pStyle w:val="47"/>
                    <w:jc w:val="center"/>
                    <w:rPr>
                      <w:rFonts w:ascii="Times New Roman" w:cs="Times New Roman"/>
                      <w:bCs/>
                      <w:color w:val="auto"/>
                      <w:sz w:val="21"/>
                      <w:szCs w:val="21"/>
                    </w:rPr>
                  </w:pPr>
                  <w:r>
                    <w:rPr>
                      <w:rFonts w:hint="eastAsia" w:ascii="Times New Roman" w:cs="Times New Roman"/>
                      <w:bCs/>
                      <w:color w:val="auto"/>
                      <w:sz w:val="21"/>
                      <w:szCs w:val="21"/>
                    </w:rPr>
                    <w:t>0</w:t>
                  </w:r>
                </w:p>
              </w:tc>
            </w:tr>
            <w:tr w14:paraId="7CB4B7B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454" w:hRule="atLeast"/>
                <w:jc w:val="center"/>
              </w:trPr>
              <w:tc>
                <w:tcPr>
                  <w:tcW w:w="280" w:type="pct"/>
                  <w:tcBorders>
                    <w:tl2br w:val="nil"/>
                    <w:tr2bl w:val="nil"/>
                  </w:tcBorders>
                  <w:vAlign w:val="center"/>
                </w:tcPr>
                <w:p w14:paraId="3E91D369">
                  <w:pPr>
                    <w:pStyle w:val="47"/>
                    <w:jc w:val="center"/>
                    <w:rPr>
                      <w:rFonts w:ascii="Times New Roman" w:cs="Times New Roman"/>
                      <w:bCs/>
                      <w:color w:val="auto"/>
                      <w:sz w:val="21"/>
                      <w:szCs w:val="21"/>
                    </w:rPr>
                  </w:pPr>
                  <w:r>
                    <w:rPr>
                      <w:rFonts w:hint="eastAsia" w:ascii="Times New Roman" w:cs="Times New Roman"/>
                      <w:bCs/>
                      <w:color w:val="auto"/>
                      <w:sz w:val="21"/>
                      <w:szCs w:val="21"/>
                    </w:rPr>
                    <w:t>5</w:t>
                  </w:r>
                </w:p>
              </w:tc>
              <w:tc>
                <w:tcPr>
                  <w:tcW w:w="883" w:type="pct"/>
                  <w:tcBorders>
                    <w:tl2br w:val="nil"/>
                    <w:tr2bl w:val="nil"/>
                  </w:tcBorders>
                  <w:vAlign w:val="center"/>
                </w:tcPr>
                <w:p w14:paraId="05063EEE">
                  <w:pPr>
                    <w:pStyle w:val="47"/>
                    <w:jc w:val="center"/>
                    <w:rPr>
                      <w:rFonts w:ascii="Times New Roman" w:cs="Times New Roman"/>
                      <w:bCs/>
                      <w:color w:val="auto"/>
                      <w:sz w:val="21"/>
                      <w:szCs w:val="21"/>
                      <w:highlight w:val="none"/>
                    </w:rPr>
                  </w:pPr>
                  <w:r>
                    <w:rPr>
                      <w:rFonts w:hint="eastAsia" w:ascii="Times New Roman" w:cs="Times New Roman"/>
                      <w:bCs/>
                      <w:color w:val="auto"/>
                      <w:sz w:val="21"/>
                      <w:szCs w:val="21"/>
                      <w:highlight w:val="none"/>
                    </w:rPr>
                    <w:t>绿化用水</w:t>
                  </w:r>
                </w:p>
              </w:tc>
              <w:tc>
                <w:tcPr>
                  <w:tcW w:w="795" w:type="pct"/>
                  <w:tcBorders>
                    <w:tl2br w:val="nil"/>
                    <w:tr2bl w:val="nil"/>
                  </w:tcBorders>
                  <w:vAlign w:val="center"/>
                </w:tcPr>
                <w:p w14:paraId="1CB2B08F">
                  <w:pPr>
                    <w:pStyle w:val="47"/>
                    <w:jc w:val="center"/>
                    <w:rPr>
                      <w:rFonts w:ascii="Times New Roman" w:cs="Times New Roman"/>
                      <w:bCs/>
                      <w:color w:val="auto"/>
                      <w:sz w:val="21"/>
                      <w:szCs w:val="21"/>
                    </w:rPr>
                  </w:pPr>
                  <w:r>
                    <w:rPr>
                      <w:rFonts w:hint="eastAsia" w:ascii="Times New Roman" w:cs="Times New Roman"/>
                      <w:bCs/>
                      <w:color w:val="auto"/>
                      <w:sz w:val="21"/>
                      <w:szCs w:val="21"/>
                    </w:rPr>
                    <w:t>1.5L/(m</w:t>
                  </w:r>
                  <w:r>
                    <w:rPr>
                      <w:rFonts w:hint="eastAsia" w:ascii="Times New Roman" w:cs="Times New Roman"/>
                      <w:bCs/>
                      <w:color w:val="auto"/>
                      <w:sz w:val="21"/>
                      <w:szCs w:val="21"/>
                      <w:vertAlign w:val="superscript"/>
                    </w:rPr>
                    <w:t>2</w:t>
                  </w:r>
                  <w:r>
                    <w:rPr>
                      <w:rFonts w:hint="eastAsia" w:ascii="Times New Roman" w:cs="Times New Roman"/>
                      <w:bCs/>
                      <w:color w:val="auto"/>
                      <w:sz w:val="21"/>
                      <w:szCs w:val="21"/>
                    </w:rPr>
                    <w:t>·d)</w:t>
                  </w:r>
                </w:p>
              </w:tc>
              <w:tc>
                <w:tcPr>
                  <w:tcW w:w="726" w:type="pct"/>
                  <w:tcBorders>
                    <w:tl2br w:val="nil"/>
                    <w:tr2bl w:val="nil"/>
                  </w:tcBorders>
                  <w:vAlign w:val="center"/>
                </w:tcPr>
                <w:p w14:paraId="47C50A5D">
                  <w:pPr>
                    <w:pStyle w:val="47"/>
                    <w:jc w:val="center"/>
                    <w:rPr>
                      <w:rFonts w:ascii="Times New Roman" w:cs="Times New Roman"/>
                      <w:bCs/>
                      <w:color w:val="auto"/>
                      <w:sz w:val="21"/>
                      <w:szCs w:val="21"/>
                    </w:rPr>
                  </w:pPr>
                  <w:r>
                    <w:rPr>
                      <w:rFonts w:hint="eastAsia" w:ascii="Times New Roman" w:cs="Times New Roman"/>
                      <w:bCs/>
                      <w:color w:val="auto"/>
                      <w:sz w:val="21"/>
                      <w:szCs w:val="21"/>
                    </w:rPr>
                    <w:t>300</w:t>
                  </w:r>
                  <w:r>
                    <w:rPr>
                      <w:rFonts w:ascii="Times New Roman" w:cs="Times New Roman"/>
                      <w:bCs/>
                      <w:color w:val="auto"/>
                      <w:sz w:val="21"/>
                      <w:szCs w:val="21"/>
                    </w:rPr>
                    <w:t>m</w:t>
                  </w:r>
                  <w:r>
                    <w:rPr>
                      <w:rFonts w:ascii="Times New Roman" w:cs="Times New Roman"/>
                      <w:bCs/>
                      <w:color w:val="auto"/>
                      <w:sz w:val="21"/>
                      <w:szCs w:val="21"/>
                      <w:vertAlign w:val="superscript"/>
                    </w:rPr>
                    <w:t>2</w:t>
                  </w:r>
                </w:p>
              </w:tc>
              <w:tc>
                <w:tcPr>
                  <w:tcW w:w="919" w:type="pct"/>
                  <w:tcBorders>
                    <w:tl2br w:val="nil"/>
                    <w:tr2bl w:val="nil"/>
                  </w:tcBorders>
                  <w:vAlign w:val="center"/>
                </w:tcPr>
                <w:p w14:paraId="1DBD138A">
                  <w:pPr>
                    <w:pStyle w:val="47"/>
                    <w:jc w:val="center"/>
                    <w:rPr>
                      <w:rFonts w:ascii="Times New Roman" w:cs="Times New Roman"/>
                      <w:bCs/>
                      <w:color w:val="auto"/>
                      <w:sz w:val="21"/>
                      <w:szCs w:val="21"/>
                    </w:rPr>
                  </w:pPr>
                  <w:r>
                    <w:rPr>
                      <w:rFonts w:ascii="Times New Roman" w:cs="Times New Roman"/>
                      <w:bCs/>
                      <w:color w:val="auto"/>
                      <w:sz w:val="21"/>
                      <w:szCs w:val="21"/>
                    </w:rPr>
                    <w:t>0.</w:t>
                  </w:r>
                  <w:r>
                    <w:rPr>
                      <w:rFonts w:hint="eastAsia" w:ascii="Times New Roman" w:cs="Times New Roman"/>
                      <w:bCs/>
                      <w:color w:val="auto"/>
                      <w:sz w:val="21"/>
                      <w:szCs w:val="21"/>
                    </w:rPr>
                    <w:t>45</w:t>
                  </w:r>
                </w:p>
              </w:tc>
              <w:tc>
                <w:tcPr>
                  <w:tcW w:w="690" w:type="pct"/>
                  <w:tcBorders>
                    <w:tl2br w:val="nil"/>
                    <w:tr2bl w:val="nil"/>
                  </w:tcBorders>
                  <w:vAlign w:val="center"/>
                </w:tcPr>
                <w:p w14:paraId="7E79FF88">
                  <w:pPr>
                    <w:pStyle w:val="47"/>
                    <w:jc w:val="center"/>
                    <w:rPr>
                      <w:rFonts w:ascii="Times New Roman" w:cs="Times New Roman"/>
                      <w:bCs/>
                      <w:color w:val="auto"/>
                      <w:sz w:val="21"/>
                      <w:szCs w:val="21"/>
                    </w:rPr>
                  </w:pPr>
                  <w:r>
                    <w:rPr>
                      <w:rFonts w:hint="eastAsia" w:ascii="Times New Roman" w:cs="Times New Roman"/>
                      <w:bCs/>
                      <w:color w:val="auto"/>
                      <w:sz w:val="21"/>
                      <w:szCs w:val="21"/>
                    </w:rPr>
                    <w:t>0</w:t>
                  </w:r>
                </w:p>
              </w:tc>
              <w:tc>
                <w:tcPr>
                  <w:tcW w:w="704" w:type="pct"/>
                  <w:tcBorders>
                    <w:tl2br w:val="nil"/>
                    <w:tr2bl w:val="nil"/>
                  </w:tcBorders>
                  <w:vAlign w:val="center"/>
                </w:tcPr>
                <w:p w14:paraId="1CED24C4">
                  <w:pPr>
                    <w:pStyle w:val="47"/>
                    <w:jc w:val="center"/>
                    <w:rPr>
                      <w:rFonts w:ascii="Times New Roman" w:cs="Times New Roman"/>
                      <w:bCs/>
                      <w:color w:val="auto"/>
                      <w:sz w:val="21"/>
                      <w:szCs w:val="21"/>
                    </w:rPr>
                  </w:pPr>
                  <w:r>
                    <w:rPr>
                      <w:rFonts w:hint="eastAsia" w:ascii="Times New Roman" w:cs="Times New Roman"/>
                      <w:bCs/>
                      <w:color w:val="auto"/>
                      <w:sz w:val="21"/>
                      <w:szCs w:val="21"/>
                    </w:rPr>
                    <w:t>0</w:t>
                  </w:r>
                </w:p>
              </w:tc>
            </w:tr>
            <w:tr w14:paraId="73510FE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454" w:hRule="atLeast"/>
                <w:jc w:val="center"/>
              </w:trPr>
              <w:tc>
                <w:tcPr>
                  <w:tcW w:w="280" w:type="pct"/>
                  <w:tcBorders>
                    <w:tl2br w:val="nil"/>
                    <w:tr2bl w:val="nil"/>
                  </w:tcBorders>
                  <w:vAlign w:val="center"/>
                </w:tcPr>
                <w:p w14:paraId="1DF3CADE">
                  <w:pPr>
                    <w:pStyle w:val="47"/>
                    <w:jc w:val="center"/>
                    <w:rPr>
                      <w:rFonts w:ascii="Times New Roman" w:cs="Times New Roman"/>
                      <w:bCs/>
                      <w:color w:val="auto"/>
                      <w:sz w:val="21"/>
                      <w:szCs w:val="21"/>
                    </w:rPr>
                  </w:pPr>
                  <w:r>
                    <w:rPr>
                      <w:rFonts w:hint="eastAsia" w:ascii="Times New Roman" w:cs="Times New Roman"/>
                      <w:bCs/>
                      <w:color w:val="auto"/>
                      <w:sz w:val="21"/>
                      <w:szCs w:val="21"/>
                    </w:rPr>
                    <w:t>6</w:t>
                  </w:r>
                </w:p>
              </w:tc>
              <w:tc>
                <w:tcPr>
                  <w:tcW w:w="883" w:type="pct"/>
                  <w:tcBorders>
                    <w:tl2br w:val="nil"/>
                    <w:tr2bl w:val="nil"/>
                  </w:tcBorders>
                  <w:vAlign w:val="center"/>
                </w:tcPr>
                <w:p w14:paraId="5E9D205A">
                  <w:pPr>
                    <w:pStyle w:val="47"/>
                    <w:jc w:val="center"/>
                    <w:rPr>
                      <w:rFonts w:ascii="Times New Roman" w:cs="Times New Roman"/>
                      <w:bCs/>
                      <w:color w:val="auto"/>
                      <w:sz w:val="21"/>
                      <w:szCs w:val="21"/>
                      <w:highlight w:val="none"/>
                    </w:rPr>
                  </w:pPr>
                  <w:r>
                    <w:rPr>
                      <w:rFonts w:hint="eastAsia" w:ascii="Times New Roman" w:cs="Times New Roman"/>
                      <w:bCs/>
                      <w:color w:val="auto"/>
                      <w:sz w:val="21"/>
                      <w:szCs w:val="21"/>
                      <w:highlight w:val="none"/>
                    </w:rPr>
                    <w:t>生活用水</w:t>
                  </w:r>
                </w:p>
              </w:tc>
              <w:tc>
                <w:tcPr>
                  <w:tcW w:w="795" w:type="pct"/>
                  <w:tcBorders>
                    <w:tl2br w:val="nil"/>
                    <w:tr2bl w:val="nil"/>
                  </w:tcBorders>
                  <w:vAlign w:val="center"/>
                </w:tcPr>
                <w:p w14:paraId="3D8A1D6B">
                  <w:pPr>
                    <w:pStyle w:val="47"/>
                    <w:jc w:val="center"/>
                    <w:rPr>
                      <w:rFonts w:ascii="Times New Roman" w:cs="Times New Roman"/>
                      <w:bCs/>
                      <w:color w:val="auto"/>
                      <w:sz w:val="21"/>
                      <w:szCs w:val="21"/>
                    </w:rPr>
                  </w:pPr>
                  <w:r>
                    <w:rPr>
                      <w:rFonts w:ascii="Times New Roman" w:cs="Times New Roman"/>
                      <w:bCs/>
                      <w:color w:val="auto"/>
                      <w:sz w:val="21"/>
                      <w:szCs w:val="21"/>
                    </w:rPr>
                    <w:t>1</w:t>
                  </w:r>
                  <w:r>
                    <w:rPr>
                      <w:rFonts w:hint="eastAsia" w:ascii="Times New Roman" w:cs="Times New Roman"/>
                      <w:bCs/>
                      <w:color w:val="auto"/>
                      <w:sz w:val="21"/>
                      <w:szCs w:val="21"/>
                      <w:lang w:val="en-US" w:eastAsia="zh-CN"/>
                    </w:rPr>
                    <w:t>0</w:t>
                  </w:r>
                  <w:r>
                    <w:rPr>
                      <w:rFonts w:hint="eastAsia" w:ascii="Times New Roman" w:cs="Times New Roman"/>
                      <w:bCs/>
                      <w:color w:val="auto"/>
                      <w:sz w:val="21"/>
                      <w:szCs w:val="21"/>
                    </w:rPr>
                    <w:t>0L/人·天</w:t>
                  </w:r>
                </w:p>
              </w:tc>
              <w:tc>
                <w:tcPr>
                  <w:tcW w:w="726" w:type="pct"/>
                  <w:tcBorders>
                    <w:tl2br w:val="nil"/>
                    <w:tr2bl w:val="nil"/>
                  </w:tcBorders>
                  <w:vAlign w:val="center"/>
                </w:tcPr>
                <w:p w14:paraId="2C41DD05">
                  <w:pPr>
                    <w:pStyle w:val="47"/>
                    <w:jc w:val="center"/>
                    <w:rPr>
                      <w:rFonts w:ascii="Times New Roman" w:cs="Times New Roman"/>
                      <w:bCs/>
                      <w:color w:val="auto"/>
                      <w:sz w:val="21"/>
                      <w:szCs w:val="21"/>
                    </w:rPr>
                  </w:pPr>
                  <w:r>
                    <w:rPr>
                      <w:rFonts w:ascii="Times New Roman" w:cs="Times New Roman"/>
                      <w:bCs/>
                      <w:color w:val="auto"/>
                      <w:sz w:val="21"/>
                      <w:szCs w:val="21"/>
                    </w:rPr>
                    <w:t>5</w:t>
                  </w:r>
                  <w:r>
                    <w:rPr>
                      <w:rFonts w:hint="eastAsia" w:ascii="Times New Roman" w:cs="Times New Roman"/>
                      <w:bCs/>
                      <w:color w:val="auto"/>
                      <w:sz w:val="21"/>
                      <w:szCs w:val="21"/>
                    </w:rPr>
                    <w:t>0人</w:t>
                  </w:r>
                </w:p>
              </w:tc>
              <w:tc>
                <w:tcPr>
                  <w:tcW w:w="919" w:type="pct"/>
                  <w:tcBorders>
                    <w:tl2br w:val="nil"/>
                    <w:tr2bl w:val="nil"/>
                  </w:tcBorders>
                  <w:vAlign w:val="center"/>
                </w:tcPr>
                <w:p w14:paraId="4C7AF7D7">
                  <w:pPr>
                    <w:pStyle w:val="47"/>
                    <w:jc w:val="center"/>
                    <w:rPr>
                      <w:rFonts w:ascii="Times New Roman" w:cs="Times New Roman"/>
                      <w:bCs/>
                      <w:color w:val="auto"/>
                      <w:sz w:val="21"/>
                      <w:szCs w:val="21"/>
                    </w:rPr>
                  </w:pPr>
                  <w:r>
                    <w:rPr>
                      <w:rFonts w:hint="eastAsia" w:ascii="Times New Roman" w:cs="Times New Roman"/>
                      <w:bCs/>
                      <w:color w:val="auto"/>
                      <w:sz w:val="21"/>
                      <w:szCs w:val="21"/>
                      <w:lang w:val="en-US" w:eastAsia="zh-CN"/>
                    </w:rPr>
                    <w:t>5</w:t>
                  </w:r>
                  <w:r>
                    <w:rPr>
                      <w:rFonts w:ascii="Times New Roman" w:cs="Times New Roman"/>
                      <w:bCs/>
                      <w:color w:val="auto"/>
                      <w:sz w:val="21"/>
                      <w:szCs w:val="21"/>
                    </w:rPr>
                    <w:t>.0</w:t>
                  </w:r>
                </w:p>
              </w:tc>
              <w:tc>
                <w:tcPr>
                  <w:tcW w:w="690" w:type="pct"/>
                  <w:tcBorders>
                    <w:tl2br w:val="nil"/>
                    <w:tr2bl w:val="nil"/>
                  </w:tcBorders>
                  <w:vAlign w:val="center"/>
                </w:tcPr>
                <w:p w14:paraId="611D5A71">
                  <w:pPr>
                    <w:pStyle w:val="47"/>
                    <w:jc w:val="center"/>
                    <w:rPr>
                      <w:rFonts w:hint="eastAsia" w:ascii="Times New Roman" w:eastAsia="宋体" w:cs="Times New Roman"/>
                      <w:bCs/>
                      <w:color w:val="auto"/>
                      <w:sz w:val="21"/>
                      <w:szCs w:val="21"/>
                      <w:lang w:eastAsia="zh-CN"/>
                    </w:rPr>
                  </w:pPr>
                  <w:r>
                    <w:rPr>
                      <w:rFonts w:ascii="Times New Roman" w:cs="Times New Roman"/>
                      <w:bCs/>
                      <w:color w:val="auto"/>
                      <w:sz w:val="21"/>
                      <w:szCs w:val="21"/>
                    </w:rPr>
                    <w:t>4.</w:t>
                  </w:r>
                  <w:r>
                    <w:rPr>
                      <w:rFonts w:hint="eastAsia" w:ascii="Times New Roman" w:cs="Times New Roman"/>
                      <w:bCs/>
                      <w:color w:val="auto"/>
                      <w:sz w:val="21"/>
                      <w:szCs w:val="21"/>
                      <w:lang w:val="en-US" w:eastAsia="zh-CN"/>
                    </w:rPr>
                    <w:t>0</w:t>
                  </w:r>
                </w:p>
              </w:tc>
              <w:tc>
                <w:tcPr>
                  <w:tcW w:w="704" w:type="pct"/>
                  <w:tcBorders>
                    <w:tl2br w:val="nil"/>
                    <w:tr2bl w:val="nil"/>
                  </w:tcBorders>
                  <w:vAlign w:val="center"/>
                </w:tcPr>
                <w:p w14:paraId="18AF9F36">
                  <w:pPr>
                    <w:pStyle w:val="47"/>
                    <w:jc w:val="center"/>
                    <w:rPr>
                      <w:rFonts w:ascii="Times New Roman" w:cs="Times New Roman"/>
                      <w:bCs/>
                      <w:color w:val="auto"/>
                      <w:sz w:val="21"/>
                      <w:szCs w:val="21"/>
                    </w:rPr>
                  </w:pPr>
                  <w:r>
                    <w:rPr>
                      <w:rFonts w:hint="eastAsia" w:ascii="Times New Roman" w:cs="Times New Roman"/>
                      <w:bCs/>
                      <w:color w:val="auto"/>
                      <w:sz w:val="21"/>
                      <w:szCs w:val="21"/>
                    </w:rPr>
                    <w:t>0</w:t>
                  </w:r>
                </w:p>
              </w:tc>
            </w:tr>
            <w:tr w14:paraId="5A35221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454" w:hRule="atLeast"/>
                <w:jc w:val="center"/>
              </w:trPr>
              <w:tc>
                <w:tcPr>
                  <w:tcW w:w="280" w:type="pct"/>
                  <w:tcBorders>
                    <w:tl2br w:val="nil"/>
                    <w:tr2bl w:val="nil"/>
                  </w:tcBorders>
                  <w:vAlign w:val="center"/>
                </w:tcPr>
                <w:p w14:paraId="32A6629A">
                  <w:pPr>
                    <w:pStyle w:val="47"/>
                    <w:jc w:val="center"/>
                    <w:rPr>
                      <w:rFonts w:ascii="Times New Roman" w:cs="Times New Roman"/>
                      <w:bCs/>
                      <w:color w:val="auto"/>
                      <w:sz w:val="21"/>
                      <w:szCs w:val="21"/>
                    </w:rPr>
                  </w:pPr>
                  <w:r>
                    <w:rPr>
                      <w:rFonts w:hint="eastAsia" w:ascii="Times New Roman" w:cs="Times New Roman"/>
                      <w:bCs/>
                      <w:color w:val="auto"/>
                      <w:sz w:val="21"/>
                      <w:szCs w:val="21"/>
                    </w:rPr>
                    <w:t>7</w:t>
                  </w:r>
                </w:p>
              </w:tc>
              <w:tc>
                <w:tcPr>
                  <w:tcW w:w="883" w:type="pct"/>
                  <w:tcBorders>
                    <w:tl2br w:val="nil"/>
                    <w:tr2bl w:val="nil"/>
                  </w:tcBorders>
                  <w:vAlign w:val="center"/>
                </w:tcPr>
                <w:p w14:paraId="01B9EF1E">
                  <w:pPr>
                    <w:pStyle w:val="47"/>
                    <w:jc w:val="center"/>
                    <w:rPr>
                      <w:rFonts w:ascii="Times New Roman" w:cs="Times New Roman"/>
                      <w:bCs/>
                      <w:color w:val="auto"/>
                      <w:sz w:val="21"/>
                      <w:szCs w:val="21"/>
                      <w:highlight w:val="none"/>
                    </w:rPr>
                  </w:pPr>
                  <w:r>
                    <w:rPr>
                      <w:rFonts w:hint="eastAsia" w:ascii="Times New Roman" w:cs="Times New Roman"/>
                      <w:bCs/>
                      <w:color w:val="auto"/>
                      <w:sz w:val="21"/>
                      <w:szCs w:val="21"/>
                      <w:highlight w:val="none"/>
                    </w:rPr>
                    <w:t>切割用水</w:t>
                  </w:r>
                </w:p>
              </w:tc>
              <w:tc>
                <w:tcPr>
                  <w:tcW w:w="795" w:type="pct"/>
                  <w:tcBorders>
                    <w:tl2br w:val="nil"/>
                    <w:tr2bl w:val="nil"/>
                  </w:tcBorders>
                  <w:vAlign w:val="center"/>
                </w:tcPr>
                <w:p w14:paraId="3D3C83C5">
                  <w:pPr>
                    <w:pStyle w:val="47"/>
                    <w:jc w:val="center"/>
                    <w:rPr>
                      <w:rFonts w:ascii="Times New Roman" w:cs="Times New Roman"/>
                      <w:bCs/>
                      <w:color w:val="auto"/>
                      <w:sz w:val="21"/>
                      <w:szCs w:val="21"/>
                    </w:rPr>
                  </w:pPr>
                  <w:r>
                    <w:rPr>
                      <w:rFonts w:ascii="Times New Roman" w:cs="Times New Roman"/>
                      <w:color w:val="auto"/>
                      <w:kern w:val="0"/>
                      <w:sz w:val="21"/>
                      <w:szCs w:val="21"/>
                      <w:lang w:bidi="ar"/>
                    </w:rPr>
                    <w:t>0.0</w:t>
                  </w:r>
                  <w:r>
                    <w:rPr>
                      <w:rFonts w:hint="eastAsia" w:ascii="Times New Roman" w:cs="Times New Roman"/>
                      <w:color w:val="auto"/>
                      <w:kern w:val="0"/>
                      <w:sz w:val="21"/>
                      <w:szCs w:val="21"/>
                      <w:lang w:bidi="ar"/>
                    </w:rPr>
                    <w:t>2</w:t>
                  </w:r>
                  <w:r>
                    <w:rPr>
                      <w:rFonts w:ascii="Times New Roman" w:cs="Times New Roman"/>
                      <w:color w:val="auto"/>
                      <w:kern w:val="0"/>
                      <w:sz w:val="21"/>
                      <w:szCs w:val="21"/>
                      <w:lang w:bidi="ar"/>
                    </w:rPr>
                    <w:t>m</w:t>
                  </w:r>
                  <w:r>
                    <w:rPr>
                      <w:rFonts w:ascii="Times New Roman" w:cs="Times New Roman"/>
                      <w:color w:val="auto"/>
                      <w:kern w:val="0"/>
                      <w:sz w:val="21"/>
                      <w:szCs w:val="21"/>
                      <w:vertAlign w:val="superscript"/>
                      <w:lang w:bidi="ar"/>
                    </w:rPr>
                    <w:t>3</w:t>
                  </w:r>
                  <w:r>
                    <w:rPr>
                      <w:rFonts w:ascii="Times New Roman" w:cs="Times New Roman"/>
                      <w:color w:val="auto"/>
                      <w:kern w:val="0"/>
                      <w:sz w:val="21"/>
                      <w:szCs w:val="21"/>
                      <w:lang w:bidi="ar"/>
                    </w:rPr>
                    <w:t>/t</w:t>
                  </w:r>
                </w:p>
              </w:tc>
              <w:tc>
                <w:tcPr>
                  <w:tcW w:w="726" w:type="pct"/>
                  <w:tcBorders>
                    <w:tl2br w:val="nil"/>
                    <w:tr2bl w:val="nil"/>
                  </w:tcBorders>
                  <w:vAlign w:val="center"/>
                </w:tcPr>
                <w:p w14:paraId="0DDE359B">
                  <w:pPr>
                    <w:pStyle w:val="47"/>
                    <w:jc w:val="center"/>
                    <w:rPr>
                      <w:rFonts w:ascii="Times New Roman" w:cs="Times New Roman"/>
                      <w:bCs/>
                      <w:color w:val="auto"/>
                      <w:sz w:val="21"/>
                      <w:szCs w:val="21"/>
                    </w:rPr>
                  </w:pPr>
                  <w:r>
                    <w:rPr>
                      <w:rFonts w:hint="eastAsia" w:ascii="Times New Roman" w:cs="Times New Roman"/>
                      <w:bCs/>
                      <w:color w:val="auto"/>
                      <w:sz w:val="21"/>
                      <w:szCs w:val="21"/>
                    </w:rPr>
                    <w:t>280t/d</w:t>
                  </w:r>
                </w:p>
              </w:tc>
              <w:tc>
                <w:tcPr>
                  <w:tcW w:w="919" w:type="pct"/>
                  <w:tcBorders>
                    <w:tl2br w:val="nil"/>
                    <w:tr2bl w:val="nil"/>
                  </w:tcBorders>
                  <w:vAlign w:val="center"/>
                </w:tcPr>
                <w:p w14:paraId="5B30DD02">
                  <w:pPr>
                    <w:pStyle w:val="47"/>
                    <w:jc w:val="center"/>
                    <w:rPr>
                      <w:rFonts w:ascii="Times New Roman" w:cs="Times New Roman"/>
                      <w:bCs/>
                      <w:color w:val="auto"/>
                      <w:sz w:val="21"/>
                      <w:szCs w:val="21"/>
                    </w:rPr>
                  </w:pPr>
                  <w:r>
                    <w:rPr>
                      <w:rFonts w:hint="eastAsia" w:ascii="Times New Roman" w:cs="Times New Roman"/>
                      <w:bCs/>
                      <w:color w:val="auto"/>
                      <w:sz w:val="21"/>
                      <w:szCs w:val="21"/>
                    </w:rPr>
                    <w:t>5.6</w:t>
                  </w:r>
                </w:p>
              </w:tc>
              <w:tc>
                <w:tcPr>
                  <w:tcW w:w="1173" w:type="dxa"/>
                  <w:tcBorders>
                    <w:tl2br w:val="nil"/>
                    <w:tr2bl w:val="nil"/>
                  </w:tcBorders>
                  <w:vAlign w:val="center"/>
                </w:tcPr>
                <w:p w14:paraId="0DF140BC">
                  <w:pPr>
                    <w:pStyle w:val="47"/>
                    <w:jc w:val="center"/>
                    <w:rPr>
                      <w:rFonts w:ascii="Times New Roman" w:cs="Times New Roman"/>
                      <w:bCs/>
                      <w:color w:val="auto"/>
                      <w:sz w:val="21"/>
                      <w:szCs w:val="21"/>
                    </w:rPr>
                  </w:pPr>
                  <w:r>
                    <w:rPr>
                      <w:rFonts w:hint="eastAsia" w:ascii="Times New Roman" w:cs="Times New Roman"/>
                      <w:bCs/>
                      <w:color w:val="auto"/>
                      <w:sz w:val="21"/>
                      <w:szCs w:val="21"/>
                    </w:rPr>
                    <w:t>0</w:t>
                  </w:r>
                </w:p>
              </w:tc>
              <w:tc>
                <w:tcPr>
                  <w:tcW w:w="1198" w:type="dxa"/>
                  <w:tcBorders>
                    <w:tl2br w:val="nil"/>
                    <w:tr2bl w:val="nil"/>
                  </w:tcBorders>
                  <w:vAlign w:val="center"/>
                </w:tcPr>
                <w:p w14:paraId="3418590F">
                  <w:pPr>
                    <w:pStyle w:val="47"/>
                    <w:jc w:val="center"/>
                    <w:rPr>
                      <w:rFonts w:ascii="Times New Roman" w:cs="Times New Roman"/>
                      <w:bCs/>
                      <w:color w:val="auto"/>
                      <w:sz w:val="21"/>
                      <w:szCs w:val="21"/>
                    </w:rPr>
                  </w:pPr>
                  <w:r>
                    <w:rPr>
                      <w:rFonts w:hint="eastAsia" w:ascii="Times New Roman" w:cs="Times New Roman"/>
                      <w:bCs/>
                      <w:color w:val="auto"/>
                      <w:sz w:val="21"/>
                      <w:szCs w:val="21"/>
                    </w:rPr>
                    <w:t>0</w:t>
                  </w:r>
                </w:p>
              </w:tc>
            </w:tr>
            <w:tr w14:paraId="06C6EA3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454" w:hRule="atLeast"/>
                <w:jc w:val="center"/>
              </w:trPr>
              <w:tc>
                <w:tcPr>
                  <w:tcW w:w="1163" w:type="pct"/>
                  <w:gridSpan w:val="2"/>
                  <w:tcBorders>
                    <w:tl2br w:val="nil"/>
                    <w:tr2bl w:val="nil"/>
                  </w:tcBorders>
                  <w:vAlign w:val="center"/>
                </w:tcPr>
                <w:p w14:paraId="5B5A5F97">
                  <w:pPr>
                    <w:pStyle w:val="47"/>
                    <w:jc w:val="center"/>
                    <w:rPr>
                      <w:rFonts w:ascii="Times New Roman" w:cs="Times New Roman"/>
                      <w:bCs/>
                      <w:color w:val="auto"/>
                      <w:sz w:val="21"/>
                      <w:szCs w:val="21"/>
                    </w:rPr>
                  </w:pPr>
                  <w:r>
                    <w:rPr>
                      <w:rFonts w:hint="eastAsia" w:ascii="Times New Roman" w:cs="Times New Roman"/>
                      <w:bCs/>
                      <w:color w:val="auto"/>
                      <w:sz w:val="21"/>
                      <w:szCs w:val="21"/>
                    </w:rPr>
                    <w:t>合计</w:t>
                  </w:r>
                </w:p>
              </w:tc>
              <w:tc>
                <w:tcPr>
                  <w:tcW w:w="1352" w:type="dxa"/>
                  <w:tcBorders>
                    <w:tl2br w:val="nil"/>
                    <w:tr2bl w:val="nil"/>
                  </w:tcBorders>
                  <w:vAlign w:val="center"/>
                </w:tcPr>
                <w:p w14:paraId="0F7D2FF9">
                  <w:pPr>
                    <w:pStyle w:val="47"/>
                    <w:jc w:val="center"/>
                    <w:rPr>
                      <w:rFonts w:ascii="Times New Roman" w:cs="Times New Roman"/>
                      <w:color w:val="auto"/>
                      <w:kern w:val="0"/>
                      <w:sz w:val="21"/>
                      <w:szCs w:val="21"/>
                      <w:lang w:bidi="ar"/>
                    </w:rPr>
                  </w:pPr>
                  <w:r>
                    <w:rPr>
                      <w:rFonts w:hint="eastAsia" w:ascii="Times New Roman" w:cs="Times New Roman"/>
                      <w:bCs/>
                      <w:color w:val="auto"/>
                      <w:sz w:val="21"/>
                      <w:szCs w:val="21"/>
                    </w:rPr>
                    <w:t>/</w:t>
                  </w:r>
                </w:p>
              </w:tc>
              <w:tc>
                <w:tcPr>
                  <w:tcW w:w="1234" w:type="dxa"/>
                  <w:tcBorders>
                    <w:tl2br w:val="nil"/>
                    <w:tr2bl w:val="nil"/>
                  </w:tcBorders>
                  <w:vAlign w:val="center"/>
                </w:tcPr>
                <w:p w14:paraId="0FFFAEB6">
                  <w:pPr>
                    <w:pStyle w:val="47"/>
                    <w:jc w:val="center"/>
                    <w:rPr>
                      <w:rFonts w:ascii="Times New Roman" w:cs="Times New Roman"/>
                      <w:bCs/>
                      <w:color w:val="auto"/>
                      <w:sz w:val="21"/>
                      <w:szCs w:val="21"/>
                    </w:rPr>
                  </w:pPr>
                  <w:r>
                    <w:rPr>
                      <w:rFonts w:hint="eastAsia" w:ascii="Times New Roman" w:cs="Times New Roman"/>
                      <w:bCs/>
                      <w:color w:val="auto"/>
                      <w:sz w:val="21"/>
                      <w:szCs w:val="21"/>
                    </w:rPr>
                    <w:t>/</w:t>
                  </w:r>
                </w:p>
              </w:tc>
              <w:tc>
                <w:tcPr>
                  <w:tcW w:w="919" w:type="pct"/>
                  <w:tcBorders>
                    <w:tl2br w:val="nil"/>
                    <w:tr2bl w:val="nil"/>
                  </w:tcBorders>
                  <w:vAlign w:val="center"/>
                </w:tcPr>
                <w:p w14:paraId="2A4FCC5B">
                  <w:pPr>
                    <w:pStyle w:val="47"/>
                    <w:jc w:val="center"/>
                    <w:rPr>
                      <w:rFonts w:ascii="Times New Roman" w:cs="Times New Roman"/>
                      <w:bCs/>
                      <w:color w:val="auto"/>
                      <w:sz w:val="21"/>
                      <w:szCs w:val="21"/>
                    </w:rPr>
                  </w:pPr>
                  <w:r>
                    <w:rPr>
                      <w:rFonts w:ascii="Times New Roman" w:cs="Times New Roman"/>
                      <w:bCs/>
                      <w:color w:val="auto"/>
                      <w:sz w:val="21"/>
                      <w:szCs w:val="21"/>
                    </w:rPr>
                    <w:t>5</w:t>
                  </w:r>
                  <w:r>
                    <w:rPr>
                      <w:rFonts w:hint="eastAsia" w:ascii="Times New Roman" w:cs="Times New Roman"/>
                      <w:bCs/>
                      <w:color w:val="auto"/>
                      <w:sz w:val="21"/>
                      <w:szCs w:val="21"/>
                      <w:lang w:val="en-US" w:eastAsia="zh-CN"/>
                    </w:rPr>
                    <w:t>6</w:t>
                  </w:r>
                  <w:r>
                    <w:rPr>
                      <w:rFonts w:ascii="Times New Roman" w:cs="Times New Roman"/>
                      <w:bCs/>
                      <w:color w:val="auto"/>
                      <w:sz w:val="21"/>
                      <w:szCs w:val="21"/>
                    </w:rPr>
                    <w:t>.827</w:t>
                  </w:r>
                </w:p>
              </w:tc>
              <w:tc>
                <w:tcPr>
                  <w:tcW w:w="1173" w:type="dxa"/>
                  <w:tcBorders>
                    <w:tl2br w:val="nil"/>
                    <w:tr2bl w:val="nil"/>
                  </w:tcBorders>
                  <w:vAlign w:val="center"/>
                </w:tcPr>
                <w:p w14:paraId="2F3D39DE">
                  <w:pPr>
                    <w:pStyle w:val="47"/>
                    <w:jc w:val="center"/>
                    <w:rPr>
                      <w:rFonts w:hint="eastAsia" w:ascii="Times New Roman" w:eastAsia="宋体" w:cs="Times New Roman"/>
                      <w:bCs/>
                      <w:color w:val="auto"/>
                      <w:sz w:val="21"/>
                      <w:szCs w:val="21"/>
                      <w:lang w:eastAsia="zh-CN"/>
                    </w:rPr>
                  </w:pPr>
                  <w:r>
                    <w:rPr>
                      <w:rFonts w:ascii="Times New Roman" w:cs="Times New Roman"/>
                      <w:bCs/>
                      <w:color w:val="auto"/>
                      <w:sz w:val="21"/>
                      <w:szCs w:val="21"/>
                    </w:rPr>
                    <w:t>4.</w:t>
                  </w:r>
                  <w:r>
                    <w:rPr>
                      <w:rFonts w:hint="eastAsia" w:ascii="Times New Roman" w:cs="Times New Roman"/>
                      <w:bCs/>
                      <w:color w:val="auto"/>
                      <w:sz w:val="21"/>
                      <w:szCs w:val="21"/>
                      <w:lang w:val="en-US" w:eastAsia="zh-CN"/>
                    </w:rPr>
                    <w:t>0</w:t>
                  </w:r>
                </w:p>
              </w:tc>
              <w:tc>
                <w:tcPr>
                  <w:tcW w:w="1198" w:type="dxa"/>
                  <w:tcBorders>
                    <w:tl2br w:val="nil"/>
                    <w:tr2bl w:val="nil"/>
                  </w:tcBorders>
                  <w:vAlign w:val="center"/>
                </w:tcPr>
                <w:p w14:paraId="4862826B">
                  <w:pPr>
                    <w:pStyle w:val="47"/>
                    <w:jc w:val="center"/>
                    <w:rPr>
                      <w:rFonts w:ascii="Times New Roman" w:cs="Times New Roman"/>
                      <w:bCs/>
                      <w:color w:val="auto"/>
                      <w:sz w:val="21"/>
                      <w:szCs w:val="21"/>
                    </w:rPr>
                  </w:pPr>
                  <w:r>
                    <w:rPr>
                      <w:rFonts w:hint="eastAsia" w:ascii="Times New Roman" w:cs="Times New Roman"/>
                      <w:bCs/>
                      <w:color w:val="auto"/>
                      <w:sz w:val="21"/>
                      <w:szCs w:val="21"/>
                    </w:rPr>
                    <w:t>0</w:t>
                  </w:r>
                </w:p>
              </w:tc>
            </w:tr>
          </w:tbl>
          <w:p w14:paraId="2885E234">
            <w:pPr>
              <w:rPr>
                <w:rFonts w:ascii="宋体" w:hAnsi="宋体" w:cs="宋体"/>
                <w:szCs w:val="21"/>
              </w:rPr>
            </w:pPr>
          </w:p>
          <w:p w14:paraId="04B24868">
            <w:pPr>
              <w:pStyle w:val="2"/>
              <w:rPr>
                <w:rFonts w:ascii="宋体" w:hAnsi="宋体" w:cs="宋体"/>
                <w:szCs w:val="21"/>
              </w:rPr>
            </w:pPr>
          </w:p>
          <w:p w14:paraId="55263AD5">
            <w:pPr>
              <w:pStyle w:val="4"/>
              <w:rPr>
                <w:rFonts w:ascii="宋体" w:hAnsi="宋体" w:cs="宋体"/>
                <w:sz w:val="21"/>
                <w:szCs w:val="21"/>
              </w:rPr>
            </w:pPr>
          </w:p>
          <w:p w14:paraId="43701C61">
            <w:pPr>
              <w:pStyle w:val="7"/>
              <w:rPr>
                <w:rFonts w:ascii="宋体" w:hAnsi="宋体" w:cs="宋体"/>
                <w:szCs w:val="21"/>
              </w:rPr>
            </w:pPr>
          </w:p>
          <w:p w14:paraId="04218125">
            <w:pPr>
              <w:rPr>
                <w:rFonts w:ascii="宋体" w:hAnsi="宋体" w:cs="宋体"/>
                <w:szCs w:val="21"/>
              </w:rPr>
            </w:pPr>
          </w:p>
          <w:p w14:paraId="5B9C9921">
            <w:pPr>
              <w:pStyle w:val="4"/>
              <w:rPr>
                <w:rFonts w:hint="eastAsia" w:eastAsia="宋体"/>
                <w:lang w:eastAsia="zh-CN"/>
              </w:rPr>
            </w:pPr>
            <w:r>
              <w:rPr>
                <w:rFonts w:hint="eastAsia" w:eastAsia="宋体"/>
                <w:lang w:eastAsia="zh-CN"/>
              </w:rPr>
              <w:drawing>
                <wp:anchor distT="0" distB="0" distL="114300" distR="114300" simplePos="0" relativeHeight="251666432" behindDoc="1" locked="0" layoutInCell="1" allowOverlap="1">
                  <wp:simplePos x="0" y="0"/>
                  <wp:positionH relativeFrom="column">
                    <wp:posOffset>378460</wp:posOffset>
                  </wp:positionH>
                  <wp:positionV relativeFrom="paragraph">
                    <wp:posOffset>187325</wp:posOffset>
                  </wp:positionV>
                  <wp:extent cx="4625975" cy="5713730"/>
                  <wp:effectExtent l="0" t="0" r="3175" b="1270"/>
                  <wp:wrapNone/>
                  <wp:docPr id="16" name="图片 16" descr="水平衡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水平衡_02"/>
                          <pic:cNvPicPr>
                            <a:picLocks noChangeAspect="1"/>
                          </pic:cNvPicPr>
                        </pic:nvPicPr>
                        <pic:blipFill>
                          <a:blip r:embed="rId9"/>
                          <a:stretch>
                            <a:fillRect/>
                          </a:stretch>
                        </pic:blipFill>
                        <pic:spPr>
                          <a:xfrm>
                            <a:off x="0" y="0"/>
                            <a:ext cx="4625975" cy="5713730"/>
                          </a:xfrm>
                          <a:prstGeom prst="rect">
                            <a:avLst/>
                          </a:prstGeom>
                        </pic:spPr>
                      </pic:pic>
                    </a:graphicData>
                  </a:graphic>
                </wp:anchor>
              </w:drawing>
            </w:r>
          </w:p>
          <w:p w14:paraId="271D3E23">
            <w:pPr>
              <w:pStyle w:val="7"/>
            </w:pPr>
          </w:p>
          <w:p w14:paraId="74FDD499">
            <w:pPr>
              <w:pStyle w:val="7"/>
            </w:pPr>
          </w:p>
          <w:p w14:paraId="302B8290"/>
          <w:p w14:paraId="66436F70">
            <w:pPr>
              <w:pStyle w:val="2"/>
            </w:pPr>
          </w:p>
          <w:p w14:paraId="787751B0">
            <w:pPr>
              <w:pStyle w:val="4"/>
            </w:pPr>
          </w:p>
          <w:p w14:paraId="2847CC6F"/>
          <w:p w14:paraId="6D15EBFA">
            <w:pPr>
              <w:pStyle w:val="2"/>
            </w:pPr>
          </w:p>
          <w:p w14:paraId="73346351">
            <w:pPr>
              <w:pStyle w:val="4"/>
            </w:pPr>
          </w:p>
          <w:p w14:paraId="651CA710">
            <w:pPr>
              <w:pStyle w:val="7"/>
            </w:pPr>
          </w:p>
          <w:p w14:paraId="09581468">
            <w:pPr>
              <w:pStyle w:val="7"/>
            </w:pPr>
          </w:p>
          <w:p w14:paraId="6A5B88E8">
            <w:pPr>
              <w:pStyle w:val="7"/>
            </w:pPr>
          </w:p>
          <w:p w14:paraId="296EB929">
            <w:pPr>
              <w:pStyle w:val="7"/>
            </w:pPr>
          </w:p>
          <w:p w14:paraId="25F1B1C6">
            <w:pPr>
              <w:pStyle w:val="7"/>
            </w:pPr>
          </w:p>
          <w:p w14:paraId="600BD1DD">
            <w:pPr>
              <w:pStyle w:val="7"/>
            </w:pPr>
          </w:p>
          <w:p w14:paraId="2DB29F7C">
            <w:pPr>
              <w:pStyle w:val="7"/>
            </w:pPr>
          </w:p>
          <w:p w14:paraId="572B5FDA">
            <w:pPr>
              <w:pStyle w:val="7"/>
            </w:pPr>
            <w:r>
              <mc:AlternateContent>
                <mc:Choice Requires="wps">
                  <w:drawing>
                    <wp:anchor distT="0" distB="0" distL="114300" distR="114300" simplePos="0" relativeHeight="251660288" behindDoc="0" locked="0" layoutInCell="1" allowOverlap="1">
                      <wp:simplePos x="0" y="0"/>
                      <wp:positionH relativeFrom="column">
                        <wp:posOffset>1362075</wp:posOffset>
                      </wp:positionH>
                      <wp:positionV relativeFrom="paragraph">
                        <wp:posOffset>290830</wp:posOffset>
                      </wp:positionV>
                      <wp:extent cx="3140075" cy="394970"/>
                      <wp:effectExtent l="0" t="0" r="0" b="0"/>
                      <wp:wrapNone/>
                      <wp:docPr id="6" name="文本框 6"/>
                      <wp:cNvGraphicFramePr/>
                      <a:graphic xmlns:a="http://schemas.openxmlformats.org/drawingml/2006/main">
                        <a:graphicData uri="http://schemas.microsoft.com/office/word/2010/wordprocessingShape">
                          <wps:wsp>
                            <wps:cNvSpPr txBox="1"/>
                            <wps:spPr>
                              <a:xfrm>
                                <a:off x="0" y="0"/>
                                <a:ext cx="3140075" cy="3949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C372C05">
                                  <w:pPr>
                                    <w:pStyle w:val="15"/>
                                    <w:widowControl/>
                                    <w:spacing w:line="480" w:lineRule="exact"/>
                                    <w:rPr>
                                      <w:rFonts w:eastAsia="宋体"/>
                                      <w:sz w:val="21"/>
                                      <w:szCs w:val="21"/>
                                      <w:highlight w:val="none"/>
                                    </w:rPr>
                                  </w:pPr>
                                  <w:r>
                                    <w:rPr>
                                      <w:rFonts w:hint="eastAsia" w:ascii="宋体" w:hAnsi="宋体" w:eastAsia="宋体" w:cs="宋体"/>
                                      <w:sz w:val="21"/>
                                      <w:szCs w:val="21"/>
                                      <w:highlight w:val="none"/>
                                    </w:rPr>
                                    <w:t>图</w:t>
                                  </w:r>
                                  <w:r>
                                    <w:rPr>
                                      <w:rFonts w:eastAsia="宋体"/>
                                      <w:sz w:val="21"/>
                                      <w:szCs w:val="21"/>
                                      <w:highlight w:val="none"/>
                                    </w:rPr>
                                    <w:t>2-1</w:t>
                                  </w:r>
                                  <w:r>
                                    <w:rPr>
                                      <w:rFonts w:hint="eastAsia" w:eastAsia="宋体"/>
                                      <w:sz w:val="21"/>
                                      <w:szCs w:val="21"/>
                                      <w:highlight w:val="none"/>
                                    </w:rPr>
                                    <w:t xml:space="preserve">  </w:t>
                                  </w:r>
                                  <w:r>
                                    <w:rPr>
                                      <w:rFonts w:hint="eastAsia" w:ascii="宋体" w:hAnsi="宋体" w:eastAsia="宋体" w:cs="宋体"/>
                                      <w:sz w:val="21"/>
                                      <w:szCs w:val="21"/>
                                      <w:highlight w:val="none"/>
                                    </w:rPr>
                                    <w:t xml:space="preserve"> 全厂水平</w:t>
                                  </w:r>
                                  <w:r>
                                    <w:rPr>
                                      <w:rFonts w:eastAsia="宋体"/>
                                      <w:sz w:val="21"/>
                                      <w:szCs w:val="21"/>
                                      <w:highlight w:val="none"/>
                                    </w:rPr>
                                    <w:t>衡  单位：m</w:t>
                                  </w:r>
                                  <w:r>
                                    <w:rPr>
                                      <w:rFonts w:eastAsia="宋体"/>
                                      <w:sz w:val="21"/>
                                      <w:szCs w:val="21"/>
                                      <w:highlight w:val="none"/>
                                      <w:vertAlign w:val="superscript"/>
                                    </w:rPr>
                                    <w:t>3</w:t>
                                  </w:r>
                                  <w:r>
                                    <w:rPr>
                                      <w:rFonts w:eastAsia="宋体"/>
                                      <w:sz w:val="21"/>
                                      <w:szCs w:val="21"/>
                                      <w:highlight w:val="none"/>
                                    </w:rPr>
                                    <w:t>/d</w:t>
                                  </w:r>
                                </w:p>
                                <w:p w14:paraId="4E42A81F"/>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7.25pt;margin-top:22.9pt;height:31.1pt;width:247.25pt;z-index:251660288;mso-width-relative:page;mso-height-relative:page;" filled="f" stroked="f" coordsize="21600,21600" o:gfxdata="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I3Vgx2gAAAAoBAAAPAAAAAAAAAAEAIAAAACIAAABk&#10;cnMvZG93bnJldi54bWxQSwECFAAUAAAACACHTuJALEvDqD0CAABmBAAADgAAAAAAAAABACAAAAAp&#10;AQAAZHJzL2Uyb0RvYy54bWxQSwUGAAAAAAYABgBZAQAA2AUAAAAA&#10;">
                      <v:fill on="f" focussize="0,0"/>
                      <v:stroke on="f" weight="0.5pt"/>
                      <v:imagedata o:title=""/>
                      <o:lock v:ext="edit" aspectratio="f"/>
                      <v:textbox>
                        <w:txbxContent>
                          <w:p w14:paraId="2C372C05">
                            <w:pPr>
                              <w:pStyle w:val="15"/>
                              <w:widowControl/>
                              <w:spacing w:line="480" w:lineRule="exact"/>
                              <w:rPr>
                                <w:rFonts w:eastAsia="宋体"/>
                                <w:sz w:val="21"/>
                                <w:szCs w:val="21"/>
                                <w:highlight w:val="none"/>
                              </w:rPr>
                            </w:pPr>
                            <w:r>
                              <w:rPr>
                                <w:rFonts w:hint="eastAsia" w:ascii="宋体" w:hAnsi="宋体" w:eastAsia="宋体" w:cs="宋体"/>
                                <w:sz w:val="21"/>
                                <w:szCs w:val="21"/>
                                <w:highlight w:val="none"/>
                              </w:rPr>
                              <w:t>图</w:t>
                            </w:r>
                            <w:r>
                              <w:rPr>
                                <w:rFonts w:eastAsia="宋体"/>
                                <w:sz w:val="21"/>
                                <w:szCs w:val="21"/>
                                <w:highlight w:val="none"/>
                              </w:rPr>
                              <w:t>2-1</w:t>
                            </w:r>
                            <w:r>
                              <w:rPr>
                                <w:rFonts w:hint="eastAsia" w:eastAsia="宋体"/>
                                <w:sz w:val="21"/>
                                <w:szCs w:val="21"/>
                                <w:highlight w:val="none"/>
                              </w:rPr>
                              <w:t xml:space="preserve">  </w:t>
                            </w:r>
                            <w:r>
                              <w:rPr>
                                <w:rFonts w:hint="eastAsia" w:ascii="宋体" w:hAnsi="宋体" w:eastAsia="宋体" w:cs="宋体"/>
                                <w:sz w:val="21"/>
                                <w:szCs w:val="21"/>
                                <w:highlight w:val="none"/>
                              </w:rPr>
                              <w:t xml:space="preserve"> 全厂水平</w:t>
                            </w:r>
                            <w:r>
                              <w:rPr>
                                <w:rFonts w:eastAsia="宋体"/>
                                <w:sz w:val="21"/>
                                <w:szCs w:val="21"/>
                                <w:highlight w:val="none"/>
                              </w:rPr>
                              <w:t>衡  单位：m</w:t>
                            </w:r>
                            <w:r>
                              <w:rPr>
                                <w:rFonts w:eastAsia="宋体"/>
                                <w:sz w:val="21"/>
                                <w:szCs w:val="21"/>
                                <w:highlight w:val="none"/>
                                <w:vertAlign w:val="superscript"/>
                              </w:rPr>
                              <w:t>3</w:t>
                            </w:r>
                            <w:r>
                              <w:rPr>
                                <w:rFonts w:eastAsia="宋体"/>
                                <w:sz w:val="21"/>
                                <w:szCs w:val="21"/>
                                <w:highlight w:val="none"/>
                              </w:rPr>
                              <w:t>/d</w:t>
                            </w:r>
                          </w:p>
                          <w:p w14:paraId="4E42A81F"/>
                        </w:txbxContent>
                      </v:textbox>
                    </v:shape>
                  </w:pict>
                </mc:Fallback>
              </mc:AlternateContent>
            </w:r>
          </w:p>
          <w:p w14:paraId="195127F8">
            <w:pPr>
              <w:pStyle w:val="7"/>
              <w:ind w:left="0" w:leftChars="0" w:firstLine="0" w:firstLineChars="0"/>
            </w:pPr>
          </w:p>
          <w:p w14:paraId="1CDB38BD">
            <w:pPr>
              <w:widowControl/>
              <w:spacing w:line="480" w:lineRule="exact"/>
              <w:ind w:left="420" w:leftChars="200"/>
              <w:jc w:val="left"/>
              <w:rPr>
                <w:b/>
                <w:bCs/>
                <w:sz w:val="24"/>
              </w:rPr>
            </w:pPr>
            <w:r>
              <w:rPr>
                <w:rFonts w:hint="eastAsia"/>
                <w:b/>
                <w:bCs/>
                <w:sz w:val="24"/>
              </w:rPr>
              <w:t>13.主要技术经济指标</w:t>
            </w:r>
          </w:p>
          <w:p w14:paraId="195BC57C">
            <w:pPr>
              <w:widowControl/>
              <w:spacing w:line="480" w:lineRule="exact"/>
              <w:ind w:firstLine="480" w:firstLineChars="200"/>
              <w:rPr>
                <w:color w:val="FF0000"/>
                <w:sz w:val="24"/>
              </w:rPr>
            </w:pPr>
            <w:r>
              <w:rPr>
                <w:rFonts w:hint="eastAsia"/>
                <w:sz w:val="24"/>
              </w:rPr>
              <w:t>本项目主要技术经济指标详见下表。</w:t>
            </w:r>
          </w:p>
          <w:p w14:paraId="1F46D011">
            <w:pPr>
              <w:pStyle w:val="15"/>
              <w:widowControl/>
              <w:spacing w:line="480" w:lineRule="exact"/>
              <w:ind w:firstLine="420" w:firstLineChars="200"/>
              <w:rPr>
                <w:rFonts w:ascii="宋体" w:hAnsi="宋体" w:eastAsia="宋体" w:cs="宋体"/>
                <w:sz w:val="21"/>
                <w:szCs w:val="21"/>
              </w:rPr>
            </w:pPr>
            <w:bookmarkStart w:id="13" w:name="_Hlk219843709"/>
            <w:r>
              <w:rPr>
                <w:rFonts w:hint="eastAsia" w:ascii="宋体" w:hAnsi="宋体" w:eastAsia="宋体" w:cs="宋体"/>
                <w:sz w:val="21"/>
                <w:szCs w:val="21"/>
              </w:rPr>
              <w:t>表</w:t>
            </w:r>
            <w:r>
              <w:rPr>
                <w:rFonts w:eastAsia="宋体"/>
                <w:sz w:val="21"/>
                <w:szCs w:val="21"/>
              </w:rPr>
              <w:t>2-</w:t>
            </w:r>
            <w:r>
              <w:rPr>
                <w:rFonts w:hint="eastAsia" w:eastAsia="宋体"/>
                <w:sz w:val="21"/>
                <w:szCs w:val="21"/>
              </w:rPr>
              <w:t>12</w:t>
            </w:r>
            <w:r>
              <w:rPr>
                <w:rFonts w:hint="eastAsia" w:ascii="宋体" w:hAnsi="宋体" w:eastAsia="宋体" w:cs="宋体"/>
                <w:sz w:val="21"/>
                <w:szCs w:val="21"/>
              </w:rPr>
              <w:t xml:space="preserve"> 主要技术经济指标一览表</w:t>
            </w:r>
          </w:p>
          <w:tbl>
            <w:tblPr>
              <w:tblStyle w:val="29"/>
              <w:tblW w:w="4974"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938"/>
              <w:gridCol w:w="1248"/>
              <w:gridCol w:w="534"/>
              <w:gridCol w:w="1784"/>
              <w:gridCol w:w="1467"/>
              <w:gridCol w:w="1491"/>
              <w:gridCol w:w="1006"/>
            </w:tblGrid>
            <w:tr w14:paraId="7BE756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exact"/>
              </w:trPr>
              <w:tc>
                <w:tcPr>
                  <w:tcW w:w="554" w:type="pct"/>
                  <w:vAlign w:val="center"/>
                </w:tcPr>
                <w:p w14:paraId="66E29C94">
                  <w:pPr>
                    <w:widowControl/>
                    <w:snapToGrid w:val="0"/>
                    <w:jc w:val="center"/>
                    <w:textAlignment w:val="center"/>
                    <w:rPr>
                      <w:bCs/>
                      <w:kern w:val="44"/>
                    </w:rPr>
                  </w:pPr>
                  <w:r>
                    <w:rPr>
                      <w:bCs/>
                      <w:kern w:val="44"/>
                    </w:rPr>
                    <w:t>序号</w:t>
                  </w:r>
                </w:p>
              </w:tc>
              <w:tc>
                <w:tcPr>
                  <w:tcW w:w="2105" w:type="pct"/>
                  <w:gridSpan w:val="3"/>
                  <w:vAlign w:val="center"/>
                </w:tcPr>
                <w:p w14:paraId="05C75609">
                  <w:pPr>
                    <w:widowControl/>
                    <w:snapToGrid w:val="0"/>
                    <w:jc w:val="center"/>
                    <w:textAlignment w:val="center"/>
                    <w:rPr>
                      <w:bCs/>
                      <w:kern w:val="44"/>
                    </w:rPr>
                  </w:pPr>
                  <w:r>
                    <w:rPr>
                      <w:bCs/>
                      <w:kern w:val="44"/>
                    </w:rPr>
                    <w:t>指标</w:t>
                  </w:r>
                </w:p>
              </w:tc>
              <w:tc>
                <w:tcPr>
                  <w:tcW w:w="866" w:type="pct"/>
                  <w:vAlign w:val="center"/>
                </w:tcPr>
                <w:p w14:paraId="6F6D6883">
                  <w:pPr>
                    <w:widowControl/>
                    <w:snapToGrid w:val="0"/>
                    <w:jc w:val="center"/>
                    <w:textAlignment w:val="center"/>
                    <w:rPr>
                      <w:bCs/>
                      <w:kern w:val="44"/>
                    </w:rPr>
                  </w:pPr>
                  <w:r>
                    <w:rPr>
                      <w:bCs/>
                      <w:kern w:val="44"/>
                    </w:rPr>
                    <w:t>单位</w:t>
                  </w:r>
                </w:p>
              </w:tc>
              <w:tc>
                <w:tcPr>
                  <w:tcW w:w="879" w:type="pct"/>
                  <w:vAlign w:val="center"/>
                </w:tcPr>
                <w:p w14:paraId="3605ED55">
                  <w:pPr>
                    <w:widowControl/>
                    <w:snapToGrid w:val="0"/>
                    <w:jc w:val="center"/>
                    <w:textAlignment w:val="center"/>
                    <w:rPr>
                      <w:bCs/>
                      <w:kern w:val="44"/>
                    </w:rPr>
                  </w:pPr>
                  <w:r>
                    <w:rPr>
                      <w:bCs/>
                      <w:kern w:val="44"/>
                    </w:rPr>
                    <w:t>数量</w:t>
                  </w:r>
                </w:p>
              </w:tc>
              <w:tc>
                <w:tcPr>
                  <w:tcW w:w="594" w:type="pct"/>
                  <w:vAlign w:val="center"/>
                </w:tcPr>
                <w:p w14:paraId="2F8EECED">
                  <w:pPr>
                    <w:widowControl/>
                    <w:snapToGrid w:val="0"/>
                    <w:jc w:val="center"/>
                    <w:textAlignment w:val="center"/>
                    <w:rPr>
                      <w:bCs/>
                      <w:kern w:val="44"/>
                    </w:rPr>
                  </w:pPr>
                  <w:r>
                    <w:rPr>
                      <w:bCs/>
                      <w:kern w:val="44"/>
                    </w:rPr>
                    <w:t>备注</w:t>
                  </w:r>
                </w:p>
              </w:tc>
            </w:tr>
            <w:tr w14:paraId="7B9A05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exact"/>
              </w:trPr>
              <w:tc>
                <w:tcPr>
                  <w:tcW w:w="554" w:type="pct"/>
                  <w:vAlign w:val="center"/>
                </w:tcPr>
                <w:p w14:paraId="40E2E6B0">
                  <w:pPr>
                    <w:widowControl/>
                    <w:snapToGrid w:val="0"/>
                    <w:jc w:val="center"/>
                    <w:textAlignment w:val="center"/>
                    <w:rPr>
                      <w:bCs/>
                      <w:kern w:val="44"/>
                    </w:rPr>
                  </w:pPr>
                  <w:r>
                    <w:rPr>
                      <w:bCs/>
                      <w:kern w:val="44"/>
                    </w:rPr>
                    <w:t>一</w:t>
                  </w:r>
                </w:p>
              </w:tc>
              <w:tc>
                <w:tcPr>
                  <w:tcW w:w="3851" w:type="pct"/>
                  <w:gridSpan w:val="5"/>
                  <w:vAlign w:val="center"/>
                </w:tcPr>
                <w:p w14:paraId="30BBB6EE">
                  <w:pPr>
                    <w:widowControl/>
                    <w:snapToGrid w:val="0"/>
                    <w:jc w:val="center"/>
                    <w:textAlignment w:val="center"/>
                    <w:rPr>
                      <w:bCs/>
                      <w:kern w:val="44"/>
                    </w:rPr>
                  </w:pPr>
                  <w:r>
                    <w:rPr>
                      <w:bCs/>
                      <w:kern w:val="44"/>
                    </w:rPr>
                    <w:t>地质资源</w:t>
                  </w:r>
                </w:p>
              </w:tc>
              <w:tc>
                <w:tcPr>
                  <w:tcW w:w="594" w:type="pct"/>
                  <w:vAlign w:val="center"/>
                </w:tcPr>
                <w:p w14:paraId="37E8BAF3">
                  <w:pPr>
                    <w:widowControl/>
                    <w:snapToGrid w:val="0"/>
                    <w:jc w:val="center"/>
                    <w:textAlignment w:val="center"/>
                    <w:rPr>
                      <w:bCs/>
                      <w:kern w:val="44"/>
                    </w:rPr>
                  </w:pPr>
                </w:p>
              </w:tc>
            </w:tr>
            <w:tr w14:paraId="3C383F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exact"/>
              </w:trPr>
              <w:tc>
                <w:tcPr>
                  <w:tcW w:w="554" w:type="pct"/>
                  <w:vAlign w:val="center"/>
                </w:tcPr>
                <w:p w14:paraId="6E296B0D">
                  <w:pPr>
                    <w:widowControl/>
                    <w:snapToGrid w:val="0"/>
                    <w:jc w:val="center"/>
                    <w:textAlignment w:val="center"/>
                    <w:rPr>
                      <w:bCs/>
                      <w:kern w:val="44"/>
                    </w:rPr>
                  </w:pPr>
                  <w:r>
                    <w:rPr>
                      <w:bCs/>
                      <w:kern w:val="44"/>
                    </w:rPr>
                    <w:t>1</w:t>
                  </w:r>
                </w:p>
              </w:tc>
              <w:tc>
                <w:tcPr>
                  <w:tcW w:w="2105" w:type="pct"/>
                  <w:gridSpan w:val="3"/>
                  <w:vAlign w:val="center"/>
                </w:tcPr>
                <w:p w14:paraId="116CE5A6">
                  <w:pPr>
                    <w:widowControl/>
                    <w:snapToGrid w:val="0"/>
                    <w:jc w:val="center"/>
                    <w:textAlignment w:val="center"/>
                    <w:rPr>
                      <w:bCs/>
                      <w:kern w:val="44"/>
                      <w:szCs w:val="21"/>
                    </w:rPr>
                  </w:pPr>
                  <w:r>
                    <w:rPr>
                      <w:rFonts w:hint="eastAsia"/>
                      <w:bCs/>
                      <w:kern w:val="44"/>
                      <w:szCs w:val="21"/>
                    </w:rPr>
                    <w:t>保有荒料资源量</w:t>
                  </w:r>
                </w:p>
              </w:tc>
              <w:tc>
                <w:tcPr>
                  <w:tcW w:w="866" w:type="pct"/>
                  <w:vAlign w:val="center"/>
                </w:tcPr>
                <w:p w14:paraId="271F0AE8">
                  <w:pPr>
                    <w:widowControl/>
                    <w:snapToGrid w:val="0"/>
                    <w:jc w:val="center"/>
                    <w:textAlignment w:val="center"/>
                    <w:rPr>
                      <w:bCs/>
                      <w:kern w:val="44"/>
                      <w:szCs w:val="21"/>
                    </w:rPr>
                  </w:pPr>
                  <w:r>
                    <w:rPr>
                      <w:bCs/>
                      <w:kern w:val="44"/>
                      <w:szCs w:val="21"/>
                    </w:rPr>
                    <w:t>万</w:t>
                  </w:r>
                  <w:r>
                    <w:rPr>
                      <w:bCs/>
                      <w:szCs w:val="21"/>
                    </w:rPr>
                    <w:t>m</w:t>
                  </w:r>
                  <w:r>
                    <w:rPr>
                      <w:bCs/>
                      <w:szCs w:val="21"/>
                      <w:vertAlign w:val="superscript"/>
                    </w:rPr>
                    <w:t>3</w:t>
                  </w:r>
                </w:p>
              </w:tc>
              <w:tc>
                <w:tcPr>
                  <w:tcW w:w="879" w:type="pct"/>
                  <w:vAlign w:val="center"/>
                </w:tcPr>
                <w:p w14:paraId="2109CA52">
                  <w:pPr>
                    <w:widowControl/>
                    <w:snapToGrid w:val="0"/>
                    <w:jc w:val="center"/>
                    <w:textAlignment w:val="center"/>
                    <w:rPr>
                      <w:bCs/>
                      <w:kern w:val="44"/>
                      <w:szCs w:val="21"/>
                    </w:rPr>
                  </w:pPr>
                  <w:r>
                    <w:rPr>
                      <w:bCs/>
                      <w:szCs w:val="21"/>
                    </w:rPr>
                    <w:t>62.49</w:t>
                  </w:r>
                </w:p>
              </w:tc>
              <w:tc>
                <w:tcPr>
                  <w:tcW w:w="594" w:type="pct"/>
                  <w:vAlign w:val="center"/>
                </w:tcPr>
                <w:p w14:paraId="78E0D66D">
                  <w:pPr>
                    <w:widowControl/>
                    <w:snapToGrid w:val="0"/>
                    <w:jc w:val="center"/>
                    <w:textAlignment w:val="center"/>
                    <w:rPr>
                      <w:bCs/>
                      <w:kern w:val="44"/>
                    </w:rPr>
                  </w:pPr>
                </w:p>
              </w:tc>
            </w:tr>
            <w:tr w14:paraId="1FEB6C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exact"/>
              </w:trPr>
              <w:tc>
                <w:tcPr>
                  <w:tcW w:w="554" w:type="pct"/>
                  <w:vAlign w:val="center"/>
                </w:tcPr>
                <w:p w14:paraId="6AE27B00">
                  <w:pPr>
                    <w:widowControl/>
                    <w:snapToGrid w:val="0"/>
                    <w:jc w:val="center"/>
                    <w:textAlignment w:val="center"/>
                    <w:rPr>
                      <w:bCs/>
                      <w:kern w:val="44"/>
                    </w:rPr>
                  </w:pPr>
                  <w:r>
                    <w:rPr>
                      <w:bCs/>
                      <w:kern w:val="44"/>
                    </w:rPr>
                    <w:t>2</w:t>
                  </w:r>
                </w:p>
              </w:tc>
              <w:tc>
                <w:tcPr>
                  <w:tcW w:w="2105" w:type="pct"/>
                  <w:gridSpan w:val="3"/>
                  <w:vAlign w:val="center"/>
                </w:tcPr>
                <w:p w14:paraId="77420069">
                  <w:pPr>
                    <w:widowControl/>
                    <w:snapToGrid w:val="0"/>
                    <w:jc w:val="center"/>
                    <w:textAlignment w:val="center"/>
                    <w:rPr>
                      <w:bCs/>
                      <w:kern w:val="44"/>
                      <w:szCs w:val="21"/>
                    </w:rPr>
                  </w:pPr>
                  <w:r>
                    <w:rPr>
                      <w:szCs w:val="21"/>
                    </w:rPr>
                    <w:t>设计利用荒料资源量</w:t>
                  </w:r>
                </w:p>
              </w:tc>
              <w:tc>
                <w:tcPr>
                  <w:tcW w:w="866" w:type="pct"/>
                  <w:vAlign w:val="center"/>
                </w:tcPr>
                <w:p w14:paraId="207E6189">
                  <w:pPr>
                    <w:widowControl/>
                    <w:snapToGrid w:val="0"/>
                    <w:jc w:val="center"/>
                    <w:textAlignment w:val="center"/>
                    <w:rPr>
                      <w:bCs/>
                      <w:kern w:val="44"/>
                      <w:szCs w:val="21"/>
                    </w:rPr>
                  </w:pPr>
                  <w:r>
                    <w:rPr>
                      <w:bCs/>
                      <w:kern w:val="44"/>
                      <w:szCs w:val="21"/>
                    </w:rPr>
                    <w:t>万</w:t>
                  </w:r>
                  <w:r>
                    <w:rPr>
                      <w:bCs/>
                      <w:szCs w:val="21"/>
                    </w:rPr>
                    <w:t>m</w:t>
                  </w:r>
                  <w:r>
                    <w:rPr>
                      <w:bCs/>
                      <w:szCs w:val="21"/>
                      <w:vertAlign w:val="superscript"/>
                    </w:rPr>
                    <w:t>3</w:t>
                  </w:r>
                </w:p>
              </w:tc>
              <w:tc>
                <w:tcPr>
                  <w:tcW w:w="879" w:type="pct"/>
                  <w:vAlign w:val="center"/>
                </w:tcPr>
                <w:p w14:paraId="23F88827">
                  <w:pPr>
                    <w:widowControl/>
                    <w:snapToGrid w:val="0"/>
                    <w:jc w:val="center"/>
                    <w:textAlignment w:val="center"/>
                    <w:rPr>
                      <w:bCs/>
                      <w:kern w:val="44"/>
                      <w:szCs w:val="21"/>
                    </w:rPr>
                  </w:pPr>
                  <w:r>
                    <w:rPr>
                      <w:szCs w:val="21"/>
                    </w:rPr>
                    <w:t>29.49</w:t>
                  </w:r>
                </w:p>
              </w:tc>
              <w:tc>
                <w:tcPr>
                  <w:tcW w:w="594" w:type="pct"/>
                  <w:vAlign w:val="center"/>
                </w:tcPr>
                <w:p w14:paraId="1FD0DBDF">
                  <w:pPr>
                    <w:widowControl/>
                    <w:snapToGrid w:val="0"/>
                    <w:jc w:val="center"/>
                    <w:textAlignment w:val="center"/>
                    <w:rPr>
                      <w:bCs/>
                      <w:kern w:val="44"/>
                    </w:rPr>
                  </w:pPr>
                </w:p>
              </w:tc>
            </w:tr>
            <w:tr w14:paraId="7BA85D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exact"/>
              </w:trPr>
              <w:tc>
                <w:tcPr>
                  <w:tcW w:w="554" w:type="pct"/>
                  <w:vAlign w:val="center"/>
                </w:tcPr>
                <w:p w14:paraId="10DD2FF7">
                  <w:pPr>
                    <w:widowControl/>
                    <w:snapToGrid w:val="0"/>
                    <w:jc w:val="center"/>
                    <w:textAlignment w:val="center"/>
                    <w:rPr>
                      <w:bCs/>
                      <w:kern w:val="44"/>
                    </w:rPr>
                  </w:pPr>
                  <w:r>
                    <w:rPr>
                      <w:bCs/>
                      <w:kern w:val="44"/>
                    </w:rPr>
                    <w:t>3</w:t>
                  </w:r>
                </w:p>
              </w:tc>
              <w:tc>
                <w:tcPr>
                  <w:tcW w:w="2105" w:type="pct"/>
                  <w:gridSpan w:val="3"/>
                  <w:vAlign w:val="center"/>
                </w:tcPr>
                <w:p w14:paraId="449124D4">
                  <w:pPr>
                    <w:widowControl/>
                    <w:snapToGrid w:val="0"/>
                    <w:jc w:val="center"/>
                    <w:textAlignment w:val="center"/>
                    <w:rPr>
                      <w:bCs/>
                      <w:kern w:val="44"/>
                      <w:szCs w:val="21"/>
                    </w:rPr>
                  </w:pPr>
                  <w:r>
                    <w:rPr>
                      <w:szCs w:val="21"/>
                    </w:rPr>
                    <w:t>可采荒料资源量</w:t>
                  </w:r>
                </w:p>
              </w:tc>
              <w:tc>
                <w:tcPr>
                  <w:tcW w:w="866" w:type="pct"/>
                  <w:vAlign w:val="center"/>
                </w:tcPr>
                <w:p w14:paraId="7E7AC094">
                  <w:pPr>
                    <w:widowControl/>
                    <w:snapToGrid w:val="0"/>
                    <w:jc w:val="center"/>
                    <w:textAlignment w:val="center"/>
                    <w:rPr>
                      <w:bCs/>
                      <w:kern w:val="44"/>
                      <w:szCs w:val="21"/>
                    </w:rPr>
                  </w:pPr>
                  <w:r>
                    <w:rPr>
                      <w:bCs/>
                      <w:kern w:val="44"/>
                      <w:szCs w:val="21"/>
                    </w:rPr>
                    <w:t>万</w:t>
                  </w:r>
                  <w:r>
                    <w:rPr>
                      <w:bCs/>
                      <w:szCs w:val="21"/>
                    </w:rPr>
                    <w:t>m</w:t>
                  </w:r>
                  <w:r>
                    <w:rPr>
                      <w:bCs/>
                      <w:szCs w:val="21"/>
                      <w:vertAlign w:val="superscript"/>
                    </w:rPr>
                    <w:t>3</w:t>
                  </w:r>
                </w:p>
              </w:tc>
              <w:tc>
                <w:tcPr>
                  <w:tcW w:w="879" w:type="pct"/>
                  <w:vAlign w:val="center"/>
                </w:tcPr>
                <w:p w14:paraId="58F3A4C2">
                  <w:pPr>
                    <w:widowControl/>
                    <w:snapToGrid w:val="0"/>
                    <w:jc w:val="center"/>
                    <w:textAlignment w:val="center"/>
                    <w:rPr>
                      <w:bCs/>
                      <w:kern w:val="44"/>
                      <w:szCs w:val="21"/>
                    </w:rPr>
                  </w:pPr>
                  <w:r>
                    <w:rPr>
                      <w:rFonts w:hint="eastAsia"/>
                      <w:szCs w:val="21"/>
                    </w:rPr>
                    <w:t>28.02</w:t>
                  </w:r>
                </w:p>
              </w:tc>
              <w:tc>
                <w:tcPr>
                  <w:tcW w:w="594" w:type="pct"/>
                  <w:vAlign w:val="center"/>
                </w:tcPr>
                <w:p w14:paraId="610EF0A2">
                  <w:pPr>
                    <w:widowControl/>
                    <w:snapToGrid w:val="0"/>
                    <w:jc w:val="center"/>
                    <w:textAlignment w:val="center"/>
                    <w:rPr>
                      <w:bCs/>
                      <w:kern w:val="44"/>
                    </w:rPr>
                  </w:pPr>
                </w:p>
              </w:tc>
            </w:tr>
            <w:tr w14:paraId="3859B2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exact"/>
              </w:trPr>
              <w:tc>
                <w:tcPr>
                  <w:tcW w:w="554" w:type="pct"/>
                  <w:vAlign w:val="center"/>
                </w:tcPr>
                <w:p w14:paraId="67A0C45F">
                  <w:pPr>
                    <w:widowControl/>
                    <w:snapToGrid w:val="0"/>
                    <w:jc w:val="center"/>
                    <w:textAlignment w:val="bottom"/>
                    <w:rPr>
                      <w:bCs/>
                      <w:kern w:val="44"/>
                    </w:rPr>
                  </w:pPr>
                  <w:r>
                    <w:rPr>
                      <w:bCs/>
                      <w:kern w:val="44"/>
                    </w:rPr>
                    <w:t>二</w:t>
                  </w:r>
                </w:p>
              </w:tc>
              <w:tc>
                <w:tcPr>
                  <w:tcW w:w="3851" w:type="pct"/>
                  <w:gridSpan w:val="5"/>
                  <w:vAlign w:val="center"/>
                </w:tcPr>
                <w:p w14:paraId="7551195A">
                  <w:pPr>
                    <w:widowControl/>
                    <w:snapToGrid w:val="0"/>
                    <w:jc w:val="center"/>
                    <w:textAlignment w:val="center"/>
                    <w:rPr>
                      <w:bCs/>
                      <w:kern w:val="44"/>
                      <w:szCs w:val="21"/>
                    </w:rPr>
                  </w:pPr>
                  <w:r>
                    <w:rPr>
                      <w:bCs/>
                      <w:kern w:val="44"/>
                      <w:szCs w:val="21"/>
                    </w:rPr>
                    <w:t>采矿</w:t>
                  </w:r>
                </w:p>
              </w:tc>
              <w:tc>
                <w:tcPr>
                  <w:tcW w:w="594" w:type="pct"/>
                  <w:vAlign w:val="center"/>
                </w:tcPr>
                <w:p w14:paraId="74204E39">
                  <w:pPr>
                    <w:widowControl/>
                    <w:snapToGrid w:val="0"/>
                    <w:jc w:val="center"/>
                    <w:textAlignment w:val="center"/>
                    <w:rPr>
                      <w:bCs/>
                      <w:kern w:val="44"/>
                    </w:rPr>
                  </w:pPr>
                </w:p>
              </w:tc>
            </w:tr>
            <w:tr w14:paraId="084D6D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exact"/>
              </w:trPr>
              <w:tc>
                <w:tcPr>
                  <w:tcW w:w="554" w:type="pct"/>
                  <w:vAlign w:val="center"/>
                </w:tcPr>
                <w:p w14:paraId="55479571">
                  <w:pPr>
                    <w:widowControl/>
                    <w:snapToGrid w:val="0"/>
                    <w:jc w:val="center"/>
                    <w:textAlignment w:val="center"/>
                    <w:rPr>
                      <w:bCs/>
                      <w:kern w:val="44"/>
                    </w:rPr>
                  </w:pPr>
                  <w:r>
                    <w:rPr>
                      <w:bCs/>
                      <w:kern w:val="44"/>
                    </w:rPr>
                    <w:t>1</w:t>
                  </w:r>
                </w:p>
              </w:tc>
              <w:tc>
                <w:tcPr>
                  <w:tcW w:w="2105" w:type="pct"/>
                  <w:gridSpan w:val="3"/>
                  <w:vAlign w:val="center"/>
                </w:tcPr>
                <w:p w14:paraId="6443EFF9">
                  <w:pPr>
                    <w:widowControl/>
                    <w:snapToGrid w:val="0"/>
                    <w:jc w:val="center"/>
                    <w:textAlignment w:val="center"/>
                    <w:rPr>
                      <w:szCs w:val="21"/>
                    </w:rPr>
                  </w:pPr>
                  <w:r>
                    <w:rPr>
                      <w:szCs w:val="21"/>
                    </w:rPr>
                    <w:t>采场最高剥离标高</w:t>
                  </w:r>
                </w:p>
              </w:tc>
              <w:tc>
                <w:tcPr>
                  <w:tcW w:w="866" w:type="pct"/>
                  <w:vAlign w:val="center"/>
                </w:tcPr>
                <w:p w14:paraId="79361E50">
                  <w:pPr>
                    <w:widowControl/>
                    <w:snapToGrid w:val="0"/>
                    <w:jc w:val="center"/>
                    <w:textAlignment w:val="center"/>
                    <w:rPr>
                      <w:bCs/>
                      <w:kern w:val="44"/>
                      <w:szCs w:val="21"/>
                    </w:rPr>
                  </w:pPr>
                  <w:r>
                    <w:rPr>
                      <w:bCs/>
                      <w:kern w:val="44"/>
                      <w:szCs w:val="21"/>
                    </w:rPr>
                    <w:t>m</w:t>
                  </w:r>
                </w:p>
              </w:tc>
              <w:tc>
                <w:tcPr>
                  <w:tcW w:w="879" w:type="pct"/>
                  <w:vAlign w:val="center"/>
                </w:tcPr>
                <w:p w14:paraId="0E40D489">
                  <w:pPr>
                    <w:widowControl/>
                    <w:tabs>
                      <w:tab w:val="left" w:pos="540"/>
                    </w:tabs>
                    <w:snapToGrid w:val="0"/>
                    <w:jc w:val="center"/>
                    <w:rPr>
                      <w:bCs/>
                      <w:kern w:val="44"/>
                      <w:szCs w:val="21"/>
                    </w:rPr>
                  </w:pPr>
                  <w:r>
                    <w:rPr>
                      <w:szCs w:val="21"/>
                    </w:rPr>
                    <w:t>1087</w:t>
                  </w:r>
                </w:p>
              </w:tc>
              <w:tc>
                <w:tcPr>
                  <w:tcW w:w="594" w:type="pct"/>
                  <w:vAlign w:val="center"/>
                </w:tcPr>
                <w:p w14:paraId="3C5FBBF7">
                  <w:pPr>
                    <w:widowControl/>
                    <w:snapToGrid w:val="0"/>
                    <w:jc w:val="center"/>
                    <w:textAlignment w:val="center"/>
                    <w:rPr>
                      <w:bCs/>
                      <w:kern w:val="44"/>
                    </w:rPr>
                  </w:pPr>
                </w:p>
              </w:tc>
            </w:tr>
            <w:tr w14:paraId="735013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exact"/>
              </w:trPr>
              <w:tc>
                <w:tcPr>
                  <w:tcW w:w="554" w:type="pct"/>
                  <w:vAlign w:val="center"/>
                </w:tcPr>
                <w:p w14:paraId="5455EC90">
                  <w:pPr>
                    <w:widowControl/>
                    <w:snapToGrid w:val="0"/>
                    <w:jc w:val="center"/>
                    <w:textAlignment w:val="center"/>
                    <w:rPr>
                      <w:bCs/>
                      <w:kern w:val="44"/>
                    </w:rPr>
                  </w:pPr>
                  <w:r>
                    <w:rPr>
                      <w:bCs/>
                      <w:kern w:val="44"/>
                    </w:rPr>
                    <w:t>2</w:t>
                  </w:r>
                </w:p>
              </w:tc>
              <w:tc>
                <w:tcPr>
                  <w:tcW w:w="2105" w:type="pct"/>
                  <w:gridSpan w:val="3"/>
                  <w:vAlign w:val="center"/>
                </w:tcPr>
                <w:p w14:paraId="74E77454">
                  <w:pPr>
                    <w:widowControl/>
                    <w:snapToGrid w:val="0"/>
                    <w:jc w:val="center"/>
                    <w:textAlignment w:val="center"/>
                    <w:rPr>
                      <w:szCs w:val="21"/>
                    </w:rPr>
                  </w:pPr>
                  <w:r>
                    <w:rPr>
                      <w:szCs w:val="21"/>
                    </w:rPr>
                    <w:t>采场最低开采标高</w:t>
                  </w:r>
                </w:p>
              </w:tc>
              <w:tc>
                <w:tcPr>
                  <w:tcW w:w="866" w:type="pct"/>
                  <w:vAlign w:val="center"/>
                </w:tcPr>
                <w:p w14:paraId="3C737B96">
                  <w:pPr>
                    <w:widowControl/>
                    <w:snapToGrid w:val="0"/>
                    <w:jc w:val="center"/>
                    <w:textAlignment w:val="center"/>
                    <w:rPr>
                      <w:bCs/>
                      <w:kern w:val="44"/>
                      <w:szCs w:val="21"/>
                    </w:rPr>
                  </w:pPr>
                  <w:r>
                    <w:rPr>
                      <w:bCs/>
                      <w:kern w:val="44"/>
                      <w:szCs w:val="21"/>
                    </w:rPr>
                    <w:t>m</w:t>
                  </w:r>
                </w:p>
              </w:tc>
              <w:tc>
                <w:tcPr>
                  <w:tcW w:w="879" w:type="pct"/>
                  <w:vAlign w:val="center"/>
                </w:tcPr>
                <w:p w14:paraId="51039A2D">
                  <w:pPr>
                    <w:widowControl/>
                    <w:tabs>
                      <w:tab w:val="left" w:pos="540"/>
                    </w:tabs>
                    <w:snapToGrid w:val="0"/>
                    <w:jc w:val="center"/>
                    <w:rPr>
                      <w:bCs/>
                      <w:kern w:val="44"/>
                      <w:szCs w:val="21"/>
                    </w:rPr>
                  </w:pPr>
                  <w:r>
                    <w:rPr>
                      <w:szCs w:val="21"/>
                    </w:rPr>
                    <w:t>970</w:t>
                  </w:r>
                </w:p>
              </w:tc>
              <w:tc>
                <w:tcPr>
                  <w:tcW w:w="594" w:type="pct"/>
                  <w:vAlign w:val="center"/>
                </w:tcPr>
                <w:p w14:paraId="086F37BB">
                  <w:pPr>
                    <w:widowControl/>
                    <w:snapToGrid w:val="0"/>
                    <w:jc w:val="center"/>
                    <w:textAlignment w:val="center"/>
                    <w:rPr>
                      <w:bCs/>
                      <w:kern w:val="44"/>
                    </w:rPr>
                  </w:pPr>
                </w:p>
              </w:tc>
            </w:tr>
            <w:tr w14:paraId="5D7C33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exact"/>
              </w:trPr>
              <w:tc>
                <w:tcPr>
                  <w:tcW w:w="554" w:type="pct"/>
                  <w:vAlign w:val="center"/>
                </w:tcPr>
                <w:p w14:paraId="2C266952">
                  <w:pPr>
                    <w:widowControl/>
                    <w:snapToGrid w:val="0"/>
                    <w:jc w:val="center"/>
                    <w:textAlignment w:val="center"/>
                    <w:rPr>
                      <w:bCs/>
                      <w:kern w:val="44"/>
                    </w:rPr>
                  </w:pPr>
                  <w:r>
                    <w:rPr>
                      <w:bCs/>
                      <w:kern w:val="44"/>
                    </w:rPr>
                    <w:t>3</w:t>
                  </w:r>
                </w:p>
              </w:tc>
              <w:tc>
                <w:tcPr>
                  <w:tcW w:w="2105" w:type="pct"/>
                  <w:gridSpan w:val="3"/>
                  <w:vAlign w:val="center"/>
                </w:tcPr>
                <w:p w14:paraId="37D519F4">
                  <w:pPr>
                    <w:widowControl/>
                    <w:snapToGrid w:val="0"/>
                    <w:jc w:val="center"/>
                    <w:textAlignment w:val="center"/>
                    <w:rPr>
                      <w:szCs w:val="21"/>
                    </w:rPr>
                  </w:pPr>
                  <w:r>
                    <w:rPr>
                      <w:szCs w:val="21"/>
                    </w:rPr>
                    <w:t>采场最大采深</w:t>
                  </w:r>
                </w:p>
              </w:tc>
              <w:tc>
                <w:tcPr>
                  <w:tcW w:w="866" w:type="pct"/>
                  <w:vAlign w:val="center"/>
                </w:tcPr>
                <w:p w14:paraId="2E2AEC8A">
                  <w:pPr>
                    <w:widowControl/>
                    <w:snapToGrid w:val="0"/>
                    <w:jc w:val="center"/>
                    <w:textAlignment w:val="center"/>
                    <w:rPr>
                      <w:bCs/>
                      <w:kern w:val="44"/>
                      <w:szCs w:val="21"/>
                    </w:rPr>
                  </w:pPr>
                  <w:r>
                    <w:rPr>
                      <w:bCs/>
                      <w:kern w:val="44"/>
                      <w:szCs w:val="21"/>
                    </w:rPr>
                    <w:t>m</w:t>
                  </w:r>
                </w:p>
              </w:tc>
              <w:tc>
                <w:tcPr>
                  <w:tcW w:w="879" w:type="pct"/>
                  <w:vAlign w:val="center"/>
                </w:tcPr>
                <w:p w14:paraId="66F28D8D">
                  <w:pPr>
                    <w:widowControl/>
                    <w:tabs>
                      <w:tab w:val="left" w:pos="540"/>
                    </w:tabs>
                    <w:snapToGrid w:val="0"/>
                    <w:jc w:val="center"/>
                    <w:rPr>
                      <w:bCs/>
                      <w:kern w:val="44"/>
                      <w:szCs w:val="21"/>
                    </w:rPr>
                  </w:pPr>
                  <w:r>
                    <w:rPr>
                      <w:rFonts w:hint="eastAsia"/>
                      <w:szCs w:val="21"/>
                    </w:rPr>
                    <w:t>117</w:t>
                  </w:r>
                </w:p>
              </w:tc>
              <w:tc>
                <w:tcPr>
                  <w:tcW w:w="594" w:type="pct"/>
                  <w:vAlign w:val="center"/>
                </w:tcPr>
                <w:p w14:paraId="59379A85">
                  <w:pPr>
                    <w:widowControl/>
                    <w:snapToGrid w:val="0"/>
                    <w:jc w:val="center"/>
                    <w:textAlignment w:val="center"/>
                    <w:rPr>
                      <w:bCs/>
                      <w:kern w:val="44"/>
                    </w:rPr>
                  </w:pPr>
                </w:p>
              </w:tc>
            </w:tr>
            <w:tr w14:paraId="776490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exact"/>
              </w:trPr>
              <w:tc>
                <w:tcPr>
                  <w:tcW w:w="554" w:type="pct"/>
                  <w:vMerge w:val="restart"/>
                  <w:vAlign w:val="center"/>
                </w:tcPr>
                <w:p w14:paraId="132DE9C9">
                  <w:pPr>
                    <w:widowControl/>
                    <w:snapToGrid w:val="0"/>
                    <w:jc w:val="center"/>
                    <w:textAlignment w:val="center"/>
                    <w:rPr>
                      <w:bCs/>
                      <w:kern w:val="44"/>
                    </w:rPr>
                  </w:pPr>
                  <w:r>
                    <w:rPr>
                      <w:rFonts w:hint="eastAsia"/>
                      <w:bCs/>
                      <w:kern w:val="44"/>
                    </w:rPr>
                    <w:t>4</w:t>
                  </w:r>
                </w:p>
              </w:tc>
              <w:tc>
                <w:tcPr>
                  <w:tcW w:w="737" w:type="pct"/>
                  <w:vMerge w:val="restart"/>
                  <w:vAlign w:val="center"/>
                </w:tcPr>
                <w:p w14:paraId="5C912C09">
                  <w:pPr>
                    <w:widowControl/>
                    <w:snapToGrid w:val="0"/>
                    <w:jc w:val="center"/>
                    <w:textAlignment w:val="center"/>
                    <w:rPr>
                      <w:bCs/>
                      <w:kern w:val="44"/>
                      <w:szCs w:val="21"/>
                    </w:rPr>
                  </w:pPr>
                  <w:r>
                    <w:rPr>
                      <w:rFonts w:hint="eastAsia"/>
                      <w:bCs/>
                      <w:kern w:val="44"/>
                      <w:szCs w:val="21"/>
                    </w:rPr>
                    <w:t>开采阶段</w:t>
                  </w:r>
                </w:p>
              </w:tc>
              <w:tc>
                <w:tcPr>
                  <w:tcW w:w="1368" w:type="pct"/>
                  <w:gridSpan w:val="2"/>
                  <w:vAlign w:val="center"/>
                </w:tcPr>
                <w:p w14:paraId="1A0101AF">
                  <w:pPr>
                    <w:widowControl/>
                    <w:snapToGrid w:val="0"/>
                    <w:jc w:val="center"/>
                    <w:textAlignment w:val="center"/>
                    <w:rPr>
                      <w:bCs/>
                      <w:kern w:val="44"/>
                      <w:szCs w:val="21"/>
                    </w:rPr>
                  </w:pPr>
                  <w:r>
                    <w:rPr>
                      <w:szCs w:val="21"/>
                    </w:rPr>
                    <w:t>剥离阶段高度</w:t>
                  </w:r>
                </w:p>
              </w:tc>
              <w:tc>
                <w:tcPr>
                  <w:tcW w:w="866" w:type="pct"/>
                  <w:vAlign w:val="center"/>
                </w:tcPr>
                <w:p w14:paraId="34DFEE09">
                  <w:pPr>
                    <w:widowControl/>
                    <w:snapToGrid w:val="0"/>
                    <w:jc w:val="center"/>
                    <w:textAlignment w:val="center"/>
                    <w:rPr>
                      <w:bCs/>
                      <w:kern w:val="44"/>
                      <w:szCs w:val="21"/>
                    </w:rPr>
                  </w:pPr>
                  <w:r>
                    <w:rPr>
                      <w:bCs/>
                      <w:kern w:val="44"/>
                      <w:szCs w:val="21"/>
                    </w:rPr>
                    <w:t>m</w:t>
                  </w:r>
                </w:p>
              </w:tc>
              <w:tc>
                <w:tcPr>
                  <w:tcW w:w="879" w:type="pct"/>
                  <w:vAlign w:val="center"/>
                </w:tcPr>
                <w:p w14:paraId="35185CFD">
                  <w:pPr>
                    <w:widowControl/>
                    <w:snapToGrid w:val="0"/>
                    <w:jc w:val="center"/>
                    <w:textAlignment w:val="center"/>
                    <w:rPr>
                      <w:bCs/>
                      <w:kern w:val="44"/>
                      <w:szCs w:val="21"/>
                    </w:rPr>
                  </w:pPr>
                  <w:r>
                    <w:rPr>
                      <w:rFonts w:hint="eastAsia"/>
                      <w:bCs/>
                      <w:kern w:val="44"/>
                      <w:szCs w:val="21"/>
                    </w:rPr>
                    <w:t>15</w:t>
                  </w:r>
                </w:p>
              </w:tc>
              <w:tc>
                <w:tcPr>
                  <w:tcW w:w="594" w:type="pct"/>
                  <w:vAlign w:val="center"/>
                </w:tcPr>
                <w:p w14:paraId="0AD47770">
                  <w:pPr>
                    <w:widowControl/>
                    <w:snapToGrid w:val="0"/>
                    <w:jc w:val="center"/>
                    <w:textAlignment w:val="center"/>
                    <w:rPr>
                      <w:bCs/>
                      <w:kern w:val="44"/>
                    </w:rPr>
                  </w:pPr>
                </w:p>
              </w:tc>
            </w:tr>
            <w:tr w14:paraId="19EAF2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exact"/>
              </w:trPr>
              <w:tc>
                <w:tcPr>
                  <w:tcW w:w="554" w:type="pct"/>
                  <w:vMerge w:val="continue"/>
                  <w:vAlign w:val="center"/>
                </w:tcPr>
                <w:p w14:paraId="4817F11D">
                  <w:pPr>
                    <w:widowControl/>
                    <w:snapToGrid w:val="0"/>
                    <w:jc w:val="center"/>
                    <w:textAlignment w:val="center"/>
                    <w:rPr>
                      <w:bCs/>
                      <w:kern w:val="44"/>
                    </w:rPr>
                  </w:pPr>
                </w:p>
              </w:tc>
              <w:tc>
                <w:tcPr>
                  <w:tcW w:w="737" w:type="pct"/>
                  <w:vMerge w:val="continue"/>
                  <w:vAlign w:val="center"/>
                </w:tcPr>
                <w:p w14:paraId="68591988">
                  <w:pPr>
                    <w:widowControl/>
                    <w:snapToGrid w:val="0"/>
                    <w:jc w:val="center"/>
                    <w:textAlignment w:val="center"/>
                    <w:rPr>
                      <w:bCs/>
                      <w:kern w:val="44"/>
                      <w:szCs w:val="21"/>
                    </w:rPr>
                  </w:pPr>
                </w:p>
              </w:tc>
              <w:tc>
                <w:tcPr>
                  <w:tcW w:w="1368" w:type="pct"/>
                  <w:gridSpan w:val="2"/>
                  <w:vAlign w:val="center"/>
                </w:tcPr>
                <w:p w14:paraId="050E816E">
                  <w:pPr>
                    <w:widowControl/>
                    <w:snapToGrid w:val="0"/>
                    <w:jc w:val="center"/>
                    <w:textAlignment w:val="center"/>
                    <w:rPr>
                      <w:bCs/>
                      <w:kern w:val="44"/>
                      <w:szCs w:val="21"/>
                    </w:rPr>
                  </w:pPr>
                  <w:r>
                    <w:rPr>
                      <w:szCs w:val="21"/>
                    </w:rPr>
                    <w:t>采矿阶段</w:t>
                  </w:r>
                </w:p>
              </w:tc>
              <w:tc>
                <w:tcPr>
                  <w:tcW w:w="866" w:type="pct"/>
                  <w:vAlign w:val="center"/>
                </w:tcPr>
                <w:p w14:paraId="46E8B7DA">
                  <w:pPr>
                    <w:widowControl/>
                    <w:snapToGrid w:val="0"/>
                    <w:jc w:val="center"/>
                    <w:textAlignment w:val="center"/>
                    <w:rPr>
                      <w:bCs/>
                      <w:kern w:val="44"/>
                      <w:szCs w:val="21"/>
                    </w:rPr>
                  </w:pPr>
                  <w:r>
                    <w:rPr>
                      <w:rFonts w:hint="eastAsia"/>
                      <w:bCs/>
                      <w:kern w:val="44"/>
                      <w:szCs w:val="21"/>
                    </w:rPr>
                    <w:t>m</w:t>
                  </w:r>
                </w:p>
              </w:tc>
              <w:tc>
                <w:tcPr>
                  <w:tcW w:w="879" w:type="pct"/>
                  <w:vAlign w:val="center"/>
                </w:tcPr>
                <w:p w14:paraId="6DE24EAF">
                  <w:pPr>
                    <w:widowControl/>
                    <w:snapToGrid w:val="0"/>
                    <w:jc w:val="center"/>
                    <w:textAlignment w:val="center"/>
                    <w:rPr>
                      <w:bCs/>
                      <w:kern w:val="44"/>
                      <w:szCs w:val="21"/>
                    </w:rPr>
                  </w:pPr>
                  <w:r>
                    <w:rPr>
                      <w:rFonts w:hint="eastAsia"/>
                      <w:bCs/>
                      <w:kern w:val="44"/>
                      <w:szCs w:val="21"/>
                    </w:rPr>
                    <w:t>7.5</w:t>
                  </w:r>
                </w:p>
              </w:tc>
              <w:tc>
                <w:tcPr>
                  <w:tcW w:w="594" w:type="pct"/>
                  <w:vAlign w:val="center"/>
                </w:tcPr>
                <w:p w14:paraId="0E38174F">
                  <w:pPr>
                    <w:widowControl/>
                    <w:snapToGrid w:val="0"/>
                    <w:jc w:val="center"/>
                    <w:textAlignment w:val="center"/>
                    <w:rPr>
                      <w:bCs/>
                      <w:kern w:val="44"/>
                    </w:rPr>
                  </w:pPr>
                </w:p>
              </w:tc>
            </w:tr>
            <w:tr w14:paraId="4165F7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exact"/>
              </w:trPr>
              <w:tc>
                <w:tcPr>
                  <w:tcW w:w="554" w:type="pct"/>
                  <w:vMerge w:val="restart"/>
                  <w:vAlign w:val="center"/>
                </w:tcPr>
                <w:p w14:paraId="7EE5B3A1">
                  <w:pPr>
                    <w:widowControl/>
                    <w:snapToGrid w:val="0"/>
                    <w:jc w:val="center"/>
                    <w:textAlignment w:val="center"/>
                    <w:rPr>
                      <w:bCs/>
                      <w:kern w:val="44"/>
                    </w:rPr>
                  </w:pPr>
                  <w:r>
                    <w:rPr>
                      <w:rFonts w:hint="eastAsia"/>
                      <w:bCs/>
                      <w:kern w:val="44"/>
                    </w:rPr>
                    <w:t>5</w:t>
                  </w:r>
                </w:p>
              </w:tc>
              <w:tc>
                <w:tcPr>
                  <w:tcW w:w="737" w:type="pct"/>
                  <w:vMerge w:val="restart"/>
                  <w:vAlign w:val="center"/>
                </w:tcPr>
                <w:p w14:paraId="537CD90F">
                  <w:pPr>
                    <w:widowControl/>
                    <w:snapToGrid w:val="0"/>
                    <w:jc w:val="center"/>
                    <w:textAlignment w:val="center"/>
                    <w:rPr>
                      <w:bCs/>
                      <w:kern w:val="44"/>
                      <w:szCs w:val="21"/>
                    </w:rPr>
                  </w:pPr>
                  <w:r>
                    <w:rPr>
                      <w:szCs w:val="21"/>
                    </w:rPr>
                    <w:t>终了阶段</w:t>
                  </w:r>
                </w:p>
              </w:tc>
              <w:tc>
                <w:tcPr>
                  <w:tcW w:w="1368" w:type="pct"/>
                  <w:gridSpan w:val="2"/>
                  <w:vAlign w:val="center"/>
                </w:tcPr>
                <w:p w14:paraId="60F4B693">
                  <w:pPr>
                    <w:widowControl/>
                    <w:snapToGrid w:val="0"/>
                    <w:jc w:val="center"/>
                    <w:textAlignment w:val="center"/>
                    <w:rPr>
                      <w:szCs w:val="21"/>
                    </w:rPr>
                  </w:pPr>
                  <w:r>
                    <w:rPr>
                      <w:szCs w:val="21"/>
                    </w:rPr>
                    <w:t>剥离终了阶段高度</w:t>
                  </w:r>
                </w:p>
              </w:tc>
              <w:tc>
                <w:tcPr>
                  <w:tcW w:w="866" w:type="pct"/>
                  <w:vAlign w:val="center"/>
                </w:tcPr>
                <w:p w14:paraId="006B4691">
                  <w:pPr>
                    <w:widowControl/>
                    <w:snapToGrid w:val="0"/>
                    <w:jc w:val="center"/>
                    <w:textAlignment w:val="center"/>
                    <w:rPr>
                      <w:bCs/>
                      <w:kern w:val="44"/>
                      <w:szCs w:val="21"/>
                    </w:rPr>
                  </w:pPr>
                  <w:r>
                    <w:rPr>
                      <w:rFonts w:hint="eastAsia"/>
                      <w:bCs/>
                      <w:kern w:val="44"/>
                      <w:szCs w:val="21"/>
                    </w:rPr>
                    <w:t>m</w:t>
                  </w:r>
                </w:p>
              </w:tc>
              <w:tc>
                <w:tcPr>
                  <w:tcW w:w="879" w:type="pct"/>
                  <w:vAlign w:val="center"/>
                </w:tcPr>
                <w:p w14:paraId="6090C41B">
                  <w:pPr>
                    <w:widowControl/>
                    <w:snapToGrid w:val="0"/>
                    <w:jc w:val="center"/>
                    <w:textAlignment w:val="center"/>
                    <w:rPr>
                      <w:bCs/>
                      <w:kern w:val="44"/>
                      <w:szCs w:val="21"/>
                    </w:rPr>
                  </w:pPr>
                  <w:r>
                    <w:rPr>
                      <w:rFonts w:hint="eastAsia"/>
                      <w:bCs/>
                      <w:kern w:val="44"/>
                      <w:szCs w:val="21"/>
                    </w:rPr>
                    <w:t>15</w:t>
                  </w:r>
                </w:p>
              </w:tc>
              <w:tc>
                <w:tcPr>
                  <w:tcW w:w="594" w:type="pct"/>
                  <w:vAlign w:val="center"/>
                </w:tcPr>
                <w:p w14:paraId="68BCE62E">
                  <w:pPr>
                    <w:widowControl/>
                    <w:snapToGrid w:val="0"/>
                    <w:jc w:val="center"/>
                    <w:textAlignment w:val="center"/>
                    <w:rPr>
                      <w:bCs/>
                      <w:kern w:val="44"/>
                    </w:rPr>
                  </w:pPr>
                </w:p>
              </w:tc>
            </w:tr>
            <w:tr w14:paraId="2FB724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exact"/>
              </w:trPr>
              <w:tc>
                <w:tcPr>
                  <w:tcW w:w="554" w:type="pct"/>
                  <w:vMerge w:val="continue"/>
                  <w:vAlign w:val="center"/>
                </w:tcPr>
                <w:p w14:paraId="52515BE7">
                  <w:pPr>
                    <w:widowControl/>
                    <w:snapToGrid w:val="0"/>
                    <w:jc w:val="center"/>
                    <w:textAlignment w:val="center"/>
                    <w:rPr>
                      <w:bCs/>
                      <w:kern w:val="44"/>
                    </w:rPr>
                  </w:pPr>
                </w:p>
              </w:tc>
              <w:tc>
                <w:tcPr>
                  <w:tcW w:w="737" w:type="pct"/>
                  <w:vMerge w:val="continue"/>
                  <w:vAlign w:val="center"/>
                </w:tcPr>
                <w:p w14:paraId="5DAA6BE2">
                  <w:pPr>
                    <w:widowControl/>
                    <w:snapToGrid w:val="0"/>
                    <w:jc w:val="center"/>
                    <w:textAlignment w:val="center"/>
                    <w:rPr>
                      <w:bCs/>
                      <w:kern w:val="44"/>
                      <w:szCs w:val="21"/>
                    </w:rPr>
                  </w:pPr>
                </w:p>
              </w:tc>
              <w:tc>
                <w:tcPr>
                  <w:tcW w:w="1368" w:type="pct"/>
                  <w:gridSpan w:val="2"/>
                  <w:vAlign w:val="center"/>
                </w:tcPr>
                <w:p w14:paraId="30EC236F">
                  <w:pPr>
                    <w:widowControl/>
                    <w:snapToGrid w:val="0"/>
                    <w:jc w:val="center"/>
                    <w:textAlignment w:val="center"/>
                    <w:rPr>
                      <w:szCs w:val="21"/>
                    </w:rPr>
                  </w:pPr>
                  <w:r>
                    <w:rPr>
                      <w:szCs w:val="21"/>
                    </w:rPr>
                    <w:t>采矿终了阶段高度</w:t>
                  </w:r>
                </w:p>
              </w:tc>
              <w:tc>
                <w:tcPr>
                  <w:tcW w:w="866" w:type="pct"/>
                  <w:vAlign w:val="center"/>
                </w:tcPr>
                <w:p w14:paraId="220215F0">
                  <w:pPr>
                    <w:widowControl/>
                    <w:snapToGrid w:val="0"/>
                    <w:jc w:val="center"/>
                    <w:textAlignment w:val="center"/>
                    <w:rPr>
                      <w:bCs/>
                      <w:kern w:val="44"/>
                      <w:szCs w:val="21"/>
                    </w:rPr>
                  </w:pPr>
                  <w:r>
                    <w:rPr>
                      <w:rFonts w:hint="eastAsia"/>
                      <w:bCs/>
                      <w:kern w:val="44"/>
                      <w:szCs w:val="21"/>
                    </w:rPr>
                    <w:t>m</w:t>
                  </w:r>
                </w:p>
              </w:tc>
              <w:tc>
                <w:tcPr>
                  <w:tcW w:w="879" w:type="pct"/>
                  <w:vAlign w:val="center"/>
                </w:tcPr>
                <w:p w14:paraId="59D241E4">
                  <w:pPr>
                    <w:widowControl/>
                    <w:snapToGrid w:val="0"/>
                    <w:jc w:val="center"/>
                    <w:textAlignment w:val="center"/>
                    <w:rPr>
                      <w:bCs/>
                      <w:kern w:val="44"/>
                      <w:szCs w:val="21"/>
                    </w:rPr>
                  </w:pPr>
                  <w:r>
                    <w:rPr>
                      <w:rFonts w:hint="eastAsia"/>
                      <w:bCs/>
                      <w:kern w:val="44"/>
                      <w:szCs w:val="21"/>
                    </w:rPr>
                    <w:t>15</w:t>
                  </w:r>
                </w:p>
              </w:tc>
              <w:tc>
                <w:tcPr>
                  <w:tcW w:w="594" w:type="pct"/>
                  <w:vAlign w:val="center"/>
                </w:tcPr>
                <w:p w14:paraId="71C9985E">
                  <w:pPr>
                    <w:widowControl/>
                    <w:snapToGrid w:val="0"/>
                    <w:jc w:val="center"/>
                    <w:textAlignment w:val="center"/>
                    <w:rPr>
                      <w:bCs/>
                      <w:kern w:val="44"/>
                    </w:rPr>
                  </w:pPr>
                </w:p>
              </w:tc>
            </w:tr>
            <w:tr w14:paraId="3AD375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exact"/>
              </w:trPr>
              <w:tc>
                <w:tcPr>
                  <w:tcW w:w="554" w:type="pct"/>
                  <w:vAlign w:val="center"/>
                </w:tcPr>
                <w:p w14:paraId="2E2EF925">
                  <w:pPr>
                    <w:widowControl/>
                    <w:snapToGrid w:val="0"/>
                    <w:jc w:val="center"/>
                    <w:textAlignment w:val="center"/>
                    <w:rPr>
                      <w:bCs/>
                      <w:kern w:val="44"/>
                    </w:rPr>
                  </w:pPr>
                  <w:r>
                    <w:rPr>
                      <w:rFonts w:hint="eastAsia"/>
                      <w:bCs/>
                      <w:kern w:val="44"/>
                    </w:rPr>
                    <w:t>6</w:t>
                  </w:r>
                </w:p>
              </w:tc>
              <w:tc>
                <w:tcPr>
                  <w:tcW w:w="2105" w:type="pct"/>
                  <w:gridSpan w:val="3"/>
                  <w:shd w:val="clear" w:color="auto" w:fill="auto"/>
                  <w:vAlign w:val="center"/>
                </w:tcPr>
                <w:p w14:paraId="1EB3A452">
                  <w:pPr>
                    <w:widowControl/>
                    <w:snapToGrid w:val="0"/>
                    <w:jc w:val="center"/>
                    <w:textAlignment w:val="center"/>
                    <w:rPr>
                      <w:bCs/>
                      <w:kern w:val="44"/>
                    </w:rPr>
                  </w:pPr>
                  <w:r>
                    <w:rPr>
                      <w:bCs/>
                      <w:kern w:val="44"/>
                    </w:rPr>
                    <w:t>安全平台</w:t>
                  </w:r>
                </w:p>
              </w:tc>
              <w:tc>
                <w:tcPr>
                  <w:tcW w:w="866" w:type="pct"/>
                  <w:shd w:val="clear" w:color="auto" w:fill="auto"/>
                  <w:vAlign w:val="center"/>
                </w:tcPr>
                <w:p w14:paraId="4F135E2B">
                  <w:pPr>
                    <w:widowControl/>
                    <w:snapToGrid w:val="0"/>
                    <w:jc w:val="center"/>
                    <w:textAlignment w:val="center"/>
                    <w:rPr>
                      <w:bCs/>
                      <w:kern w:val="44"/>
                    </w:rPr>
                  </w:pPr>
                  <w:r>
                    <w:rPr>
                      <w:bCs/>
                      <w:kern w:val="44"/>
                    </w:rPr>
                    <w:t>m</w:t>
                  </w:r>
                </w:p>
              </w:tc>
              <w:tc>
                <w:tcPr>
                  <w:tcW w:w="879" w:type="pct"/>
                  <w:shd w:val="clear" w:color="auto" w:fill="auto"/>
                  <w:vAlign w:val="center"/>
                </w:tcPr>
                <w:p w14:paraId="652467EA">
                  <w:pPr>
                    <w:widowControl/>
                    <w:snapToGrid w:val="0"/>
                    <w:jc w:val="center"/>
                    <w:textAlignment w:val="center"/>
                    <w:rPr>
                      <w:bCs/>
                      <w:kern w:val="44"/>
                    </w:rPr>
                  </w:pPr>
                  <w:r>
                    <w:rPr>
                      <w:rFonts w:hint="eastAsia"/>
                      <w:bCs/>
                      <w:kern w:val="44"/>
                    </w:rPr>
                    <w:t>4</w:t>
                  </w:r>
                </w:p>
              </w:tc>
              <w:tc>
                <w:tcPr>
                  <w:tcW w:w="594" w:type="pct"/>
                  <w:vAlign w:val="center"/>
                </w:tcPr>
                <w:p w14:paraId="3CC02007">
                  <w:pPr>
                    <w:widowControl/>
                    <w:snapToGrid w:val="0"/>
                    <w:jc w:val="center"/>
                    <w:textAlignment w:val="center"/>
                    <w:rPr>
                      <w:bCs/>
                      <w:kern w:val="44"/>
                    </w:rPr>
                  </w:pPr>
                </w:p>
              </w:tc>
            </w:tr>
            <w:tr w14:paraId="453075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exact"/>
              </w:trPr>
              <w:tc>
                <w:tcPr>
                  <w:tcW w:w="554" w:type="pct"/>
                  <w:shd w:val="clear" w:color="auto" w:fill="auto"/>
                  <w:vAlign w:val="center"/>
                </w:tcPr>
                <w:p w14:paraId="0522B048">
                  <w:pPr>
                    <w:widowControl/>
                    <w:snapToGrid w:val="0"/>
                    <w:jc w:val="center"/>
                    <w:textAlignment w:val="center"/>
                    <w:rPr>
                      <w:bCs/>
                      <w:kern w:val="44"/>
                    </w:rPr>
                  </w:pPr>
                  <w:r>
                    <w:rPr>
                      <w:rFonts w:hint="eastAsia"/>
                      <w:bCs/>
                      <w:kern w:val="44"/>
                    </w:rPr>
                    <w:t>7</w:t>
                  </w:r>
                </w:p>
              </w:tc>
              <w:tc>
                <w:tcPr>
                  <w:tcW w:w="2105" w:type="pct"/>
                  <w:gridSpan w:val="3"/>
                  <w:shd w:val="clear" w:color="auto" w:fill="auto"/>
                  <w:vAlign w:val="center"/>
                </w:tcPr>
                <w:p w14:paraId="30AFFFE3">
                  <w:pPr>
                    <w:widowControl/>
                    <w:snapToGrid w:val="0"/>
                    <w:jc w:val="center"/>
                    <w:textAlignment w:val="center"/>
                    <w:rPr>
                      <w:bCs/>
                      <w:kern w:val="44"/>
                    </w:rPr>
                  </w:pPr>
                  <w:r>
                    <w:rPr>
                      <w:rFonts w:hint="eastAsia"/>
                      <w:bCs/>
                      <w:kern w:val="44"/>
                    </w:rPr>
                    <w:t>清扫平台</w:t>
                  </w:r>
                </w:p>
              </w:tc>
              <w:tc>
                <w:tcPr>
                  <w:tcW w:w="866" w:type="pct"/>
                  <w:shd w:val="clear" w:color="auto" w:fill="auto"/>
                  <w:vAlign w:val="center"/>
                </w:tcPr>
                <w:p w14:paraId="2740D312">
                  <w:pPr>
                    <w:widowControl/>
                    <w:snapToGrid w:val="0"/>
                    <w:jc w:val="center"/>
                    <w:textAlignment w:val="center"/>
                    <w:rPr>
                      <w:bCs/>
                      <w:kern w:val="44"/>
                    </w:rPr>
                  </w:pPr>
                  <w:r>
                    <w:rPr>
                      <w:rFonts w:hint="eastAsia"/>
                      <w:bCs/>
                      <w:kern w:val="44"/>
                    </w:rPr>
                    <w:t>m</w:t>
                  </w:r>
                </w:p>
              </w:tc>
              <w:tc>
                <w:tcPr>
                  <w:tcW w:w="879" w:type="pct"/>
                  <w:shd w:val="clear" w:color="auto" w:fill="auto"/>
                  <w:vAlign w:val="center"/>
                </w:tcPr>
                <w:p w14:paraId="4009D51E">
                  <w:pPr>
                    <w:widowControl/>
                    <w:snapToGrid w:val="0"/>
                    <w:jc w:val="center"/>
                    <w:textAlignment w:val="center"/>
                    <w:rPr>
                      <w:bCs/>
                      <w:kern w:val="44"/>
                    </w:rPr>
                  </w:pPr>
                  <w:r>
                    <w:rPr>
                      <w:rFonts w:hint="eastAsia"/>
                      <w:bCs/>
                      <w:kern w:val="44"/>
                    </w:rPr>
                    <w:t>6</w:t>
                  </w:r>
                </w:p>
              </w:tc>
              <w:tc>
                <w:tcPr>
                  <w:tcW w:w="594" w:type="pct"/>
                  <w:vAlign w:val="center"/>
                </w:tcPr>
                <w:p w14:paraId="5D9635B4">
                  <w:pPr>
                    <w:widowControl/>
                    <w:snapToGrid w:val="0"/>
                    <w:jc w:val="center"/>
                    <w:textAlignment w:val="center"/>
                    <w:rPr>
                      <w:bCs/>
                      <w:kern w:val="44"/>
                    </w:rPr>
                  </w:pPr>
                </w:p>
              </w:tc>
            </w:tr>
            <w:tr w14:paraId="0A40D7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exact"/>
              </w:trPr>
              <w:tc>
                <w:tcPr>
                  <w:tcW w:w="554" w:type="pct"/>
                  <w:vMerge w:val="restart"/>
                  <w:shd w:val="clear" w:color="auto" w:fill="auto"/>
                  <w:vAlign w:val="center"/>
                </w:tcPr>
                <w:p w14:paraId="6DD86F65">
                  <w:pPr>
                    <w:widowControl/>
                    <w:snapToGrid w:val="0"/>
                    <w:jc w:val="center"/>
                    <w:textAlignment w:val="center"/>
                    <w:rPr>
                      <w:bCs/>
                      <w:kern w:val="44"/>
                    </w:rPr>
                  </w:pPr>
                  <w:r>
                    <w:rPr>
                      <w:rFonts w:hint="eastAsia"/>
                      <w:bCs/>
                      <w:kern w:val="44"/>
                    </w:rPr>
                    <w:t>8</w:t>
                  </w:r>
                </w:p>
              </w:tc>
              <w:tc>
                <w:tcPr>
                  <w:tcW w:w="737" w:type="pct"/>
                  <w:vMerge w:val="restart"/>
                  <w:shd w:val="clear" w:color="auto" w:fill="auto"/>
                  <w:vAlign w:val="center"/>
                </w:tcPr>
                <w:p w14:paraId="0F6DE19C">
                  <w:pPr>
                    <w:widowControl/>
                    <w:snapToGrid w:val="0"/>
                    <w:jc w:val="center"/>
                    <w:textAlignment w:val="center"/>
                    <w:rPr>
                      <w:bCs/>
                      <w:kern w:val="44"/>
                    </w:rPr>
                  </w:pPr>
                  <w:r>
                    <w:rPr>
                      <w:bCs/>
                      <w:kern w:val="44"/>
                    </w:rPr>
                    <w:t>开采阶段</w:t>
                  </w:r>
                </w:p>
                <w:p w14:paraId="5439D244">
                  <w:pPr>
                    <w:widowControl/>
                    <w:snapToGrid w:val="0"/>
                    <w:jc w:val="center"/>
                    <w:textAlignment w:val="center"/>
                    <w:rPr>
                      <w:bCs/>
                      <w:kern w:val="44"/>
                    </w:rPr>
                  </w:pPr>
                  <w:r>
                    <w:rPr>
                      <w:bCs/>
                      <w:kern w:val="44"/>
                    </w:rPr>
                    <w:t>坡面角</w:t>
                  </w:r>
                </w:p>
              </w:tc>
              <w:tc>
                <w:tcPr>
                  <w:tcW w:w="1368" w:type="pct"/>
                  <w:gridSpan w:val="2"/>
                  <w:shd w:val="clear" w:color="auto" w:fill="auto"/>
                  <w:vAlign w:val="center"/>
                </w:tcPr>
                <w:p w14:paraId="442DEBC7">
                  <w:pPr>
                    <w:widowControl/>
                    <w:snapToGrid w:val="0"/>
                    <w:jc w:val="center"/>
                    <w:textAlignment w:val="center"/>
                    <w:rPr>
                      <w:bCs/>
                      <w:kern w:val="44"/>
                    </w:rPr>
                  </w:pPr>
                  <w:r>
                    <w:rPr>
                      <w:bCs/>
                      <w:kern w:val="44"/>
                    </w:rPr>
                    <w:t>剥离阶段坡面角</w:t>
                  </w:r>
                </w:p>
              </w:tc>
              <w:tc>
                <w:tcPr>
                  <w:tcW w:w="866" w:type="pct"/>
                  <w:shd w:val="clear" w:color="auto" w:fill="auto"/>
                  <w:vAlign w:val="center"/>
                </w:tcPr>
                <w:p w14:paraId="65BC760E">
                  <w:pPr>
                    <w:widowControl/>
                    <w:snapToGrid w:val="0"/>
                    <w:jc w:val="center"/>
                    <w:textAlignment w:val="center"/>
                    <w:rPr>
                      <w:bCs/>
                      <w:kern w:val="44"/>
                    </w:rPr>
                  </w:pPr>
                  <w:r>
                    <w:rPr>
                      <w:bCs/>
                      <w:kern w:val="44"/>
                    </w:rPr>
                    <w:t>度</w:t>
                  </w:r>
                </w:p>
              </w:tc>
              <w:tc>
                <w:tcPr>
                  <w:tcW w:w="879" w:type="pct"/>
                  <w:shd w:val="clear" w:color="auto" w:fill="auto"/>
                  <w:vAlign w:val="center"/>
                </w:tcPr>
                <w:p w14:paraId="51D5992F">
                  <w:pPr>
                    <w:widowControl/>
                    <w:snapToGrid w:val="0"/>
                    <w:jc w:val="center"/>
                    <w:textAlignment w:val="center"/>
                    <w:rPr>
                      <w:bCs/>
                      <w:kern w:val="44"/>
                    </w:rPr>
                  </w:pPr>
                  <w:r>
                    <w:rPr>
                      <w:rFonts w:hint="eastAsia"/>
                      <w:bCs/>
                      <w:kern w:val="44"/>
                    </w:rPr>
                    <w:t>75</w:t>
                  </w:r>
                </w:p>
              </w:tc>
              <w:tc>
                <w:tcPr>
                  <w:tcW w:w="594" w:type="pct"/>
                  <w:vAlign w:val="center"/>
                </w:tcPr>
                <w:p w14:paraId="45410C7E">
                  <w:pPr>
                    <w:widowControl/>
                    <w:snapToGrid w:val="0"/>
                    <w:jc w:val="center"/>
                    <w:textAlignment w:val="center"/>
                    <w:rPr>
                      <w:bCs/>
                      <w:kern w:val="44"/>
                    </w:rPr>
                  </w:pPr>
                </w:p>
              </w:tc>
            </w:tr>
            <w:tr w14:paraId="5CBA25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exact"/>
              </w:trPr>
              <w:tc>
                <w:tcPr>
                  <w:tcW w:w="554" w:type="pct"/>
                  <w:vMerge w:val="continue"/>
                  <w:shd w:val="clear" w:color="auto" w:fill="auto"/>
                  <w:vAlign w:val="center"/>
                </w:tcPr>
                <w:p w14:paraId="58E9D4BD">
                  <w:pPr>
                    <w:widowControl/>
                    <w:snapToGrid w:val="0"/>
                    <w:jc w:val="center"/>
                    <w:textAlignment w:val="center"/>
                    <w:rPr>
                      <w:bCs/>
                      <w:kern w:val="44"/>
                    </w:rPr>
                  </w:pPr>
                </w:p>
              </w:tc>
              <w:tc>
                <w:tcPr>
                  <w:tcW w:w="737" w:type="pct"/>
                  <w:vMerge w:val="continue"/>
                  <w:shd w:val="clear" w:color="auto" w:fill="auto"/>
                  <w:vAlign w:val="center"/>
                </w:tcPr>
                <w:p w14:paraId="3280DA33">
                  <w:pPr>
                    <w:widowControl/>
                    <w:snapToGrid w:val="0"/>
                    <w:jc w:val="center"/>
                    <w:textAlignment w:val="center"/>
                    <w:rPr>
                      <w:bCs/>
                      <w:kern w:val="44"/>
                    </w:rPr>
                  </w:pPr>
                </w:p>
              </w:tc>
              <w:tc>
                <w:tcPr>
                  <w:tcW w:w="1368" w:type="pct"/>
                  <w:gridSpan w:val="2"/>
                  <w:shd w:val="clear" w:color="auto" w:fill="auto"/>
                  <w:vAlign w:val="center"/>
                </w:tcPr>
                <w:p w14:paraId="2163208E">
                  <w:pPr>
                    <w:widowControl/>
                    <w:snapToGrid w:val="0"/>
                    <w:jc w:val="center"/>
                    <w:textAlignment w:val="center"/>
                    <w:rPr>
                      <w:bCs/>
                      <w:kern w:val="44"/>
                    </w:rPr>
                  </w:pPr>
                  <w:r>
                    <w:rPr>
                      <w:bCs/>
                      <w:kern w:val="44"/>
                    </w:rPr>
                    <w:t>开采阶段坡面角</w:t>
                  </w:r>
                </w:p>
              </w:tc>
              <w:tc>
                <w:tcPr>
                  <w:tcW w:w="866" w:type="pct"/>
                  <w:shd w:val="clear" w:color="auto" w:fill="auto"/>
                  <w:vAlign w:val="center"/>
                </w:tcPr>
                <w:p w14:paraId="75174EF5">
                  <w:pPr>
                    <w:widowControl/>
                    <w:snapToGrid w:val="0"/>
                    <w:jc w:val="center"/>
                    <w:textAlignment w:val="center"/>
                    <w:rPr>
                      <w:bCs/>
                      <w:kern w:val="44"/>
                    </w:rPr>
                  </w:pPr>
                  <w:r>
                    <w:rPr>
                      <w:bCs/>
                      <w:kern w:val="44"/>
                    </w:rPr>
                    <w:t>度</w:t>
                  </w:r>
                </w:p>
              </w:tc>
              <w:tc>
                <w:tcPr>
                  <w:tcW w:w="879" w:type="pct"/>
                  <w:shd w:val="clear" w:color="auto" w:fill="auto"/>
                  <w:vAlign w:val="center"/>
                </w:tcPr>
                <w:p w14:paraId="78072F81">
                  <w:pPr>
                    <w:widowControl/>
                    <w:snapToGrid w:val="0"/>
                    <w:jc w:val="center"/>
                    <w:textAlignment w:val="center"/>
                    <w:rPr>
                      <w:bCs/>
                      <w:kern w:val="44"/>
                    </w:rPr>
                  </w:pPr>
                  <w:r>
                    <w:rPr>
                      <w:rFonts w:hint="eastAsia"/>
                      <w:bCs/>
                      <w:kern w:val="44"/>
                    </w:rPr>
                    <w:t>90</w:t>
                  </w:r>
                </w:p>
              </w:tc>
              <w:tc>
                <w:tcPr>
                  <w:tcW w:w="594" w:type="pct"/>
                  <w:vAlign w:val="center"/>
                </w:tcPr>
                <w:p w14:paraId="37C62923">
                  <w:pPr>
                    <w:widowControl/>
                    <w:snapToGrid w:val="0"/>
                    <w:jc w:val="center"/>
                    <w:textAlignment w:val="center"/>
                    <w:rPr>
                      <w:bCs/>
                      <w:kern w:val="44"/>
                    </w:rPr>
                  </w:pPr>
                </w:p>
              </w:tc>
            </w:tr>
            <w:tr w14:paraId="737230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exact"/>
              </w:trPr>
              <w:tc>
                <w:tcPr>
                  <w:tcW w:w="554" w:type="pct"/>
                  <w:vMerge w:val="restart"/>
                  <w:shd w:val="clear" w:color="auto" w:fill="auto"/>
                  <w:vAlign w:val="center"/>
                </w:tcPr>
                <w:p w14:paraId="5DBC85A7">
                  <w:pPr>
                    <w:widowControl/>
                    <w:snapToGrid w:val="0"/>
                    <w:jc w:val="center"/>
                    <w:textAlignment w:val="center"/>
                    <w:rPr>
                      <w:bCs/>
                      <w:kern w:val="44"/>
                    </w:rPr>
                  </w:pPr>
                  <w:r>
                    <w:rPr>
                      <w:rFonts w:hint="eastAsia"/>
                      <w:bCs/>
                      <w:kern w:val="44"/>
                    </w:rPr>
                    <w:t>9</w:t>
                  </w:r>
                </w:p>
              </w:tc>
              <w:tc>
                <w:tcPr>
                  <w:tcW w:w="737" w:type="pct"/>
                  <w:vMerge w:val="restart"/>
                  <w:shd w:val="clear" w:color="auto" w:fill="auto"/>
                  <w:vAlign w:val="center"/>
                </w:tcPr>
                <w:p w14:paraId="42B7E3A3">
                  <w:pPr>
                    <w:widowControl/>
                    <w:snapToGrid w:val="0"/>
                    <w:jc w:val="center"/>
                    <w:textAlignment w:val="center"/>
                    <w:rPr>
                      <w:bCs/>
                      <w:kern w:val="44"/>
                    </w:rPr>
                  </w:pPr>
                  <w:r>
                    <w:rPr>
                      <w:bCs/>
                      <w:kern w:val="44"/>
                    </w:rPr>
                    <w:t>终了阶段</w:t>
                  </w:r>
                </w:p>
                <w:p w14:paraId="6813CB79">
                  <w:pPr>
                    <w:widowControl/>
                    <w:snapToGrid w:val="0"/>
                    <w:jc w:val="center"/>
                    <w:textAlignment w:val="center"/>
                    <w:rPr>
                      <w:bCs/>
                      <w:kern w:val="44"/>
                    </w:rPr>
                  </w:pPr>
                  <w:r>
                    <w:rPr>
                      <w:bCs/>
                      <w:kern w:val="44"/>
                    </w:rPr>
                    <w:t>坡面角</w:t>
                  </w:r>
                </w:p>
              </w:tc>
              <w:tc>
                <w:tcPr>
                  <w:tcW w:w="1368" w:type="pct"/>
                  <w:gridSpan w:val="2"/>
                  <w:shd w:val="clear" w:color="auto" w:fill="auto"/>
                  <w:vAlign w:val="center"/>
                </w:tcPr>
                <w:p w14:paraId="098DB8B9">
                  <w:pPr>
                    <w:widowControl/>
                    <w:snapToGrid w:val="0"/>
                    <w:jc w:val="center"/>
                    <w:textAlignment w:val="center"/>
                    <w:rPr>
                      <w:bCs/>
                      <w:kern w:val="44"/>
                    </w:rPr>
                  </w:pPr>
                  <w:r>
                    <w:rPr>
                      <w:bCs/>
                      <w:kern w:val="44"/>
                    </w:rPr>
                    <w:t>剥离终了阶段坡面角</w:t>
                  </w:r>
                </w:p>
              </w:tc>
              <w:tc>
                <w:tcPr>
                  <w:tcW w:w="866" w:type="pct"/>
                  <w:shd w:val="clear" w:color="auto" w:fill="auto"/>
                  <w:vAlign w:val="center"/>
                </w:tcPr>
                <w:p w14:paraId="20F8AA70">
                  <w:pPr>
                    <w:widowControl/>
                    <w:snapToGrid w:val="0"/>
                    <w:jc w:val="center"/>
                    <w:textAlignment w:val="center"/>
                    <w:rPr>
                      <w:bCs/>
                      <w:kern w:val="44"/>
                    </w:rPr>
                  </w:pPr>
                  <w:r>
                    <w:rPr>
                      <w:bCs/>
                      <w:kern w:val="44"/>
                    </w:rPr>
                    <w:t>度</w:t>
                  </w:r>
                </w:p>
              </w:tc>
              <w:tc>
                <w:tcPr>
                  <w:tcW w:w="879" w:type="pct"/>
                  <w:shd w:val="clear" w:color="auto" w:fill="auto"/>
                  <w:vAlign w:val="center"/>
                </w:tcPr>
                <w:p w14:paraId="63F35042">
                  <w:pPr>
                    <w:widowControl/>
                    <w:snapToGrid w:val="0"/>
                    <w:jc w:val="center"/>
                    <w:textAlignment w:val="center"/>
                    <w:rPr>
                      <w:bCs/>
                      <w:kern w:val="44"/>
                    </w:rPr>
                  </w:pPr>
                  <w:r>
                    <w:rPr>
                      <w:rFonts w:hint="eastAsia"/>
                      <w:bCs/>
                      <w:kern w:val="44"/>
                    </w:rPr>
                    <w:t>68</w:t>
                  </w:r>
                </w:p>
              </w:tc>
              <w:tc>
                <w:tcPr>
                  <w:tcW w:w="594" w:type="pct"/>
                  <w:vAlign w:val="center"/>
                </w:tcPr>
                <w:p w14:paraId="7A9DC025">
                  <w:pPr>
                    <w:widowControl/>
                    <w:snapToGrid w:val="0"/>
                    <w:jc w:val="center"/>
                    <w:textAlignment w:val="center"/>
                    <w:rPr>
                      <w:bCs/>
                      <w:kern w:val="44"/>
                    </w:rPr>
                  </w:pPr>
                </w:p>
              </w:tc>
            </w:tr>
            <w:tr w14:paraId="6DC044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exact"/>
              </w:trPr>
              <w:tc>
                <w:tcPr>
                  <w:tcW w:w="554" w:type="pct"/>
                  <w:vMerge w:val="continue"/>
                  <w:shd w:val="clear" w:color="auto" w:fill="auto"/>
                  <w:vAlign w:val="center"/>
                </w:tcPr>
                <w:p w14:paraId="67ADBA7A">
                  <w:pPr>
                    <w:widowControl/>
                    <w:snapToGrid w:val="0"/>
                    <w:jc w:val="center"/>
                    <w:textAlignment w:val="center"/>
                    <w:rPr>
                      <w:bCs/>
                      <w:kern w:val="44"/>
                    </w:rPr>
                  </w:pPr>
                </w:p>
              </w:tc>
              <w:tc>
                <w:tcPr>
                  <w:tcW w:w="737" w:type="pct"/>
                  <w:vMerge w:val="continue"/>
                  <w:shd w:val="clear" w:color="auto" w:fill="auto"/>
                  <w:vAlign w:val="center"/>
                </w:tcPr>
                <w:p w14:paraId="7ABCF807">
                  <w:pPr>
                    <w:widowControl/>
                    <w:snapToGrid w:val="0"/>
                    <w:jc w:val="center"/>
                    <w:textAlignment w:val="center"/>
                    <w:rPr>
                      <w:bCs/>
                      <w:kern w:val="44"/>
                    </w:rPr>
                  </w:pPr>
                </w:p>
              </w:tc>
              <w:tc>
                <w:tcPr>
                  <w:tcW w:w="1368" w:type="pct"/>
                  <w:gridSpan w:val="2"/>
                  <w:shd w:val="clear" w:color="auto" w:fill="auto"/>
                  <w:vAlign w:val="center"/>
                </w:tcPr>
                <w:p w14:paraId="680BAC65">
                  <w:pPr>
                    <w:widowControl/>
                    <w:snapToGrid w:val="0"/>
                    <w:jc w:val="center"/>
                    <w:textAlignment w:val="center"/>
                    <w:rPr>
                      <w:bCs/>
                      <w:kern w:val="44"/>
                    </w:rPr>
                  </w:pPr>
                  <w:r>
                    <w:rPr>
                      <w:bCs/>
                      <w:kern w:val="44"/>
                    </w:rPr>
                    <w:t>采矿终了阶段坡面角</w:t>
                  </w:r>
                </w:p>
              </w:tc>
              <w:tc>
                <w:tcPr>
                  <w:tcW w:w="866" w:type="pct"/>
                  <w:shd w:val="clear" w:color="auto" w:fill="auto"/>
                  <w:vAlign w:val="center"/>
                </w:tcPr>
                <w:p w14:paraId="5C2D7B9C">
                  <w:pPr>
                    <w:widowControl/>
                    <w:snapToGrid w:val="0"/>
                    <w:jc w:val="center"/>
                    <w:textAlignment w:val="center"/>
                    <w:rPr>
                      <w:bCs/>
                      <w:kern w:val="44"/>
                    </w:rPr>
                  </w:pPr>
                  <w:r>
                    <w:rPr>
                      <w:bCs/>
                      <w:kern w:val="44"/>
                    </w:rPr>
                    <w:t>度</w:t>
                  </w:r>
                </w:p>
              </w:tc>
              <w:tc>
                <w:tcPr>
                  <w:tcW w:w="879" w:type="pct"/>
                  <w:shd w:val="clear" w:color="auto" w:fill="auto"/>
                  <w:vAlign w:val="center"/>
                </w:tcPr>
                <w:p w14:paraId="38D10515">
                  <w:pPr>
                    <w:widowControl/>
                    <w:snapToGrid w:val="0"/>
                    <w:jc w:val="center"/>
                    <w:textAlignment w:val="center"/>
                    <w:rPr>
                      <w:bCs/>
                      <w:kern w:val="44"/>
                    </w:rPr>
                  </w:pPr>
                  <w:r>
                    <w:rPr>
                      <w:rFonts w:hint="eastAsia"/>
                      <w:bCs/>
                      <w:kern w:val="44"/>
                    </w:rPr>
                    <w:t>68</w:t>
                  </w:r>
                </w:p>
              </w:tc>
              <w:tc>
                <w:tcPr>
                  <w:tcW w:w="594" w:type="pct"/>
                  <w:vAlign w:val="center"/>
                </w:tcPr>
                <w:p w14:paraId="2D5D78BA">
                  <w:pPr>
                    <w:widowControl/>
                    <w:snapToGrid w:val="0"/>
                    <w:jc w:val="center"/>
                    <w:textAlignment w:val="center"/>
                    <w:rPr>
                      <w:bCs/>
                      <w:kern w:val="44"/>
                    </w:rPr>
                  </w:pPr>
                </w:p>
              </w:tc>
            </w:tr>
            <w:tr w14:paraId="2B3705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exact"/>
              </w:trPr>
              <w:tc>
                <w:tcPr>
                  <w:tcW w:w="554" w:type="pct"/>
                  <w:shd w:val="clear" w:color="auto" w:fill="auto"/>
                  <w:vAlign w:val="center"/>
                </w:tcPr>
                <w:p w14:paraId="317898F7">
                  <w:pPr>
                    <w:widowControl/>
                    <w:snapToGrid w:val="0"/>
                    <w:jc w:val="center"/>
                    <w:textAlignment w:val="center"/>
                    <w:rPr>
                      <w:bCs/>
                      <w:kern w:val="44"/>
                    </w:rPr>
                  </w:pPr>
                  <w:r>
                    <w:rPr>
                      <w:rFonts w:hint="eastAsia"/>
                      <w:bCs/>
                      <w:kern w:val="44"/>
                    </w:rPr>
                    <w:t>10</w:t>
                  </w:r>
                </w:p>
              </w:tc>
              <w:tc>
                <w:tcPr>
                  <w:tcW w:w="2105" w:type="pct"/>
                  <w:gridSpan w:val="3"/>
                  <w:shd w:val="clear" w:color="auto" w:fill="auto"/>
                  <w:vAlign w:val="center"/>
                </w:tcPr>
                <w:p w14:paraId="148C5B94">
                  <w:pPr>
                    <w:widowControl/>
                    <w:snapToGrid w:val="0"/>
                    <w:jc w:val="center"/>
                    <w:textAlignment w:val="center"/>
                    <w:rPr>
                      <w:bCs/>
                      <w:kern w:val="44"/>
                      <w:szCs w:val="21"/>
                    </w:rPr>
                  </w:pPr>
                  <w:r>
                    <w:rPr>
                      <w:bCs/>
                      <w:kern w:val="44"/>
                      <w:szCs w:val="21"/>
                    </w:rPr>
                    <w:t>最终边坡角</w:t>
                  </w:r>
                </w:p>
              </w:tc>
              <w:tc>
                <w:tcPr>
                  <w:tcW w:w="866" w:type="pct"/>
                  <w:shd w:val="clear" w:color="auto" w:fill="auto"/>
                  <w:vAlign w:val="center"/>
                </w:tcPr>
                <w:p w14:paraId="1ACB16E2">
                  <w:pPr>
                    <w:widowControl/>
                    <w:snapToGrid w:val="0"/>
                    <w:jc w:val="center"/>
                    <w:textAlignment w:val="center"/>
                    <w:rPr>
                      <w:bCs/>
                      <w:kern w:val="44"/>
                      <w:szCs w:val="21"/>
                    </w:rPr>
                  </w:pPr>
                  <w:r>
                    <w:rPr>
                      <w:bCs/>
                      <w:kern w:val="44"/>
                      <w:szCs w:val="21"/>
                    </w:rPr>
                    <w:t>度</w:t>
                  </w:r>
                </w:p>
              </w:tc>
              <w:tc>
                <w:tcPr>
                  <w:tcW w:w="879" w:type="pct"/>
                  <w:shd w:val="clear" w:color="auto" w:fill="auto"/>
                  <w:vAlign w:val="center"/>
                </w:tcPr>
                <w:p w14:paraId="638ECD40">
                  <w:pPr>
                    <w:widowControl/>
                    <w:tabs>
                      <w:tab w:val="left" w:pos="540"/>
                    </w:tabs>
                    <w:snapToGrid w:val="0"/>
                    <w:jc w:val="center"/>
                    <w:rPr>
                      <w:bCs/>
                      <w:kern w:val="44"/>
                      <w:szCs w:val="21"/>
                    </w:rPr>
                  </w:pPr>
                  <w:r>
                    <w:rPr>
                      <w:szCs w:val="21"/>
                    </w:rPr>
                    <w:t>46-58</w:t>
                  </w:r>
                </w:p>
              </w:tc>
              <w:tc>
                <w:tcPr>
                  <w:tcW w:w="594" w:type="pct"/>
                  <w:vAlign w:val="center"/>
                </w:tcPr>
                <w:p w14:paraId="04785910">
                  <w:pPr>
                    <w:widowControl/>
                    <w:snapToGrid w:val="0"/>
                    <w:jc w:val="center"/>
                    <w:textAlignment w:val="center"/>
                    <w:rPr>
                      <w:kern w:val="0"/>
                    </w:rPr>
                  </w:pPr>
                </w:p>
              </w:tc>
            </w:tr>
            <w:tr w14:paraId="18F86C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exact"/>
              </w:trPr>
              <w:tc>
                <w:tcPr>
                  <w:tcW w:w="554" w:type="pct"/>
                  <w:shd w:val="clear" w:color="auto" w:fill="auto"/>
                  <w:vAlign w:val="center"/>
                </w:tcPr>
                <w:p w14:paraId="759B5EF2">
                  <w:pPr>
                    <w:widowControl/>
                    <w:snapToGrid w:val="0"/>
                    <w:jc w:val="center"/>
                    <w:textAlignment w:val="center"/>
                    <w:rPr>
                      <w:bCs/>
                      <w:kern w:val="44"/>
                    </w:rPr>
                  </w:pPr>
                  <w:r>
                    <w:rPr>
                      <w:rFonts w:hint="eastAsia"/>
                      <w:bCs/>
                      <w:kern w:val="44"/>
                    </w:rPr>
                    <w:t>11</w:t>
                  </w:r>
                </w:p>
              </w:tc>
              <w:tc>
                <w:tcPr>
                  <w:tcW w:w="2105" w:type="pct"/>
                  <w:gridSpan w:val="3"/>
                  <w:shd w:val="clear" w:color="auto" w:fill="auto"/>
                  <w:vAlign w:val="center"/>
                </w:tcPr>
                <w:p w14:paraId="2FF412DA">
                  <w:pPr>
                    <w:widowControl/>
                    <w:snapToGrid w:val="0"/>
                    <w:jc w:val="center"/>
                    <w:textAlignment w:val="center"/>
                    <w:rPr>
                      <w:bCs/>
                      <w:kern w:val="44"/>
                      <w:szCs w:val="21"/>
                    </w:rPr>
                  </w:pPr>
                  <w:r>
                    <w:rPr>
                      <w:bCs/>
                      <w:kern w:val="44"/>
                      <w:szCs w:val="21"/>
                    </w:rPr>
                    <w:t>生产规模</w:t>
                  </w:r>
                </w:p>
              </w:tc>
              <w:tc>
                <w:tcPr>
                  <w:tcW w:w="866" w:type="pct"/>
                  <w:shd w:val="clear" w:color="auto" w:fill="auto"/>
                  <w:vAlign w:val="center"/>
                </w:tcPr>
                <w:p w14:paraId="57F760A7">
                  <w:pPr>
                    <w:widowControl/>
                    <w:snapToGrid w:val="0"/>
                    <w:jc w:val="center"/>
                    <w:textAlignment w:val="center"/>
                    <w:rPr>
                      <w:bCs/>
                      <w:kern w:val="44"/>
                      <w:szCs w:val="21"/>
                    </w:rPr>
                  </w:pPr>
                  <w:r>
                    <w:rPr>
                      <w:bCs/>
                      <w:kern w:val="44"/>
                      <w:szCs w:val="21"/>
                    </w:rPr>
                    <w:t>万</w:t>
                  </w:r>
                  <w:r>
                    <w:rPr>
                      <w:bCs/>
                      <w:szCs w:val="21"/>
                    </w:rPr>
                    <w:t>m</w:t>
                  </w:r>
                  <w:r>
                    <w:rPr>
                      <w:bCs/>
                      <w:szCs w:val="21"/>
                      <w:vertAlign w:val="superscript"/>
                    </w:rPr>
                    <w:t>3</w:t>
                  </w:r>
                  <w:r>
                    <w:rPr>
                      <w:bCs/>
                      <w:kern w:val="44"/>
                      <w:szCs w:val="21"/>
                    </w:rPr>
                    <w:t>/年</w:t>
                  </w:r>
                </w:p>
              </w:tc>
              <w:tc>
                <w:tcPr>
                  <w:tcW w:w="879" w:type="pct"/>
                  <w:shd w:val="clear" w:color="auto" w:fill="auto"/>
                  <w:vAlign w:val="center"/>
                </w:tcPr>
                <w:p w14:paraId="43339256">
                  <w:pPr>
                    <w:widowControl/>
                    <w:snapToGrid w:val="0"/>
                    <w:jc w:val="center"/>
                    <w:textAlignment w:val="center"/>
                    <w:rPr>
                      <w:bCs/>
                      <w:kern w:val="44"/>
                      <w:szCs w:val="21"/>
                    </w:rPr>
                  </w:pPr>
                  <w:r>
                    <w:rPr>
                      <w:rFonts w:hint="eastAsia"/>
                      <w:bCs/>
                      <w:kern w:val="44"/>
                      <w:szCs w:val="21"/>
                    </w:rPr>
                    <w:t>2</w:t>
                  </w:r>
                </w:p>
              </w:tc>
              <w:tc>
                <w:tcPr>
                  <w:tcW w:w="594" w:type="pct"/>
                  <w:vAlign w:val="center"/>
                </w:tcPr>
                <w:p w14:paraId="39716921">
                  <w:pPr>
                    <w:widowControl/>
                    <w:snapToGrid w:val="0"/>
                    <w:jc w:val="center"/>
                    <w:textAlignment w:val="center"/>
                    <w:rPr>
                      <w:kern w:val="0"/>
                    </w:rPr>
                  </w:pPr>
                </w:p>
              </w:tc>
            </w:tr>
            <w:tr w14:paraId="54165E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exact"/>
              </w:trPr>
              <w:tc>
                <w:tcPr>
                  <w:tcW w:w="554" w:type="pct"/>
                  <w:shd w:val="clear" w:color="auto" w:fill="auto"/>
                  <w:vAlign w:val="center"/>
                </w:tcPr>
                <w:p w14:paraId="5DDACBA3">
                  <w:pPr>
                    <w:widowControl/>
                    <w:snapToGrid w:val="0"/>
                    <w:jc w:val="center"/>
                    <w:textAlignment w:val="center"/>
                    <w:rPr>
                      <w:bCs/>
                      <w:kern w:val="44"/>
                    </w:rPr>
                  </w:pPr>
                  <w:r>
                    <w:rPr>
                      <w:rFonts w:hint="eastAsia"/>
                      <w:bCs/>
                      <w:kern w:val="44"/>
                    </w:rPr>
                    <w:t>12</w:t>
                  </w:r>
                </w:p>
              </w:tc>
              <w:tc>
                <w:tcPr>
                  <w:tcW w:w="2105" w:type="pct"/>
                  <w:gridSpan w:val="3"/>
                  <w:shd w:val="clear" w:color="auto" w:fill="auto"/>
                  <w:vAlign w:val="center"/>
                </w:tcPr>
                <w:p w14:paraId="3DA1FD1B">
                  <w:pPr>
                    <w:widowControl/>
                    <w:snapToGrid w:val="0"/>
                    <w:jc w:val="center"/>
                    <w:textAlignment w:val="center"/>
                    <w:rPr>
                      <w:bCs/>
                      <w:kern w:val="44"/>
                      <w:szCs w:val="21"/>
                    </w:rPr>
                  </w:pPr>
                  <w:r>
                    <w:rPr>
                      <w:bCs/>
                      <w:kern w:val="44"/>
                      <w:szCs w:val="21"/>
                    </w:rPr>
                    <w:t>总服务年限</w:t>
                  </w:r>
                </w:p>
              </w:tc>
              <w:tc>
                <w:tcPr>
                  <w:tcW w:w="866" w:type="pct"/>
                  <w:shd w:val="clear" w:color="auto" w:fill="auto"/>
                  <w:vAlign w:val="center"/>
                </w:tcPr>
                <w:p w14:paraId="57C5FAE7">
                  <w:pPr>
                    <w:widowControl/>
                    <w:snapToGrid w:val="0"/>
                    <w:jc w:val="center"/>
                    <w:textAlignment w:val="center"/>
                    <w:rPr>
                      <w:bCs/>
                      <w:kern w:val="44"/>
                      <w:szCs w:val="21"/>
                    </w:rPr>
                  </w:pPr>
                  <w:r>
                    <w:rPr>
                      <w:bCs/>
                      <w:kern w:val="44"/>
                      <w:szCs w:val="21"/>
                    </w:rPr>
                    <w:t>年</w:t>
                  </w:r>
                </w:p>
              </w:tc>
              <w:tc>
                <w:tcPr>
                  <w:tcW w:w="879" w:type="pct"/>
                  <w:shd w:val="clear" w:color="auto" w:fill="auto"/>
                  <w:vAlign w:val="center"/>
                </w:tcPr>
                <w:p w14:paraId="6C85262D">
                  <w:pPr>
                    <w:widowControl/>
                    <w:snapToGrid w:val="0"/>
                    <w:jc w:val="center"/>
                    <w:textAlignment w:val="center"/>
                    <w:rPr>
                      <w:bCs/>
                      <w:kern w:val="44"/>
                      <w:szCs w:val="21"/>
                    </w:rPr>
                  </w:pPr>
                  <w:r>
                    <w:rPr>
                      <w:rFonts w:hint="eastAsia"/>
                      <w:bCs/>
                      <w:kern w:val="44"/>
                      <w:szCs w:val="21"/>
                    </w:rPr>
                    <w:t>14.46</w:t>
                  </w:r>
                </w:p>
              </w:tc>
              <w:tc>
                <w:tcPr>
                  <w:tcW w:w="594" w:type="pct"/>
                  <w:vAlign w:val="center"/>
                </w:tcPr>
                <w:p w14:paraId="1A299EDA">
                  <w:pPr>
                    <w:widowControl/>
                    <w:snapToGrid w:val="0"/>
                    <w:jc w:val="center"/>
                    <w:textAlignment w:val="center"/>
                    <w:rPr>
                      <w:kern w:val="0"/>
                    </w:rPr>
                  </w:pPr>
                </w:p>
              </w:tc>
            </w:tr>
            <w:tr w14:paraId="0E7C72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exact"/>
              </w:trPr>
              <w:tc>
                <w:tcPr>
                  <w:tcW w:w="554" w:type="pct"/>
                  <w:vMerge w:val="restart"/>
                  <w:shd w:val="clear" w:color="auto" w:fill="auto"/>
                  <w:vAlign w:val="center"/>
                </w:tcPr>
                <w:p w14:paraId="780B28A8">
                  <w:pPr>
                    <w:widowControl/>
                    <w:snapToGrid w:val="0"/>
                    <w:jc w:val="center"/>
                    <w:textAlignment w:val="center"/>
                    <w:rPr>
                      <w:bCs/>
                      <w:kern w:val="44"/>
                    </w:rPr>
                  </w:pPr>
                  <w:r>
                    <w:rPr>
                      <w:rFonts w:hint="eastAsia"/>
                      <w:bCs/>
                      <w:kern w:val="44"/>
                    </w:rPr>
                    <w:t>13</w:t>
                  </w:r>
                </w:p>
              </w:tc>
              <w:tc>
                <w:tcPr>
                  <w:tcW w:w="1052" w:type="pct"/>
                  <w:gridSpan w:val="2"/>
                  <w:vMerge w:val="restart"/>
                  <w:shd w:val="clear" w:color="auto" w:fill="auto"/>
                  <w:vAlign w:val="center"/>
                </w:tcPr>
                <w:p w14:paraId="4C1EF836">
                  <w:pPr>
                    <w:widowControl/>
                    <w:snapToGrid w:val="0"/>
                    <w:jc w:val="center"/>
                    <w:textAlignment w:val="center"/>
                    <w:rPr>
                      <w:bCs/>
                      <w:kern w:val="44"/>
                      <w:szCs w:val="21"/>
                    </w:rPr>
                  </w:pPr>
                  <w:r>
                    <w:rPr>
                      <w:bCs/>
                      <w:kern w:val="44"/>
                      <w:szCs w:val="21"/>
                    </w:rPr>
                    <w:t>境界剥采比</w:t>
                  </w:r>
                </w:p>
              </w:tc>
              <w:tc>
                <w:tcPr>
                  <w:tcW w:w="1053" w:type="pct"/>
                  <w:shd w:val="clear" w:color="auto" w:fill="auto"/>
                  <w:vAlign w:val="center"/>
                </w:tcPr>
                <w:p w14:paraId="5714E291">
                  <w:pPr>
                    <w:widowControl/>
                    <w:snapToGrid w:val="0"/>
                    <w:jc w:val="center"/>
                    <w:textAlignment w:val="center"/>
                    <w:rPr>
                      <w:bCs/>
                      <w:kern w:val="44"/>
                      <w:szCs w:val="21"/>
                    </w:rPr>
                  </w:pPr>
                  <w:r>
                    <w:rPr>
                      <w:szCs w:val="21"/>
                    </w:rPr>
                    <w:t>外剥采比</w:t>
                  </w:r>
                </w:p>
              </w:tc>
              <w:tc>
                <w:tcPr>
                  <w:tcW w:w="866" w:type="pct"/>
                  <w:shd w:val="clear" w:color="auto" w:fill="auto"/>
                  <w:vAlign w:val="center"/>
                </w:tcPr>
                <w:p w14:paraId="07B0C450">
                  <w:pPr>
                    <w:widowControl/>
                    <w:snapToGrid w:val="0"/>
                    <w:jc w:val="center"/>
                    <w:textAlignment w:val="center"/>
                    <w:rPr>
                      <w:bCs/>
                      <w:kern w:val="44"/>
                      <w:szCs w:val="21"/>
                    </w:rPr>
                  </w:pPr>
                  <w:r>
                    <w:rPr>
                      <w:bCs/>
                      <w:kern w:val="44"/>
                      <w:szCs w:val="21"/>
                    </w:rPr>
                    <w:t>m</w:t>
                  </w:r>
                  <w:r>
                    <w:rPr>
                      <w:bCs/>
                      <w:kern w:val="44"/>
                      <w:szCs w:val="21"/>
                      <w:vertAlign w:val="superscript"/>
                    </w:rPr>
                    <w:t>3</w:t>
                  </w:r>
                  <w:r>
                    <w:rPr>
                      <w:bCs/>
                      <w:kern w:val="44"/>
                      <w:szCs w:val="21"/>
                    </w:rPr>
                    <w:t>/m</w:t>
                  </w:r>
                  <w:r>
                    <w:rPr>
                      <w:bCs/>
                      <w:kern w:val="44"/>
                      <w:szCs w:val="21"/>
                      <w:vertAlign w:val="superscript"/>
                    </w:rPr>
                    <w:t>3</w:t>
                  </w:r>
                </w:p>
              </w:tc>
              <w:tc>
                <w:tcPr>
                  <w:tcW w:w="879" w:type="pct"/>
                  <w:shd w:val="clear" w:color="auto" w:fill="auto"/>
                  <w:vAlign w:val="center"/>
                </w:tcPr>
                <w:p w14:paraId="23ECE569">
                  <w:pPr>
                    <w:widowControl/>
                    <w:snapToGrid w:val="0"/>
                    <w:jc w:val="center"/>
                    <w:textAlignment w:val="center"/>
                    <w:rPr>
                      <w:bCs/>
                      <w:kern w:val="44"/>
                      <w:szCs w:val="21"/>
                    </w:rPr>
                  </w:pPr>
                  <w:r>
                    <w:rPr>
                      <w:rFonts w:hint="eastAsia"/>
                      <w:bCs/>
                      <w:kern w:val="44"/>
                      <w:szCs w:val="21"/>
                    </w:rPr>
                    <w:t>10.43</w:t>
                  </w:r>
                </w:p>
              </w:tc>
              <w:tc>
                <w:tcPr>
                  <w:tcW w:w="594" w:type="pct"/>
                  <w:vAlign w:val="center"/>
                </w:tcPr>
                <w:p w14:paraId="210EE70B">
                  <w:pPr>
                    <w:widowControl/>
                    <w:snapToGrid w:val="0"/>
                    <w:jc w:val="center"/>
                    <w:textAlignment w:val="center"/>
                    <w:rPr>
                      <w:kern w:val="0"/>
                    </w:rPr>
                  </w:pPr>
                </w:p>
              </w:tc>
            </w:tr>
            <w:tr w14:paraId="0385EA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exact"/>
              </w:trPr>
              <w:tc>
                <w:tcPr>
                  <w:tcW w:w="554" w:type="pct"/>
                  <w:vMerge w:val="continue"/>
                  <w:shd w:val="clear" w:color="auto" w:fill="auto"/>
                  <w:vAlign w:val="center"/>
                </w:tcPr>
                <w:p w14:paraId="3DA90BEE">
                  <w:pPr>
                    <w:widowControl/>
                    <w:snapToGrid w:val="0"/>
                    <w:jc w:val="center"/>
                    <w:textAlignment w:val="center"/>
                    <w:rPr>
                      <w:bCs/>
                      <w:kern w:val="44"/>
                    </w:rPr>
                  </w:pPr>
                </w:p>
              </w:tc>
              <w:tc>
                <w:tcPr>
                  <w:tcW w:w="1052" w:type="pct"/>
                  <w:gridSpan w:val="2"/>
                  <w:vMerge w:val="continue"/>
                  <w:shd w:val="clear" w:color="auto" w:fill="auto"/>
                  <w:vAlign w:val="center"/>
                </w:tcPr>
                <w:p w14:paraId="114804E1">
                  <w:pPr>
                    <w:widowControl/>
                    <w:snapToGrid w:val="0"/>
                    <w:jc w:val="center"/>
                    <w:textAlignment w:val="center"/>
                    <w:rPr>
                      <w:bCs/>
                      <w:kern w:val="44"/>
                      <w:szCs w:val="21"/>
                    </w:rPr>
                  </w:pPr>
                </w:p>
              </w:tc>
              <w:tc>
                <w:tcPr>
                  <w:tcW w:w="1053" w:type="pct"/>
                  <w:shd w:val="clear" w:color="auto" w:fill="auto"/>
                  <w:vAlign w:val="center"/>
                </w:tcPr>
                <w:p w14:paraId="169FD804">
                  <w:pPr>
                    <w:widowControl/>
                    <w:snapToGrid w:val="0"/>
                    <w:jc w:val="center"/>
                    <w:textAlignment w:val="center"/>
                    <w:rPr>
                      <w:bCs/>
                      <w:kern w:val="44"/>
                      <w:szCs w:val="21"/>
                    </w:rPr>
                  </w:pPr>
                  <w:r>
                    <w:rPr>
                      <w:szCs w:val="21"/>
                    </w:rPr>
                    <w:t>内剥采比</w:t>
                  </w:r>
                </w:p>
              </w:tc>
              <w:tc>
                <w:tcPr>
                  <w:tcW w:w="866" w:type="pct"/>
                  <w:shd w:val="clear" w:color="auto" w:fill="auto"/>
                  <w:vAlign w:val="center"/>
                </w:tcPr>
                <w:p w14:paraId="3E3C20D4">
                  <w:pPr>
                    <w:widowControl/>
                    <w:snapToGrid w:val="0"/>
                    <w:jc w:val="center"/>
                    <w:textAlignment w:val="center"/>
                    <w:rPr>
                      <w:bCs/>
                      <w:kern w:val="44"/>
                      <w:szCs w:val="21"/>
                    </w:rPr>
                  </w:pPr>
                  <w:r>
                    <w:rPr>
                      <w:bCs/>
                      <w:kern w:val="44"/>
                      <w:szCs w:val="21"/>
                    </w:rPr>
                    <w:t>m</w:t>
                  </w:r>
                  <w:r>
                    <w:rPr>
                      <w:bCs/>
                      <w:kern w:val="44"/>
                      <w:szCs w:val="21"/>
                      <w:vertAlign w:val="superscript"/>
                    </w:rPr>
                    <w:t>3</w:t>
                  </w:r>
                  <w:r>
                    <w:rPr>
                      <w:bCs/>
                      <w:kern w:val="44"/>
                      <w:szCs w:val="21"/>
                    </w:rPr>
                    <w:t>/m</w:t>
                  </w:r>
                  <w:r>
                    <w:rPr>
                      <w:bCs/>
                      <w:kern w:val="44"/>
                      <w:szCs w:val="21"/>
                      <w:vertAlign w:val="superscript"/>
                    </w:rPr>
                    <w:t>3</w:t>
                  </w:r>
                </w:p>
              </w:tc>
              <w:tc>
                <w:tcPr>
                  <w:tcW w:w="879" w:type="pct"/>
                  <w:shd w:val="clear" w:color="auto" w:fill="auto"/>
                  <w:vAlign w:val="center"/>
                </w:tcPr>
                <w:p w14:paraId="234DCD84">
                  <w:pPr>
                    <w:widowControl/>
                    <w:snapToGrid w:val="0"/>
                    <w:jc w:val="center"/>
                    <w:textAlignment w:val="center"/>
                    <w:rPr>
                      <w:bCs/>
                      <w:kern w:val="44"/>
                      <w:szCs w:val="21"/>
                    </w:rPr>
                  </w:pPr>
                  <w:r>
                    <w:rPr>
                      <w:szCs w:val="21"/>
                    </w:rPr>
                    <w:t>10.63</w:t>
                  </w:r>
                </w:p>
              </w:tc>
              <w:tc>
                <w:tcPr>
                  <w:tcW w:w="594" w:type="pct"/>
                  <w:vAlign w:val="center"/>
                </w:tcPr>
                <w:p w14:paraId="63C62EC1">
                  <w:pPr>
                    <w:widowControl/>
                    <w:snapToGrid w:val="0"/>
                    <w:jc w:val="center"/>
                    <w:textAlignment w:val="center"/>
                    <w:rPr>
                      <w:kern w:val="0"/>
                    </w:rPr>
                  </w:pPr>
                </w:p>
              </w:tc>
            </w:tr>
            <w:tr w14:paraId="0B075B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exact"/>
              </w:trPr>
              <w:tc>
                <w:tcPr>
                  <w:tcW w:w="554" w:type="pct"/>
                  <w:vMerge w:val="continue"/>
                  <w:shd w:val="clear" w:color="auto" w:fill="auto"/>
                  <w:vAlign w:val="center"/>
                </w:tcPr>
                <w:p w14:paraId="057E7484">
                  <w:pPr>
                    <w:widowControl/>
                    <w:snapToGrid w:val="0"/>
                    <w:jc w:val="center"/>
                    <w:textAlignment w:val="center"/>
                    <w:rPr>
                      <w:bCs/>
                      <w:kern w:val="44"/>
                    </w:rPr>
                  </w:pPr>
                </w:p>
              </w:tc>
              <w:tc>
                <w:tcPr>
                  <w:tcW w:w="1052" w:type="pct"/>
                  <w:gridSpan w:val="2"/>
                  <w:vMerge w:val="continue"/>
                  <w:shd w:val="clear" w:color="auto" w:fill="auto"/>
                  <w:vAlign w:val="center"/>
                </w:tcPr>
                <w:p w14:paraId="2AAB93F3">
                  <w:pPr>
                    <w:widowControl/>
                    <w:snapToGrid w:val="0"/>
                    <w:jc w:val="center"/>
                    <w:textAlignment w:val="center"/>
                    <w:rPr>
                      <w:bCs/>
                      <w:kern w:val="44"/>
                      <w:szCs w:val="21"/>
                    </w:rPr>
                  </w:pPr>
                </w:p>
              </w:tc>
              <w:tc>
                <w:tcPr>
                  <w:tcW w:w="1053" w:type="pct"/>
                  <w:shd w:val="clear" w:color="auto" w:fill="auto"/>
                  <w:vAlign w:val="center"/>
                </w:tcPr>
                <w:p w14:paraId="6AE8E197">
                  <w:pPr>
                    <w:widowControl/>
                    <w:snapToGrid w:val="0"/>
                    <w:jc w:val="center"/>
                    <w:textAlignment w:val="center"/>
                    <w:rPr>
                      <w:bCs/>
                      <w:kern w:val="44"/>
                      <w:szCs w:val="21"/>
                    </w:rPr>
                  </w:pPr>
                  <w:r>
                    <w:rPr>
                      <w:szCs w:val="21"/>
                    </w:rPr>
                    <w:t>总剥采比</w:t>
                  </w:r>
                </w:p>
              </w:tc>
              <w:tc>
                <w:tcPr>
                  <w:tcW w:w="866" w:type="pct"/>
                  <w:shd w:val="clear" w:color="auto" w:fill="auto"/>
                  <w:vAlign w:val="center"/>
                </w:tcPr>
                <w:p w14:paraId="66CB4F36">
                  <w:pPr>
                    <w:widowControl/>
                    <w:snapToGrid w:val="0"/>
                    <w:jc w:val="center"/>
                    <w:textAlignment w:val="center"/>
                    <w:rPr>
                      <w:bCs/>
                      <w:kern w:val="44"/>
                      <w:szCs w:val="21"/>
                    </w:rPr>
                  </w:pPr>
                  <w:r>
                    <w:rPr>
                      <w:bCs/>
                      <w:kern w:val="44"/>
                      <w:szCs w:val="21"/>
                    </w:rPr>
                    <w:t>m</w:t>
                  </w:r>
                  <w:r>
                    <w:rPr>
                      <w:bCs/>
                      <w:kern w:val="44"/>
                      <w:szCs w:val="21"/>
                      <w:vertAlign w:val="superscript"/>
                    </w:rPr>
                    <w:t>3</w:t>
                  </w:r>
                  <w:r>
                    <w:rPr>
                      <w:bCs/>
                      <w:kern w:val="44"/>
                      <w:szCs w:val="21"/>
                    </w:rPr>
                    <w:t>/m</w:t>
                  </w:r>
                  <w:r>
                    <w:rPr>
                      <w:bCs/>
                      <w:kern w:val="44"/>
                      <w:szCs w:val="21"/>
                      <w:vertAlign w:val="superscript"/>
                    </w:rPr>
                    <w:t>3</w:t>
                  </w:r>
                </w:p>
              </w:tc>
              <w:tc>
                <w:tcPr>
                  <w:tcW w:w="879" w:type="pct"/>
                  <w:shd w:val="clear" w:color="auto" w:fill="auto"/>
                  <w:vAlign w:val="center"/>
                </w:tcPr>
                <w:p w14:paraId="7A4336B4">
                  <w:pPr>
                    <w:widowControl/>
                    <w:snapToGrid w:val="0"/>
                    <w:jc w:val="center"/>
                    <w:textAlignment w:val="center"/>
                    <w:rPr>
                      <w:bCs/>
                      <w:kern w:val="44"/>
                      <w:szCs w:val="21"/>
                    </w:rPr>
                  </w:pPr>
                  <w:r>
                    <w:rPr>
                      <w:szCs w:val="21"/>
                    </w:rPr>
                    <w:t>21.06</w:t>
                  </w:r>
                </w:p>
              </w:tc>
              <w:tc>
                <w:tcPr>
                  <w:tcW w:w="594" w:type="pct"/>
                  <w:vAlign w:val="center"/>
                </w:tcPr>
                <w:p w14:paraId="221FB0ED">
                  <w:pPr>
                    <w:widowControl/>
                    <w:snapToGrid w:val="0"/>
                    <w:jc w:val="center"/>
                    <w:textAlignment w:val="center"/>
                    <w:rPr>
                      <w:kern w:val="0"/>
                    </w:rPr>
                  </w:pPr>
                </w:p>
              </w:tc>
            </w:tr>
            <w:tr w14:paraId="6E84B3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exact"/>
              </w:trPr>
              <w:tc>
                <w:tcPr>
                  <w:tcW w:w="554" w:type="pct"/>
                  <w:shd w:val="clear" w:color="auto" w:fill="auto"/>
                  <w:vAlign w:val="center"/>
                </w:tcPr>
                <w:p w14:paraId="0E90B782">
                  <w:pPr>
                    <w:widowControl/>
                    <w:snapToGrid w:val="0"/>
                    <w:jc w:val="center"/>
                    <w:textAlignment w:val="center"/>
                    <w:rPr>
                      <w:bCs/>
                      <w:kern w:val="44"/>
                    </w:rPr>
                  </w:pPr>
                  <w:r>
                    <w:rPr>
                      <w:rFonts w:hint="eastAsia"/>
                      <w:bCs/>
                      <w:kern w:val="44"/>
                    </w:rPr>
                    <w:t>14</w:t>
                  </w:r>
                </w:p>
              </w:tc>
              <w:tc>
                <w:tcPr>
                  <w:tcW w:w="2105" w:type="pct"/>
                  <w:gridSpan w:val="3"/>
                  <w:shd w:val="clear" w:color="auto" w:fill="auto"/>
                  <w:vAlign w:val="center"/>
                </w:tcPr>
                <w:p w14:paraId="2FF3656E">
                  <w:pPr>
                    <w:widowControl/>
                    <w:snapToGrid w:val="0"/>
                    <w:jc w:val="center"/>
                    <w:textAlignment w:val="center"/>
                    <w:rPr>
                      <w:bCs/>
                      <w:kern w:val="44"/>
                      <w:szCs w:val="21"/>
                    </w:rPr>
                  </w:pPr>
                  <w:r>
                    <w:rPr>
                      <w:bCs/>
                      <w:kern w:val="44"/>
                      <w:szCs w:val="21"/>
                    </w:rPr>
                    <w:t>回采率</w:t>
                  </w:r>
                </w:p>
              </w:tc>
              <w:tc>
                <w:tcPr>
                  <w:tcW w:w="866" w:type="pct"/>
                  <w:shd w:val="clear" w:color="auto" w:fill="auto"/>
                  <w:vAlign w:val="center"/>
                </w:tcPr>
                <w:p w14:paraId="0859506C">
                  <w:pPr>
                    <w:widowControl/>
                    <w:snapToGrid w:val="0"/>
                    <w:jc w:val="center"/>
                    <w:textAlignment w:val="center"/>
                    <w:rPr>
                      <w:bCs/>
                      <w:kern w:val="44"/>
                      <w:szCs w:val="21"/>
                    </w:rPr>
                  </w:pPr>
                  <w:r>
                    <w:rPr>
                      <w:bCs/>
                      <w:kern w:val="44"/>
                      <w:szCs w:val="21"/>
                    </w:rPr>
                    <w:t>%</w:t>
                  </w:r>
                </w:p>
              </w:tc>
              <w:tc>
                <w:tcPr>
                  <w:tcW w:w="879" w:type="pct"/>
                  <w:shd w:val="clear" w:color="auto" w:fill="auto"/>
                  <w:vAlign w:val="center"/>
                </w:tcPr>
                <w:p w14:paraId="3F7D2340">
                  <w:pPr>
                    <w:widowControl/>
                    <w:snapToGrid w:val="0"/>
                    <w:jc w:val="center"/>
                    <w:textAlignment w:val="center"/>
                    <w:rPr>
                      <w:bCs/>
                      <w:kern w:val="44"/>
                      <w:szCs w:val="21"/>
                    </w:rPr>
                  </w:pPr>
                  <w:r>
                    <w:rPr>
                      <w:bCs/>
                      <w:kern w:val="44"/>
                      <w:szCs w:val="21"/>
                    </w:rPr>
                    <w:t>95</w:t>
                  </w:r>
                </w:p>
              </w:tc>
              <w:tc>
                <w:tcPr>
                  <w:tcW w:w="594" w:type="pct"/>
                  <w:vAlign w:val="center"/>
                </w:tcPr>
                <w:p w14:paraId="0524F882">
                  <w:pPr>
                    <w:widowControl/>
                    <w:snapToGrid w:val="0"/>
                    <w:jc w:val="center"/>
                    <w:textAlignment w:val="center"/>
                    <w:rPr>
                      <w:kern w:val="0"/>
                    </w:rPr>
                  </w:pPr>
                </w:p>
              </w:tc>
            </w:tr>
            <w:bookmarkEnd w:id="13"/>
          </w:tbl>
          <w:p w14:paraId="35712E0D">
            <w:pPr>
              <w:pStyle w:val="14"/>
              <w:ind w:firstLine="0" w:firstLineChars="0"/>
            </w:pPr>
          </w:p>
          <w:p w14:paraId="69EF46D4">
            <w:pPr>
              <w:pStyle w:val="14"/>
              <w:ind w:firstLine="0" w:firstLineChars="0"/>
            </w:pPr>
          </w:p>
          <w:p w14:paraId="271A5347">
            <w:pPr>
              <w:pStyle w:val="14"/>
              <w:ind w:firstLine="0" w:firstLineChars="0"/>
            </w:pPr>
          </w:p>
          <w:p w14:paraId="51D1BB04">
            <w:pPr>
              <w:pStyle w:val="14"/>
              <w:ind w:firstLine="0" w:firstLineChars="0"/>
            </w:pPr>
          </w:p>
          <w:p w14:paraId="76E024B3">
            <w:pPr>
              <w:pStyle w:val="14"/>
              <w:ind w:firstLine="0" w:firstLineChars="0"/>
            </w:pPr>
          </w:p>
          <w:p w14:paraId="4DA7E627">
            <w:pPr>
              <w:pStyle w:val="14"/>
              <w:ind w:firstLine="0" w:firstLineChars="0"/>
            </w:pPr>
          </w:p>
        </w:tc>
      </w:tr>
    </w:tbl>
    <w:p w14:paraId="26D9FA17">
      <w:pPr>
        <w:pStyle w:val="14"/>
        <w:sectPr>
          <w:pgSz w:w="11906" w:h="16838"/>
          <w:pgMar w:top="1440" w:right="1800" w:bottom="1440" w:left="1800" w:header="851" w:footer="1077" w:gutter="0"/>
          <w:cols w:space="720" w:num="1"/>
          <w:docGrid w:linePitch="312" w:charSpace="0"/>
        </w:sectPr>
      </w:pPr>
    </w:p>
    <w:p w14:paraId="58D06D6F"/>
    <w:tbl>
      <w:tblPr>
        <w:tblStyle w:val="29"/>
        <w:tblW w:w="973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22"/>
        <w:gridCol w:w="8712"/>
      </w:tblGrid>
      <w:tr w14:paraId="4E492C0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56" w:hRule="atLeast"/>
          <w:jc w:val="center"/>
        </w:trPr>
        <w:tc>
          <w:tcPr>
            <w:tcW w:w="1022" w:type="dxa"/>
            <w:vAlign w:val="center"/>
          </w:tcPr>
          <w:p w14:paraId="7535E19D">
            <w:pPr>
              <w:adjustRightInd w:val="0"/>
              <w:snapToGrid w:val="0"/>
              <w:jc w:val="center"/>
              <w:rPr>
                <w:rFonts w:ascii="宋体" w:hAnsi="宋体" w:cs="宋体"/>
                <w:kern w:val="0"/>
                <w:sz w:val="24"/>
              </w:rPr>
            </w:pPr>
            <w:r>
              <w:rPr>
                <w:rFonts w:hint="eastAsia" w:ascii="宋体" w:hAnsi="宋体" w:cs="宋体"/>
                <w:kern w:val="0"/>
                <w:sz w:val="24"/>
              </w:rPr>
              <w:t>总平面及现场布置</w:t>
            </w:r>
          </w:p>
        </w:tc>
        <w:tc>
          <w:tcPr>
            <w:tcW w:w="8712" w:type="dxa"/>
            <w:vAlign w:val="center"/>
          </w:tcPr>
          <w:p w14:paraId="31E59374">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kern w:val="0"/>
                <w:sz w:val="24"/>
                <w:lang w:bidi="ar"/>
              </w:rPr>
            </w:pPr>
            <w:r>
              <w:rPr>
                <w:rFonts w:hint="eastAsia"/>
                <w:kern w:val="0"/>
                <w:sz w:val="24"/>
                <w:lang w:bidi="ar"/>
              </w:rPr>
              <w:t>本项目由采场、排土场以及办公生活区组成。</w:t>
            </w:r>
          </w:p>
          <w:p w14:paraId="6DD6B1D7">
            <w:pPr>
              <w:keepNext w:val="0"/>
              <w:keepLines w:val="0"/>
              <w:pageBreakBefore w:val="0"/>
              <w:kinsoku/>
              <w:wordWrap/>
              <w:overflowPunct/>
              <w:topLinePunct w:val="0"/>
              <w:autoSpaceDE/>
              <w:autoSpaceDN/>
              <w:bidi w:val="0"/>
              <w:adjustRightInd/>
              <w:snapToGrid/>
              <w:spacing w:line="480" w:lineRule="exact"/>
              <w:ind w:firstLine="482" w:firstLineChars="200"/>
              <w:textAlignment w:val="auto"/>
              <w:rPr>
                <w:rFonts w:ascii="宋体" w:hAnsi="宋体" w:cs="宋体"/>
                <w:b/>
                <w:bCs/>
                <w:sz w:val="24"/>
              </w:rPr>
            </w:pPr>
            <w:r>
              <w:rPr>
                <w:rFonts w:hint="eastAsia" w:ascii="宋体" w:hAnsi="宋体" w:cs="宋体"/>
                <w:b/>
                <w:bCs/>
                <w:sz w:val="24"/>
              </w:rPr>
              <w:t>1.平面布置</w:t>
            </w:r>
          </w:p>
          <w:p w14:paraId="7202E585">
            <w:pPr>
              <w:keepNext w:val="0"/>
              <w:keepLines w:val="0"/>
              <w:pageBreakBefore w:val="0"/>
              <w:kinsoku/>
              <w:wordWrap/>
              <w:overflowPunct/>
              <w:topLinePunct w:val="0"/>
              <w:autoSpaceDE/>
              <w:autoSpaceDN/>
              <w:bidi w:val="0"/>
              <w:adjustRightInd/>
              <w:snapToGrid/>
              <w:spacing w:line="480" w:lineRule="exact"/>
              <w:ind w:firstLine="480" w:firstLineChars="200"/>
              <w:textAlignment w:val="auto"/>
              <w:rPr>
                <w:rFonts w:ascii="宋体" w:hAnsi="宋体" w:cs="宋体"/>
                <w:sz w:val="24"/>
              </w:rPr>
            </w:pPr>
            <w:r>
              <w:rPr>
                <w:rFonts w:hint="eastAsia" w:ascii="宋体" w:hAnsi="宋体" w:cs="宋体"/>
                <w:sz w:val="24"/>
              </w:rPr>
              <w:t>矿区位于</w:t>
            </w:r>
            <w:r>
              <w:rPr>
                <w:sz w:val="24"/>
              </w:rPr>
              <w:t>阳泉市盂县</w:t>
            </w:r>
            <w:r>
              <w:rPr>
                <w:rFonts w:hint="eastAsia"/>
                <w:sz w:val="24"/>
              </w:rPr>
              <w:t>西潘乡宋庄村东侧</w:t>
            </w:r>
            <w:r>
              <w:rPr>
                <w:sz w:val="24"/>
              </w:rPr>
              <w:t>约</w:t>
            </w:r>
            <w:r>
              <w:rPr>
                <w:rFonts w:hint="eastAsia"/>
                <w:sz w:val="24"/>
              </w:rPr>
              <w:t>530</w:t>
            </w:r>
            <w:r>
              <w:rPr>
                <w:sz w:val="24"/>
              </w:rPr>
              <w:t>m</w:t>
            </w:r>
            <w:r>
              <w:rPr>
                <w:rFonts w:hint="eastAsia" w:ascii="宋体" w:hAnsi="宋体" w:cs="宋体"/>
                <w:sz w:val="24"/>
              </w:rPr>
              <w:t>，</w:t>
            </w:r>
            <w:r>
              <w:rPr>
                <w:rFonts w:hint="eastAsia"/>
                <w:kern w:val="0"/>
                <w:sz w:val="24"/>
              </w:rPr>
              <w:t>排土场位于</w:t>
            </w:r>
            <w:r>
              <w:rPr>
                <w:rFonts w:hint="eastAsia"/>
                <w:sz w:val="24"/>
              </w:rPr>
              <w:t>矿区东北侧</w:t>
            </w:r>
            <w:r>
              <w:rPr>
                <w:rFonts w:hint="eastAsia"/>
                <w:kern w:val="0"/>
                <w:sz w:val="24"/>
              </w:rPr>
              <w:t>，</w:t>
            </w:r>
            <w:r>
              <w:rPr>
                <w:rFonts w:hint="eastAsia"/>
                <w:sz w:val="24"/>
              </w:rPr>
              <w:t>共设置2处办公生活区，</w:t>
            </w:r>
            <w:r>
              <w:rPr>
                <w:sz w:val="24"/>
              </w:rPr>
              <w:t>1号办公生活区</w:t>
            </w:r>
            <w:r>
              <w:rPr>
                <w:rFonts w:hint="eastAsia"/>
                <w:sz w:val="24"/>
              </w:rPr>
              <w:t>位于矿区东侧，2</w:t>
            </w:r>
            <w:r>
              <w:rPr>
                <w:sz w:val="24"/>
              </w:rPr>
              <w:t>号办公生活区</w:t>
            </w:r>
            <w:r>
              <w:rPr>
                <w:rFonts w:hint="eastAsia"/>
                <w:sz w:val="24"/>
              </w:rPr>
              <w:t>位于排土场南侧</w:t>
            </w:r>
            <w:r>
              <w:rPr>
                <w:rFonts w:hint="eastAsia"/>
                <w:kern w:val="0"/>
                <w:sz w:val="24"/>
              </w:rPr>
              <w:t>。</w:t>
            </w:r>
          </w:p>
          <w:p w14:paraId="475933E8">
            <w:pPr>
              <w:keepNext w:val="0"/>
              <w:keepLines w:val="0"/>
              <w:pageBreakBefore w:val="0"/>
              <w:widowControl/>
              <w:kinsoku/>
              <w:wordWrap/>
              <w:overflowPunct/>
              <w:topLinePunct w:val="0"/>
              <w:autoSpaceDE/>
              <w:autoSpaceDN/>
              <w:bidi w:val="0"/>
              <w:adjustRightInd/>
              <w:snapToGrid/>
              <w:spacing w:line="480" w:lineRule="exact"/>
              <w:ind w:firstLine="482" w:firstLineChars="200"/>
              <w:textAlignment w:val="auto"/>
              <w:rPr>
                <w:b/>
                <w:bCs/>
                <w:kern w:val="0"/>
                <w:sz w:val="24"/>
                <w:lang w:bidi="ar"/>
              </w:rPr>
            </w:pPr>
            <w:r>
              <w:rPr>
                <w:rFonts w:hint="eastAsia"/>
                <w:b/>
                <w:bCs/>
                <w:kern w:val="0"/>
                <w:sz w:val="24"/>
                <w:lang w:bidi="ar"/>
              </w:rPr>
              <w:t>2.项目占地</w:t>
            </w:r>
          </w:p>
          <w:p w14:paraId="63880D7E">
            <w:pPr>
              <w:keepNext w:val="0"/>
              <w:keepLines w:val="0"/>
              <w:pageBreakBefore w:val="0"/>
              <w:kinsoku/>
              <w:wordWrap/>
              <w:overflowPunct/>
              <w:topLinePunct w:val="0"/>
              <w:autoSpaceDE/>
              <w:autoSpaceDN/>
              <w:bidi w:val="0"/>
              <w:adjustRightInd/>
              <w:snapToGrid/>
              <w:spacing w:line="480" w:lineRule="exact"/>
              <w:ind w:firstLine="480" w:firstLineChars="200"/>
              <w:textAlignment w:val="auto"/>
              <w:rPr>
                <w:sz w:val="24"/>
              </w:rPr>
            </w:pPr>
            <w:r>
              <w:rPr>
                <w:rFonts w:hint="eastAsia"/>
                <w:sz w:val="24"/>
              </w:rPr>
              <w:t>（1）矿区</w:t>
            </w:r>
          </w:p>
          <w:p w14:paraId="11C32E9C">
            <w:pPr>
              <w:keepNext w:val="0"/>
              <w:keepLines w:val="0"/>
              <w:pageBreakBefore w:val="0"/>
              <w:kinsoku/>
              <w:wordWrap/>
              <w:overflowPunct/>
              <w:topLinePunct w:val="0"/>
              <w:autoSpaceDE/>
              <w:autoSpaceDN/>
              <w:bidi w:val="0"/>
              <w:adjustRightInd/>
              <w:snapToGrid/>
              <w:spacing w:line="480" w:lineRule="exact"/>
              <w:ind w:firstLine="480" w:firstLineChars="200"/>
              <w:textAlignment w:val="auto"/>
              <w:rPr>
                <w:sz w:val="24"/>
              </w:rPr>
            </w:pPr>
            <w:r>
              <w:rPr>
                <w:rFonts w:hint="eastAsia"/>
                <w:sz w:val="24"/>
              </w:rPr>
              <w:t>矿区面积20.46hm</w:t>
            </w:r>
            <w:r>
              <w:rPr>
                <w:rFonts w:hint="eastAsia"/>
                <w:sz w:val="24"/>
                <w:vertAlign w:val="superscript"/>
              </w:rPr>
              <w:t>2</w:t>
            </w:r>
            <w:r>
              <w:rPr>
                <w:rFonts w:hint="eastAsia"/>
                <w:sz w:val="24"/>
              </w:rPr>
              <w:t>，占地类型为灌木林地、其他草地、采矿用地和工业用地。</w:t>
            </w:r>
          </w:p>
          <w:p w14:paraId="22167383">
            <w:pPr>
              <w:keepNext w:val="0"/>
              <w:keepLines w:val="0"/>
              <w:pageBreakBefore w:val="0"/>
              <w:kinsoku/>
              <w:wordWrap/>
              <w:overflowPunct/>
              <w:topLinePunct w:val="0"/>
              <w:autoSpaceDE/>
              <w:autoSpaceDN/>
              <w:bidi w:val="0"/>
              <w:adjustRightInd/>
              <w:snapToGrid/>
              <w:spacing w:line="480" w:lineRule="exact"/>
              <w:ind w:firstLine="480" w:firstLineChars="200"/>
              <w:textAlignment w:val="auto"/>
              <w:rPr>
                <w:sz w:val="24"/>
              </w:rPr>
            </w:pPr>
            <w:r>
              <w:rPr>
                <w:rFonts w:hint="eastAsia"/>
                <w:sz w:val="24"/>
              </w:rPr>
              <w:t>（2）排土场</w:t>
            </w:r>
          </w:p>
          <w:p w14:paraId="550B3B98">
            <w:pPr>
              <w:keepNext w:val="0"/>
              <w:keepLines w:val="0"/>
              <w:pageBreakBefore w:val="0"/>
              <w:kinsoku/>
              <w:wordWrap/>
              <w:overflowPunct/>
              <w:topLinePunct w:val="0"/>
              <w:autoSpaceDE/>
              <w:autoSpaceDN/>
              <w:bidi w:val="0"/>
              <w:adjustRightInd/>
              <w:snapToGrid/>
              <w:spacing w:line="480" w:lineRule="exact"/>
              <w:ind w:firstLine="480" w:firstLineChars="200"/>
              <w:textAlignment w:val="auto"/>
              <w:rPr>
                <w:sz w:val="24"/>
              </w:rPr>
            </w:pPr>
            <w:r>
              <w:rPr>
                <w:rFonts w:hint="eastAsia"/>
                <w:sz w:val="24"/>
              </w:rPr>
              <w:t>排土场面积为5.9595hm</w:t>
            </w:r>
            <w:r>
              <w:rPr>
                <w:rFonts w:hint="eastAsia"/>
                <w:sz w:val="24"/>
                <w:vertAlign w:val="superscript"/>
              </w:rPr>
              <w:t>2</w:t>
            </w:r>
            <w:r>
              <w:rPr>
                <w:rFonts w:hint="eastAsia"/>
                <w:sz w:val="24"/>
              </w:rPr>
              <w:t>，占地类型为</w:t>
            </w:r>
            <w:r>
              <w:rPr>
                <w:rFonts w:hint="eastAsia" w:hAnsi="宋体"/>
                <w:sz w:val="24"/>
              </w:rPr>
              <w:t>采矿用地。</w:t>
            </w:r>
          </w:p>
          <w:p w14:paraId="639CA4F0">
            <w:pPr>
              <w:keepNext w:val="0"/>
              <w:keepLines w:val="0"/>
              <w:pageBreakBefore w:val="0"/>
              <w:kinsoku/>
              <w:wordWrap/>
              <w:overflowPunct/>
              <w:topLinePunct w:val="0"/>
              <w:autoSpaceDE/>
              <w:autoSpaceDN/>
              <w:bidi w:val="0"/>
              <w:adjustRightInd/>
              <w:snapToGrid/>
              <w:spacing w:line="480" w:lineRule="exact"/>
              <w:ind w:firstLine="480" w:firstLineChars="200"/>
              <w:textAlignment w:val="auto"/>
              <w:rPr>
                <w:sz w:val="24"/>
              </w:rPr>
            </w:pPr>
            <w:r>
              <w:rPr>
                <w:rFonts w:hint="eastAsia"/>
                <w:sz w:val="24"/>
              </w:rPr>
              <w:t>（3）新建运矿道路</w:t>
            </w:r>
          </w:p>
          <w:p w14:paraId="42C7F53F">
            <w:pPr>
              <w:keepNext w:val="0"/>
              <w:keepLines w:val="0"/>
              <w:pageBreakBefore w:val="0"/>
              <w:kinsoku/>
              <w:wordWrap/>
              <w:overflowPunct/>
              <w:topLinePunct w:val="0"/>
              <w:autoSpaceDE/>
              <w:autoSpaceDN/>
              <w:bidi w:val="0"/>
              <w:adjustRightInd/>
              <w:snapToGrid/>
              <w:spacing w:line="480" w:lineRule="exact"/>
              <w:ind w:firstLine="480" w:firstLineChars="200"/>
              <w:textAlignment w:val="auto"/>
              <w:rPr>
                <w:sz w:val="24"/>
              </w:rPr>
            </w:pPr>
            <w:r>
              <w:rPr>
                <w:rFonts w:hint="eastAsia"/>
                <w:sz w:val="24"/>
              </w:rPr>
              <w:t>新建运矿道路面积为0.15hm</w:t>
            </w:r>
            <w:r>
              <w:rPr>
                <w:rFonts w:hint="eastAsia"/>
                <w:sz w:val="24"/>
                <w:vertAlign w:val="superscript"/>
              </w:rPr>
              <w:t>2</w:t>
            </w:r>
            <w:r>
              <w:rPr>
                <w:rFonts w:hint="eastAsia"/>
                <w:sz w:val="24"/>
              </w:rPr>
              <w:t>，占地类型为采矿用地。</w:t>
            </w:r>
          </w:p>
          <w:p w14:paraId="661A5940">
            <w:pPr>
              <w:pStyle w:val="13"/>
              <w:keepNext w:val="0"/>
              <w:keepLines w:val="0"/>
              <w:pageBreakBefore w:val="0"/>
              <w:kinsoku/>
              <w:wordWrap/>
              <w:overflowPunct/>
              <w:topLinePunct w:val="0"/>
              <w:autoSpaceDE/>
              <w:autoSpaceDN/>
              <w:bidi w:val="0"/>
              <w:adjustRightInd/>
              <w:snapToGrid/>
              <w:ind w:left="0" w:right="0" w:rightChars="0" w:firstLine="480" w:firstLineChars="200"/>
              <w:textAlignment w:val="auto"/>
            </w:pPr>
            <w:r>
              <w:rPr>
                <w:rFonts w:hint="eastAsia"/>
              </w:rPr>
              <w:t>（4）生活办公区</w:t>
            </w:r>
          </w:p>
          <w:p w14:paraId="63626291">
            <w:pPr>
              <w:keepNext w:val="0"/>
              <w:keepLines w:val="0"/>
              <w:pageBreakBefore w:val="0"/>
              <w:kinsoku/>
              <w:wordWrap/>
              <w:overflowPunct/>
              <w:topLinePunct w:val="0"/>
              <w:autoSpaceDE/>
              <w:autoSpaceDN/>
              <w:bidi w:val="0"/>
              <w:adjustRightInd/>
              <w:snapToGrid/>
              <w:spacing w:line="480" w:lineRule="exact"/>
              <w:ind w:firstLine="480" w:firstLineChars="200"/>
              <w:textAlignment w:val="auto"/>
              <w:rPr>
                <w:sz w:val="24"/>
              </w:rPr>
            </w:pPr>
            <w:r>
              <w:rPr>
                <w:rFonts w:hint="eastAsia"/>
                <w:sz w:val="24"/>
              </w:rPr>
              <w:t>共设置2处办公生活区。</w:t>
            </w:r>
            <w:r>
              <w:rPr>
                <w:sz w:val="24"/>
              </w:rPr>
              <w:t>1号办公生活区</w:t>
            </w:r>
            <w:r>
              <w:rPr>
                <w:rFonts w:hint="eastAsia"/>
                <w:sz w:val="24"/>
              </w:rPr>
              <w:t>占地0.1782hm</w:t>
            </w:r>
            <w:r>
              <w:rPr>
                <w:rFonts w:hint="eastAsia"/>
                <w:sz w:val="24"/>
                <w:vertAlign w:val="superscript"/>
              </w:rPr>
              <w:t>2</w:t>
            </w:r>
            <w:r>
              <w:rPr>
                <w:rFonts w:hint="eastAsia"/>
                <w:sz w:val="24"/>
              </w:rPr>
              <w:t>，占地类型为工业用地、采矿用地。2</w:t>
            </w:r>
            <w:r>
              <w:rPr>
                <w:sz w:val="24"/>
              </w:rPr>
              <w:t>号办公生活区</w:t>
            </w:r>
            <w:r>
              <w:rPr>
                <w:rFonts w:hint="eastAsia"/>
                <w:sz w:val="24"/>
              </w:rPr>
              <w:t>占地0.1180hm</w:t>
            </w:r>
            <w:r>
              <w:rPr>
                <w:rFonts w:hint="eastAsia"/>
                <w:sz w:val="24"/>
                <w:vertAlign w:val="superscript"/>
              </w:rPr>
              <w:t>2</w:t>
            </w:r>
            <w:r>
              <w:rPr>
                <w:rFonts w:hint="eastAsia"/>
                <w:sz w:val="24"/>
              </w:rPr>
              <w:t>，占地类型为采矿用地。</w:t>
            </w:r>
          </w:p>
          <w:p w14:paraId="1FF1150A">
            <w:pPr>
              <w:keepNext w:val="0"/>
              <w:keepLines w:val="0"/>
              <w:pageBreakBefore w:val="0"/>
              <w:kinsoku/>
              <w:wordWrap/>
              <w:overflowPunct/>
              <w:topLinePunct w:val="0"/>
              <w:autoSpaceDE/>
              <w:autoSpaceDN/>
              <w:bidi w:val="0"/>
              <w:adjustRightInd/>
              <w:snapToGrid/>
              <w:spacing w:line="480" w:lineRule="exact"/>
              <w:jc w:val="center"/>
              <w:textAlignment w:val="auto"/>
              <w:rPr>
                <w:rFonts w:ascii="宋体" w:hAnsi="宋体" w:cs="宋体"/>
                <w:szCs w:val="21"/>
                <w:lang w:bidi="ar"/>
              </w:rPr>
            </w:pPr>
            <w:r>
              <w:rPr>
                <w:rFonts w:hint="eastAsia" w:ascii="宋体" w:hAnsi="宋体" w:cs="宋体"/>
                <w:szCs w:val="21"/>
                <w:lang w:bidi="ar"/>
              </w:rPr>
              <w:t>表</w:t>
            </w:r>
            <w:r>
              <w:rPr>
                <w:szCs w:val="21"/>
                <w:lang w:bidi="ar"/>
              </w:rPr>
              <w:t>2-</w:t>
            </w:r>
            <w:r>
              <w:rPr>
                <w:rFonts w:hint="eastAsia"/>
                <w:szCs w:val="21"/>
                <w:lang w:bidi="ar"/>
              </w:rPr>
              <w:t>13</w:t>
            </w:r>
            <w:r>
              <w:rPr>
                <w:rFonts w:hint="eastAsia" w:ascii="宋体" w:hAnsi="宋体" w:cs="宋体"/>
                <w:szCs w:val="21"/>
                <w:lang w:bidi="ar"/>
              </w:rPr>
              <w:t xml:space="preserve">  项目占地情况一览表</w:t>
            </w:r>
          </w:p>
          <w:tbl>
            <w:tblPr>
              <w:tblStyle w:val="29"/>
              <w:tblW w:w="4995" w:type="pct"/>
              <w:tblInd w:w="5"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496"/>
              <w:gridCol w:w="1772"/>
              <w:gridCol w:w="1135"/>
              <w:gridCol w:w="1266"/>
              <w:gridCol w:w="1266"/>
              <w:gridCol w:w="1266"/>
              <w:gridCol w:w="1267"/>
            </w:tblGrid>
            <w:tr w14:paraId="173B2AC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292" w:type="pct"/>
                  <w:vMerge w:val="restart"/>
                  <w:tcBorders>
                    <w:tl2br w:val="nil"/>
                    <w:tr2bl w:val="nil"/>
                  </w:tcBorders>
                  <w:vAlign w:val="center"/>
                </w:tcPr>
                <w:p w14:paraId="7AB84C3D">
                  <w:pPr>
                    <w:pStyle w:val="63"/>
                    <w:rPr>
                      <w:rFonts w:ascii="Times New Roman" w:hAnsi="Times New Roman" w:cs="Times New Roman"/>
                      <w:sz w:val="21"/>
                      <w:szCs w:val="21"/>
                    </w:rPr>
                  </w:pPr>
                  <w:r>
                    <w:rPr>
                      <w:rFonts w:ascii="Times New Roman" w:hAnsi="Times New Roman" w:cs="Times New Roman"/>
                      <w:sz w:val="21"/>
                      <w:szCs w:val="21"/>
                    </w:rPr>
                    <w:t>序号</w:t>
                  </w:r>
                </w:p>
              </w:tc>
              <w:tc>
                <w:tcPr>
                  <w:tcW w:w="1046" w:type="pct"/>
                  <w:vMerge w:val="restart"/>
                  <w:tcBorders>
                    <w:tl2br w:val="nil"/>
                    <w:tr2bl w:val="nil"/>
                  </w:tcBorders>
                  <w:vAlign w:val="center"/>
                </w:tcPr>
                <w:p w14:paraId="44C8FC17">
                  <w:pPr>
                    <w:pStyle w:val="63"/>
                    <w:rPr>
                      <w:rFonts w:ascii="Times New Roman" w:hAnsi="Times New Roman" w:cs="Times New Roman"/>
                      <w:sz w:val="21"/>
                      <w:szCs w:val="21"/>
                    </w:rPr>
                  </w:pPr>
                  <w:r>
                    <w:rPr>
                      <w:rFonts w:ascii="Times New Roman" w:hAnsi="Times New Roman" w:cs="Times New Roman"/>
                      <w:sz w:val="21"/>
                      <w:szCs w:val="21"/>
                    </w:rPr>
                    <w:t>项目名称</w:t>
                  </w:r>
                </w:p>
              </w:tc>
              <w:tc>
                <w:tcPr>
                  <w:tcW w:w="670" w:type="pct"/>
                  <w:vMerge w:val="restart"/>
                  <w:tcBorders>
                    <w:tl2br w:val="nil"/>
                    <w:tr2bl w:val="nil"/>
                  </w:tcBorders>
                  <w:vAlign w:val="center"/>
                </w:tcPr>
                <w:p w14:paraId="0F317310">
                  <w:pPr>
                    <w:pStyle w:val="63"/>
                    <w:rPr>
                      <w:rFonts w:ascii="Times New Roman" w:hAnsi="Times New Roman" w:cs="Times New Roman"/>
                      <w:sz w:val="21"/>
                      <w:szCs w:val="21"/>
                    </w:rPr>
                  </w:pPr>
                  <w:r>
                    <w:rPr>
                      <w:rFonts w:hint="eastAsia" w:ascii="Times New Roman" w:hAnsi="Times New Roman" w:cs="Times New Roman"/>
                      <w:sz w:val="21"/>
                      <w:szCs w:val="21"/>
                    </w:rPr>
                    <w:t>占地面积（hm</w:t>
                  </w:r>
                  <w:r>
                    <w:rPr>
                      <w:rFonts w:hint="eastAsia" w:ascii="Times New Roman" w:hAnsi="Times New Roman" w:cs="Times New Roman"/>
                      <w:sz w:val="21"/>
                      <w:szCs w:val="21"/>
                      <w:vertAlign w:val="superscript"/>
                    </w:rPr>
                    <w:t>2</w:t>
                  </w:r>
                  <w:r>
                    <w:rPr>
                      <w:rFonts w:hint="eastAsia" w:ascii="Times New Roman" w:hAnsi="Times New Roman" w:cs="Times New Roman"/>
                      <w:sz w:val="21"/>
                      <w:szCs w:val="21"/>
                    </w:rPr>
                    <w:t>）</w:t>
                  </w:r>
                </w:p>
              </w:tc>
              <w:tc>
                <w:tcPr>
                  <w:tcW w:w="2990" w:type="pct"/>
                  <w:gridSpan w:val="4"/>
                  <w:tcBorders>
                    <w:tl2br w:val="nil"/>
                    <w:tr2bl w:val="nil"/>
                  </w:tcBorders>
                  <w:vAlign w:val="center"/>
                </w:tcPr>
                <w:p w14:paraId="534FB49D">
                  <w:pPr>
                    <w:pStyle w:val="63"/>
                    <w:rPr>
                      <w:rFonts w:ascii="Times New Roman" w:hAnsi="Times New Roman" w:cs="Times New Roman"/>
                      <w:sz w:val="21"/>
                      <w:szCs w:val="21"/>
                    </w:rPr>
                  </w:pPr>
                  <w:r>
                    <w:rPr>
                      <w:rFonts w:hint="eastAsia" w:ascii="Times New Roman" w:hAnsi="Times New Roman" w:cs="Times New Roman"/>
                      <w:sz w:val="21"/>
                      <w:szCs w:val="21"/>
                    </w:rPr>
                    <w:t>地类属性（hm</w:t>
                  </w:r>
                  <w:r>
                    <w:rPr>
                      <w:rFonts w:hint="eastAsia" w:ascii="Times New Roman" w:hAnsi="Times New Roman" w:cs="Times New Roman"/>
                      <w:sz w:val="21"/>
                      <w:szCs w:val="21"/>
                      <w:vertAlign w:val="superscript"/>
                    </w:rPr>
                    <w:t>2</w:t>
                  </w:r>
                  <w:r>
                    <w:rPr>
                      <w:rFonts w:hint="eastAsia" w:ascii="Times New Roman" w:hAnsi="Times New Roman" w:cs="Times New Roman"/>
                      <w:sz w:val="21"/>
                      <w:szCs w:val="21"/>
                    </w:rPr>
                    <w:t>）</w:t>
                  </w:r>
                </w:p>
              </w:tc>
            </w:tr>
            <w:tr w14:paraId="6601DB4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292" w:type="pct"/>
                  <w:vMerge w:val="continue"/>
                  <w:tcBorders>
                    <w:tl2br w:val="nil"/>
                    <w:tr2bl w:val="nil"/>
                  </w:tcBorders>
                  <w:vAlign w:val="center"/>
                </w:tcPr>
                <w:p w14:paraId="45938030">
                  <w:pPr>
                    <w:pStyle w:val="63"/>
                    <w:rPr>
                      <w:rFonts w:ascii="Times New Roman" w:hAnsi="Times New Roman" w:cs="Times New Roman"/>
                      <w:sz w:val="21"/>
                      <w:szCs w:val="21"/>
                    </w:rPr>
                  </w:pPr>
                </w:p>
              </w:tc>
              <w:tc>
                <w:tcPr>
                  <w:tcW w:w="1046" w:type="pct"/>
                  <w:vMerge w:val="continue"/>
                  <w:tcBorders>
                    <w:tl2br w:val="nil"/>
                    <w:tr2bl w:val="nil"/>
                  </w:tcBorders>
                  <w:vAlign w:val="center"/>
                </w:tcPr>
                <w:p w14:paraId="14EAC89A">
                  <w:pPr>
                    <w:pStyle w:val="63"/>
                    <w:rPr>
                      <w:rFonts w:ascii="Times New Roman" w:hAnsi="Times New Roman" w:cs="Times New Roman"/>
                      <w:sz w:val="21"/>
                      <w:szCs w:val="21"/>
                    </w:rPr>
                  </w:pPr>
                </w:p>
              </w:tc>
              <w:tc>
                <w:tcPr>
                  <w:tcW w:w="670" w:type="pct"/>
                  <w:vMerge w:val="continue"/>
                  <w:tcBorders>
                    <w:tl2br w:val="nil"/>
                    <w:tr2bl w:val="nil"/>
                  </w:tcBorders>
                  <w:vAlign w:val="center"/>
                </w:tcPr>
                <w:p w14:paraId="240B6CE1">
                  <w:pPr>
                    <w:pStyle w:val="63"/>
                    <w:rPr>
                      <w:rFonts w:ascii="Times New Roman" w:hAnsi="Times New Roman" w:cs="Times New Roman"/>
                      <w:sz w:val="21"/>
                      <w:szCs w:val="21"/>
                    </w:rPr>
                  </w:pPr>
                </w:p>
              </w:tc>
              <w:tc>
                <w:tcPr>
                  <w:tcW w:w="747" w:type="pct"/>
                  <w:tcBorders>
                    <w:tl2br w:val="nil"/>
                    <w:tr2bl w:val="nil"/>
                  </w:tcBorders>
                  <w:vAlign w:val="center"/>
                </w:tcPr>
                <w:p w14:paraId="654AA1A4">
                  <w:pPr>
                    <w:widowControl/>
                    <w:jc w:val="center"/>
                    <w:textAlignment w:val="center"/>
                    <w:rPr>
                      <w:sz w:val="21"/>
                      <w:szCs w:val="21"/>
                    </w:rPr>
                  </w:pPr>
                  <w:r>
                    <w:rPr>
                      <w:rFonts w:hint="eastAsia" w:ascii="宋体" w:hAnsi="宋体" w:cs="宋体"/>
                      <w:kern w:val="0"/>
                      <w:sz w:val="21"/>
                      <w:szCs w:val="21"/>
                      <w:lang w:bidi="ar"/>
                    </w:rPr>
                    <w:t>灌木林地</w:t>
                  </w:r>
                </w:p>
              </w:tc>
              <w:tc>
                <w:tcPr>
                  <w:tcW w:w="747" w:type="pct"/>
                  <w:tcBorders>
                    <w:tl2br w:val="nil"/>
                    <w:tr2bl w:val="nil"/>
                  </w:tcBorders>
                  <w:vAlign w:val="center"/>
                </w:tcPr>
                <w:p w14:paraId="7B3FDB5F">
                  <w:pPr>
                    <w:widowControl/>
                    <w:jc w:val="center"/>
                    <w:textAlignment w:val="center"/>
                    <w:rPr>
                      <w:sz w:val="21"/>
                      <w:szCs w:val="21"/>
                    </w:rPr>
                  </w:pPr>
                  <w:r>
                    <w:rPr>
                      <w:rFonts w:hint="eastAsia" w:ascii="宋体" w:hAnsi="宋体" w:cs="宋体"/>
                      <w:kern w:val="0"/>
                      <w:sz w:val="21"/>
                      <w:szCs w:val="21"/>
                      <w:lang w:bidi="ar"/>
                    </w:rPr>
                    <w:t>其他草地</w:t>
                  </w:r>
                </w:p>
              </w:tc>
              <w:tc>
                <w:tcPr>
                  <w:tcW w:w="747" w:type="pct"/>
                  <w:tcBorders>
                    <w:tl2br w:val="nil"/>
                    <w:tr2bl w:val="nil"/>
                  </w:tcBorders>
                  <w:vAlign w:val="center"/>
                </w:tcPr>
                <w:p w14:paraId="48B3CCF1">
                  <w:pPr>
                    <w:widowControl/>
                    <w:jc w:val="center"/>
                    <w:textAlignment w:val="center"/>
                    <w:rPr>
                      <w:sz w:val="21"/>
                      <w:szCs w:val="21"/>
                    </w:rPr>
                  </w:pPr>
                  <w:r>
                    <w:rPr>
                      <w:rFonts w:hint="eastAsia" w:ascii="宋体" w:hAnsi="宋体" w:cs="宋体"/>
                      <w:kern w:val="0"/>
                      <w:sz w:val="21"/>
                      <w:szCs w:val="21"/>
                      <w:lang w:bidi="ar"/>
                    </w:rPr>
                    <w:t>工业用地</w:t>
                  </w:r>
                </w:p>
              </w:tc>
              <w:tc>
                <w:tcPr>
                  <w:tcW w:w="748" w:type="pct"/>
                  <w:tcBorders>
                    <w:tl2br w:val="nil"/>
                    <w:tr2bl w:val="nil"/>
                  </w:tcBorders>
                  <w:vAlign w:val="center"/>
                </w:tcPr>
                <w:p w14:paraId="06CED06A">
                  <w:pPr>
                    <w:widowControl/>
                    <w:jc w:val="center"/>
                    <w:textAlignment w:val="center"/>
                    <w:rPr>
                      <w:sz w:val="21"/>
                      <w:szCs w:val="21"/>
                    </w:rPr>
                  </w:pPr>
                  <w:r>
                    <w:rPr>
                      <w:rFonts w:hint="eastAsia" w:ascii="宋体" w:hAnsi="宋体" w:cs="宋体"/>
                      <w:kern w:val="0"/>
                      <w:sz w:val="21"/>
                      <w:szCs w:val="21"/>
                      <w:lang w:bidi="ar"/>
                    </w:rPr>
                    <w:t>采矿用地</w:t>
                  </w:r>
                </w:p>
              </w:tc>
            </w:tr>
            <w:tr w14:paraId="1D9B0F7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292" w:type="pct"/>
                  <w:tcBorders>
                    <w:tl2br w:val="nil"/>
                    <w:tr2bl w:val="nil"/>
                  </w:tcBorders>
                  <w:vAlign w:val="center"/>
                </w:tcPr>
                <w:p w14:paraId="33CCEEA6">
                  <w:pPr>
                    <w:pStyle w:val="63"/>
                    <w:rPr>
                      <w:rFonts w:ascii="Times New Roman" w:hAnsi="Times New Roman" w:cs="Times New Roman"/>
                      <w:sz w:val="21"/>
                      <w:szCs w:val="21"/>
                    </w:rPr>
                  </w:pPr>
                  <w:r>
                    <w:rPr>
                      <w:rFonts w:ascii="Times New Roman" w:hAnsi="Times New Roman" w:cs="Times New Roman"/>
                      <w:sz w:val="21"/>
                      <w:szCs w:val="21"/>
                    </w:rPr>
                    <w:t>1</w:t>
                  </w:r>
                </w:p>
              </w:tc>
              <w:tc>
                <w:tcPr>
                  <w:tcW w:w="1046" w:type="pct"/>
                  <w:tcBorders>
                    <w:tl2br w:val="nil"/>
                    <w:tr2bl w:val="nil"/>
                  </w:tcBorders>
                  <w:vAlign w:val="center"/>
                </w:tcPr>
                <w:p w14:paraId="7DD98009">
                  <w:pPr>
                    <w:pStyle w:val="63"/>
                    <w:rPr>
                      <w:rFonts w:ascii="Times New Roman" w:hAnsi="Times New Roman" w:cs="Times New Roman"/>
                      <w:sz w:val="21"/>
                      <w:szCs w:val="21"/>
                    </w:rPr>
                  </w:pPr>
                  <w:r>
                    <w:rPr>
                      <w:rFonts w:hint="eastAsia"/>
                      <w:sz w:val="21"/>
                      <w:szCs w:val="21"/>
                    </w:rPr>
                    <w:t>矿区</w:t>
                  </w:r>
                </w:p>
              </w:tc>
              <w:tc>
                <w:tcPr>
                  <w:tcW w:w="670" w:type="pct"/>
                  <w:tcBorders>
                    <w:tl2br w:val="nil"/>
                    <w:tr2bl w:val="nil"/>
                  </w:tcBorders>
                  <w:vAlign w:val="center"/>
                </w:tcPr>
                <w:p w14:paraId="09EBEB84">
                  <w:pPr>
                    <w:pStyle w:val="63"/>
                    <w:rPr>
                      <w:rFonts w:ascii="Times New Roman" w:hAnsi="Times New Roman" w:cs="Times New Roman"/>
                      <w:sz w:val="21"/>
                      <w:szCs w:val="21"/>
                    </w:rPr>
                  </w:pPr>
                  <w:r>
                    <w:rPr>
                      <w:rFonts w:ascii="Times New Roman" w:hAnsi="Times New Roman" w:cs="Times New Roman"/>
                      <w:sz w:val="21"/>
                      <w:szCs w:val="21"/>
                    </w:rPr>
                    <w:t>20.46</w:t>
                  </w:r>
                </w:p>
              </w:tc>
              <w:tc>
                <w:tcPr>
                  <w:tcW w:w="747" w:type="pct"/>
                  <w:tcBorders>
                    <w:tl2br w:val="nil"/>
                    <w:tr2bl w:val="nil"/>
                  </w:tcBorders>
                  <w:vAlign w:val="center"/>
                </w:tcPr>
                <w:p w14:paraId="57818744">
                  <w:pPr>
                    <w:jc w:val="center"/>
                    <w:rPr>
                      <w:sz w:val="21"/>
                      <w:szCs w:val="21"/>
                    </w:rPr>
                  </w:pPr>
                  <w:r>
                    <w:rPr>
                      <w:sz w:val="21"/>
                      <w:szCs w:val="21"/>
                    </w:rPr>
                    <w:t>1.3626</w:t>
                  </w:r>
                </w:p>
              </w:tc>
              <w:tc>
                <w:tcPr>
                  <w:tcW w:w="747" w:type="pct"/>
                  <w:tcBorders>
                    <w:tl2br w:val="nil"/>
                    <w:tr2bl w:val="nil"/>
                  </w:tcBorders>
                  <w:vAlign w:val="center"/>
                </w:tcPr>
                <w:p w14:paraId="4B6DA73F">
                  <w:pPr>
                    <w:jc w:val="center"/>
                    <w:rPr>
                      <w:sz w:val="21"/>
                      <w:szCs w:val="21"/>
                    </w:rPr>
                  </w:pPr>
                  <w:r>
                    <w:rPr>
                      <w:sz w:val="21"/>
                      <w:szCs w:val="21"/>
                    </w:rPr>
                    <w:t>2.1625</w:t>
                  </w:r>
                </w:p>
              </w:tc>
              <w:tc>
                <w:tcPr>
                  <w:tcW w:w="747" w:type="pct"/>
                  <w:tcBorders>
                    <w:tl2br w:val="nil"/>
                    <w:tr2bl w:val="nil"/>
                  </w:tcBorders>
                  <w:vAlign w:val="center"/>
                </w:tcPr>
                <w:p w14:paraId="6ABB4E8D">
                  <w:pPr>
                    <w:jc w:val="center"/>
                    <w:rPr>
                      <w:sz w:val="21"/>
                      <w:szCs w:val="21"/>
                    </w:rPr>
                  </w:pPr>
                  <w:r>
                    <w:rPr>
                      <w:sz w:val="21"/>
                      <w:szCs w:val="21"/>
                    </w:rPr>
                    <w:t>0.0132</w:t>
                  </w:r>
                </w:p>
              </w:tc>
              <w:tc>
                <w:tcPr>
                  <w:tcW w:w="748" w:type="pct"/>
                  <w:tcBorders>
                    <w:tl2br w:val="nil"/>
                    <w:tr2bl w:val="nil"/>
                  </w:tcBorders>
                  <w:vAlign w:val="center"/>
                </w:tcPr>
                <w:p w14:paraId="02816E9B">
                  <w:pPr>
                    <w:jc w:val="center"/>
                    <w:rPr>
                      <w:sz w:val="21"/>
                      <w:szCs w:val="21"/>
                    </w:rPr>
                  </w:pPr>
                  <w:r>
                    <w:rPr>
                      <w:sz w:val="21"/>
                      <w:szCs w:val="21"/>
                    </w:rPr>
                    <w:t>16.9217</w:t>
                  </w:r>
                </w:p>
              </w:tc>
            </w:tr>
            <w:tr w14:paraId="2608C80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292" w:type="pct"/>
                  <w:tcBorders>
                    <w:tl2br w:val="nil"/>
                    <w:tr2bl w:val="nil"/>
                  </w:tcBorders>
                  <w:vAlign w:val="center"/>
                </w:tcPr>
                <w:p w14:paraId="7DBC7B4D">
                  <w:pPr>
                    <w:pStyle w:val="63"/>
                    <w:rPr>
                      <w:rFonts w:ascii="Times New Roman" w:hAnsi="Times New Roman" w:cs="Times New Roman"/>
                      <w:sz w:val="21"/>
                      <w:szCs w:val="21"/>
                    </w:rPr>
                  </w:pPr>
                  <w:r>
                    <w:rPr>
                      <w:rFonts w:hint="eastAsia" w:ascii="Times New Roman" w:hAnsi="Times New Roman" w:cs="Times New Roman"/>
                      <w:sz w:val="21"/>
                      <w:szCs w:val="21"/>
                    </w:rPr>
                    <w:t>2</w:t>
                  </w:r>
                </w:p>
              </w:tc>
              <w:tc>
                <w:tcPr>
                  <w:tcW w:w="1046" w:type="pct"/>
                  <w:tcBorders>
                    <w:tl2br w:val="nil"/>
                    <w:tr2bl w:val="nil"/>
                  </w:tcBorders>
                  <w:vAlign w:val="center"/>
                </w:tcPr>
                <w:p w14:paraId="2046326C">
                  <w:pPr>
                    <w:pStyle w:val="63"/>
                    <w:rPr>
                      <w:rFonts w:ascii="Times New Roman" w:hAnsi="Times New Roman" w:cs="Times New Roman"/>
                      <w:sz w:val="21"/>
                      <w:szCs w:val="21"/>
                    </w:rPr>
                  </w:pPr>
                  <w:r>
                    <w:rPr>
                      <w:rFonts w:ascii="Times New Roman" w:hAnsi="Times New Roman" w:cs="Times New Roman"/>
                      <w:sz w:val="21"/>
                      <w:szCs w:val="21"/>
                    </w:rPr>
                    <w:t>排土场</w:t>
                  </w:r>
                </w:p>
              </w:tc>
              <w:tc>
                <w:tcPr>
                  <w:tcW w:w="670" w:type="pct"/>
                  <w:tcBorders>
                    <w:tl2br w:val="nil"/>
                    <w:tr2bl w:val="nil"/>
                  </w:tcBorders>
                  <w:vAlign w:val="center"/>
                </w:tcPr>
                <w:p w14:paraId="00C7887B">
                  <w:pPr>
                    <w:pStyle w:val="63"/>
                    <w:rPr>
                      <w:rFonts w:ascii="Times New Roman" w:hAnsi="Times New Roman" w:cs="Times New Roman"/>
                      <w:sz w:val="21"/>
                      <w:szCs w:val="21"/>
                    </w:rPr>
                  </w:pPr>
                  <w:r>
                    <w:rPr>
                      <w:rFonts w:ascii="Times New Roman" w:hAnsi="Times New Roman" w:cs="Times New Roman"/>
                      <w:sz w:val="21"/>
                      <w:szCs w:val="21"/>
                    </w:rPr>
                    <w:t>5.9595</w:t>
                  </w:r>
                </w:p>
              </w:tc>
              <w:tc>
                <w:tcPr>
                  <w:tcW w:w="747" w:type="pct"/>
                  <w:tcBorders>
                    <w:tl2br w:val="nil"/>
                    <w:tr2bl w:val="nil"/>
                  </w:tcBorders>
                  <w:vAlign w:val="center"/>
                </w:tcPr>
                <w:p w14:paraId="13BCFDFE">
                  <w:pPr>
                    <w:jc w:val="center"/>
                    <w:rPr>
                      <w:sz w:val="21"/>
                      <w:szCs w:val="21"/>
                    </w:rPr>
                  </w:pPr>
                  <w:r>
                    <w:rPr>
                      <w:rFonts w:ascii="Times New Roman" w:hAnsi="Times New Roman" w:cs="Times New Roman"/>
                      <w:sz w:val="21"/>
                      <w:szCs w:val="21"/>
                    </w:rPr>
                    <w:t>/</w:t>
                  </w:r>
                </w:p>
              </w:tc>
              <w:tc>
                <w:tcPr>
                  <w:tcW w:w="747" w:type="pct"/>
                  <w:tcBorders>
                    <w:tl2br w:val="nil"/>
                    <w:tr2bl w:val="nil"/>
                  </w:tcBorders>
                  <w:vAlign w:val="center"/>
                </w:tcPr>
                <w:p w14:paraId="4DD15F4A">
                  <w:pPr>
                    <w:jc w:val="center"/>
                    <w:rPr>
                      <w:sz w:val="21"/>
                      <w:szCs w:val="21"/>
                    </w:rPr>
                  </w:pPr>
                  <w:r>
                    <w:rPr>
                      <w:rFonts w:ascii="Times New Roman" w:hAnsi="Times New Roman" w:cs="Times New Roman"/>
                      <w:sz w:val="21"/>
                      <w:szCs w:val="21"/>
                    </w:rPr>
                    <w:t>/</w:t>
                  </w:r>
                </w:p>
              </w:tc>
              <w:tc>
                <w:tcPr>
                  <w:tcW w:w="747" w:type="pct"/>
                  <w:tcBorders>
                    <w:tl2br w:val="nil"/>
                    <w:tr2bl w:val="nil"/>
                  </w:tcBorders>
                  <w:vAlign w:val="center"/>
                </w:tcPr>
                <w:p w14:paraId="0E06FE45">
                  <w:pPr>
                    <w:jc w:val="center"/>
                    <w:rPr>
                      <w:sz w:val="21"/>
                      <w:szCs w:val="21"/>
                    </w:rPr>
                  </w:pPr>
                  <w:r>
                    <w:rPr>
                      <w:rFonts w:ascii="Times New Roman" w:hAnsi="Times New Roman" w:cs="Times New Roman"/>
                      <w:sz w:val="21"/>
                      <w:szCs w:val="21"/>
                    </w:rPr>
                    <w:t>/</w:t>
                  </w:r>
                </w:p>
              </w:tc>
              <w:tc>
                <w:tcPr>
                  <w:tcW w:w="748" w:type="pct"/>
                  <w:tcBorders>
                    <w:tl2br w:val="nil"/>
                    <w:tr2bl w:val="nil"/>
                  </w:tcBorders>
                  <w:vAlign w:val="center"/>
                </w:tcPr>
                <w:p w14:paraId="582B3405">
                  <w:pPr>
                    <w:jc w:val="center"/>
                    <w:rPr>
                      <w:sz w:val="21"/>
                      <w:szCs w:val="21"/>
                    </w:rPr>
                  </w:pPr>
                  <w:r>
                    <w:rPr>
                      <w:rFonts w:ascii="Times New Roman" w:hAnsi="Times New Roman" w:cs="Times New Roman"/>
                      <w:sz w:val="21"/>
                      <w:szCs w:val="21"/>
                    </w:rPr>
                    <w:t>5.9595</w:t>
                  </w:r>
                </w:p>
              </w:tc>
            </w:tr>
            <w:tr w14:paraId="5D494B1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292" w:type="pct"/>
                  <w:tcBorders>
                    <w:tl2br w:val="nil"/>
                    <w:tr2bl w:val="nil"/>
                  </w:tcBorders>
                  <w:vAlign w:val="center"/>
                </w:tcPr>
                <w:p w14:paraId="2B9CB937">
                  <w:pPr>
                    <w:pStyle w:val="63"/>
                    <w:rPr>
                      <w:rFonts w:ascii="Times New Roman" w:hAnsi="Times New Roman" w:cs="Times New Roman"/>
                      <w:sz w:val="21"/>
                      <w:szCs w:val="21"/>
                    </w:rPr>
                  </w:pPr>
                  <w:r>
                    <w:rPr>
                      <w:rFonts w:hint="eastAsia" w:ascii="Times New Roman" w:hAnsi="Times New Roman" w:cs="Times New Roman"/>
                      <w:sz w:val="21"/>
                      <w:szCs w:val="21"/>
                    </w:rPr>
                    <w:t>3</w:t>
                  </w:r>
                </w:p>
              </w:tc>
              <w:tc>
                <w:tcPr>
                  <w:tcW w:w="1046" w:type="pct"/>
                  <w:tcBorders>
                    <w:tl2br w:val="nil"/>
                    <w:tr2bl w:val="nil"/>
                  </w:tcBorders>
                  <w:vAlign w:val="center"/>
                </w:tcPr>
                <w:p w14:paraId="144EDDD9">
                  <w:pPr>
                    <w:pStyle w:val="63"/>
                    <w:rPr>
                      <w:rFonts w:ascii="Times New Roman" w:hAnsi="Times New Roman" w:cs="Times New Roman"/>
                      <w:sz w:val="21"/>
                      <w:szCs w:val="21"/>
                    </w:rPr>
                  </w:pPr>
                  <w:r>
                    <w:rPr>
                      <w:rFonts w:ascii="Times New Roman" w:hAnsi="Times New Roman" w:cs="Times New Roman"/>
                      <w:sz w:val="21"/>
                      <w:szCs w:val="21"/>
                    </w:rPr>
                    <w:t>新建运矿道路</w:t>
                  </w:r>
                </w:p>
              </w:tc>
              <w:tc>
                <w:tcPr>
                  <w:tcW w:w="670" w:type="pct"/>
                  <w:tcBorders>
                    <w:tl2br w:val="nil"/>
                    <w:tr2bl w:val="nil"/>
                  </w:tcBorders>
                  <w:vAlign w:val="center"/>
                </w:tcPr>
                <w:p w14:paraId="548854B2">
                  <w:pPr>
                    <w:pStyle w:val="63"/>
                    <w:rPr>
                      <w:rFonts w:ascii="Times New Roman" w:hAnsi="Times New Roman" w:cs="Times New Roman"/>
                      <w:sz w:val="21"/>
                      <w:szCs w:val="21"/>
                    </w:rPr>
                  </w:pPr>
                  <w:r>
                    <w:rPr>
                      <w:rFonts w:ascii="Times New Roman" w:hAnsi="Times New Roman" w:cs="Times New Roman"/>
                      <w:sz w:val="21"/>
                      <w:szCs w:val="21"/>
                    </w:rPr>
                    <w:t>0.15</w:t>
                  </w:r>
                </w:p>
              </w:tc>
              <w:tc>
                <w:tcPr>
                  <w:tcW w:w="747" w:type="pct"/>
                  <w:tcBorders>
                    <w:tl2br w:val="nil"/>
                    <w:tr2bl w:val="nil"/>
                  </w:tcBorders>
                  <w:vAlign w:val="center"/>
                </w:tcPr>
                <w:p w14:paraId="73F30273">
                  <w:pPr>
                    <w:pStyle w:val="63"/>
                    <w:rPr>
                      <w:rFonts w:ascii="Times New Roman" w:hAnsi="Times New Roman" w:cs="Times New Roman"/>
                      <w:sz w:val="21"/>
                      <w:szCs w:val="21"/>
                    </w:rPr>
                  </w:pPr>
                  <w:r>
                    <w:rPr>
                      <w:rFonts w:ascii="Times New Roman" w:hAnsi="Times New Roman" w:cs="Times New Roman"/>
                      <w:sz w:val="21"/>
                      <w:szCs w:val="21"/>
                    </w:rPr>
                    <w:t>/</w:t>
                  </w:r>
                </w:p>
              </w:tc>
              <w:tc>
                <w:tcPr>
                  <w:tcW w:w="747" w:type="pct"/>
                  <w:tcBorders>
                    <w:tl2br w:val="nil"/>
                    <w:tr2bl w:val="nil"/>
                  </w:tcBorders>
                  <w:vAlign w:val="center"/>
                </w:tcPr>
                <w:p w14:paraId="07C5D7AD">
                  <w:pPr>
                    <w:widowControl/>
                    <w:jc w:val="center"/>
                    <w:textAlignment w:val="center"/>
                    <w:rPr>
                      <w:sz w:val="21"/>
                      <w:szCs w:val="21"/>
                    </w:rPr>
                  </w:pPr>
                  <w:r>
                    <w:rPr>
                      <w:kern w:val="0"/>
                      <w:sz w:val="21"/>
                      <w:szCs w:val="21"/>
                      <w:lang w:bidi="ar"/>
                    </w:rPr>
                    <w:t>/</w:t>
                  </w:r>
                </w:p>
              </w:tc>
              <w:tc>
                <w:tcPr>
                  <w:tcW w:w="747" w:type="pct"/>
                  <w:tcBorders>
                    <w:tl2br w:val="nil"/>
                    <w:tr2bl w:val="nil"/>
                  </w:tcBorders>
                  <w:vAlign w:val="center"/>
                </w:tcPr>
                <w:p w14:paraId="04EF247E">
                  <w:pPr>
                    <w:widowControl/>
                    <w:jc w:val="center"/>
                    <w:textAlignment w:val="center"/>
                    <w:rPr>
                      <w:sz w:val="21"/>
                      <w:szCs w:val="21"/>
                    </w:rPr>
                  </w:pPr>
                  <w:r>
                    <w:rPr>
                      <w:kern w:val="0"/>
                      <w:sz w:val="21"/>
                      <w:szCs w:val="21"/>
                      <w:lang w:bidi="ar"/>
                    </w:rPr>
                    <w:t>/</w:t>
                  </w:r>
                </w:p>
              </w:tc>
              <w:tc>
                <w:tcPr>
                  <w:tcW w:w="748" w:type="pct"/>
                  <w:tcBorders>
                    <w:tl2br w:val="nil"/>
                    <w:tr2bl w:val="nil"/>
                  </w:tcBorders>
                  <w:vAlign w:val="center"/>
                </w:tcPr>
                <w:p w14:paraId="5C494FE8">
                  <w:pPr>
                    <w:pStyle w:val="63"/>
                    <w:rPr>
                      <w:rFonts w:ascii="Times New Roman" w:hAnsi="Times New Roman" w:cs="Times New Roman"/>
                      <w:sz w:val="21"/>
                      <w:szCs w:val="21"/>
                    </w:rPr>
                  </w:pPr>
                  <w:r>
                    <w:rPr>
                      <w:rFonts w:ascii="Times New Roman" w:hAnsi="Times New Roman" w:cs="Times New Roman"/>
                      <w:kern w:val="0"/>
                      <w:sz w:val="21"/>
                      <w:szCs w:val="21"/>
                      <w:lang w:bidi="ar"/>
                    </w:rPr>
                    <w:t>0.15</w:t>
                  </w:r>
                </w:p>
              </w:tc>
            </w:tr>
            <w:tr w14:paraId="3F2003A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292" w:type="pct"/>
                  <w:tcBorders>
                    <w:tl2br w:val="nil"/>
                    <w:tr2bl w:val="nil"/>
                  </w:tcBorders>
                  <w:vAlign w:val="center"/>
                </w:tcPr>
                <w:p w14:paraId="19A662A2">
                  <w:pPr>
                    <w:pStyle w:val="63"/>
                    <w:rPr>
                      <w:rFonts w:ascii="Times New Roman" w:hAnsi="Times New Roman" w:cs="Times New Roman"/>
                      <w:sz w:val="21"/>
                      <w:szCs w:val="21"/>
                    </w:rPr>
                  </w:pPr>
                  <w:r>
                    <w:rPr>
                      <w:rFonts w:hint="eastAsia" w:ascii="Times New Roman" w:hAnsi="Times New Roman" w:cs="Times New Roman"/>
                      <w:sz w:val="21"/>
                      <w:szCs w:val="21"/>
                    </w:rPr>
                    <w:t>4</w:t>
                  </w:r>
                </w:p>
              </w:tc>
              <w:tc>
                <w:tcPr>
                  <w:tcW w:w="1046" w:type="pct"/>
                  <w:tcBorders>
                    <w:tl2br w:val="nil"/>
                    <w:tr2bl w:val="nil"/>
                  </w:tcBorders>
                  <w:vAlign w:val="center"/>
                </w:tcPr>
                <w:p w14:paraId="01E731A4">
                  <w:pPr>
                    <w:pStyle w:val="63"/>
                    <w:rPr>
                      <w:sz w:val="21"/>
                      <w:szCs w:val="21"/>
                    </w:rPr>
                  </w:pPr>
                  <w:r>
                    <w:rPr>
                      <w:rFonts w:hint="eastAsia" w:ascii="Times New Roman" w:hAnsi="Times New Roman" w:cs="Times New Roman"/>
                      <w:sz w:val="21"/>
                      <w:szCs w:val="21"/>
                    </w:rPr>
                    <w:t>1号生活办公区</w:t>
                  </w:r>
                </w:p>
              </w:tc>
              <w:tc>
                <w:tcPr>
                  <w:tcW w:w="670" w:type="pct"/>
                  <w:tcBorders>
                    <w:tl2br w:val="nil"/>
                    <w:tr2bl w:val="nil"/>
                  </w:tcBorders>
                  <w:vAlign w:val="center"/>
                </w:tcPr>
                <w:p w14:paraId="010A59F5">
                  <w:pPr>
                    <w:pStyle w:val="63"/>
                    <w:rPr>
                      <w:rFonts w:ascii="Times New Roman" w:hAnsi="Times New Roman" w:cs="Times New Roman"/>
                      <w:sz w:val="21"/>
                      <w:szCs w:val="21"/>
                    </w:rPr>
                  </w:pPr>
                  <w:r>
                    <w:rPr>
                      <w:rFonts w:ascii="Times New Roman" w:hAnsi="Times New Roman" w:cs="Times New Roman"/>
                      <w:sz w:val="21"/>
                      <w:szCs w:val="21"/>
                    </w:rPr>
                    <w:t>0.1728</w:t>
                  </w:r>
                </w:p>
              </w:tc>
              <w:tc>
                <w:tcPr>
                  <w:tcW w:w="747" w:type="pct"/>
                  <w:tcBorders>
                    <w:tl2br w:val="nil"/>
                    <w:tr2bl w:val="nil"/>
                  </w:tcBorders>
                  <w:vAlign w:val="center"/>
                </w:tcPr>
                <w:p w14:paraId="0732E853">
                  <w:pPr>
                    <w:pStyle w:val="63"/>
                    <w:rPr>
                      <w:rFonts w:ascii="Times New Roman" w:hAnsi="Times New Roman" w:cs="Times New Roman"/>
                      <w:sz w:val="21"/>
                      <w:szCs w:val="21"/>
                    </w:rPr>
                  </w:pPr>
                  <w:r>
                    <w:rPr>
                      <w:rFonts w:ascii="Times New Roman" w:hAnsi="Times New Roman" w:cs="Times New Roman"/>
                      <w:kern w:val="0"/>
                      <w:sz w:val="21"/>
                      <w:szCs w:val="21"/>
                      <w:lang w:bidi="ar"/>
                    </w:rPr>
                    <w:t>/</w:t>
                  </w:r>
                </w:p>
              </w:tc>
              <w:tc>
                <w:tcPr>
                  <w:tcW w:w="747" w:type="pct"/>
                  <w:tcBorders>
                    <w:tl2br w:val="nil"/>
                    <w:tr2bl w:val="nil"/>
                  </w:tcBorders>
                  <w:vAlign w:val="center"/>
                </w:tcPr>
                <w:p w14:paraId="56472D9E">
                  <w:pPr>
                    <w:pStyle w:val="63"/>
                    <w:rPr>
                      <w:rFonts w:ascii="Times New Roman" w:hAnsi="Times New Roman" w:cs="Times New Roman"/>
                      <w:sz w:val="21"/>
                      <w:szCs w:val="21"/>
                    </w:rPr>
                  </w:pPr>
                  <w:r>
                    <w:rPr>
                      <w:rFonts w:ascii="Times New Roman" w:hAnsi="Times New Roman" w:cs="Times New Roman"/>
                      <w:kern w:val="0"/>
                      <w:sz w:val="21"/>
                      <w:szCs w:val="21"/>
                      <w:lang w:bidi="ar"/>
                    </w:rPr>
                    <w:t>/</w:t>
                  </w:r>
                </w:p>
              </w:tc>
              <w:tc>
                <w:tcPr>
                  <w:tcW w:w="747" w:type="pct"/>
                  <w:tcBorders>
                    <w:tl2br w:val="nil"/>
                    <w:tr2bl w:val="nil"/>
                  </w:tcBorders>
                  <w:shd w:val="clear" w:color="auto" w:fill="auto"/>
                  <w:vAlign w:val="center"/>
                </w:tcPr>
                <w:p w14:paraId="3F33754E">
                  <w:pPr>
                    <w:widowControl/>
                    <w:jc w:val="center"/>
                    <w:rPr>
                      <w:kern w:val="0"/>
                      <w:sz w:val="21"/>
                      <w:szCs w:val="21"/>
                    </w:rPr>
                  </w:pPr>
                  <w:r>
                    <w:rPr>
                      <w:sz w:val="21"/>
                      <w:szCs w:val="21"/>
                    </w:rPr>
                    <w:t>0.1349</w:t>
                  </w:r>
                </w:p>
              </w:tc>
              <w:tc>
                <w:tcPr>
                  <w:tcW w:w="748" w:type="pct"/>
                  <w:tcBorders>
                    <w:tl2br w:val="nil"/>
                    <w:tr2bl w:val="nil"/>
                  </w:tcBorders>
                  <w:vAlign w:val="center"/>
                </w:tcPr>
                <w:p w14:paraId="7BD02A6E">
                  <w:pPr>
                    <w:jc w:val="center"/>
                    <w:rPr>
                      <w:sz w:val="21"/>
                      <w:szCs w:val="21"/>
                    </w:rPr>
                  </w:pPr>
                  <w:r>
                    <w:rPr>
                      <w:sz w:val="21"/>
                      <w:szCs w:val="21"/>
                    </w:rPr>
                    <w:t>0.0433</w:t>
                  </w:r>
                </w:p>
              </w:tc>
            </w:tr>
            <w:tr w14:paraId="730EDB5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292" w:type="pct"/>
                  <w:tcBorders>
                    <w:tl2br w:val="nil"/>
                    <w:tr2bl w:val="nil"/>
                  </w:tcBorders>
                  <w:vAlign w:val="center"/>
                </w:tcPr>
                <w:p w14:paraId="18A48591">
                  <w:pPr>
                    <w:pStyle w:val="63"/>
                    <w:rPr>
                      <w:rFonts w:ascii="Times New Roman" w:hAnsi="Times New Roman" w:cs="Times New Roman"/>
                      <w:sz w:val="21"/>
                      <w:szCs w:val="21"/>
                    </w:rPr>
                  </w:pPr>
                  <w:r>
                    <w:rPr>
                      <w:rFonts w:hint="eastAsia" w:ascii="Times New Roman" w:hAnsi="Times New Roman" w:cs="Times New Roman"/>
                      <w:sz w:val="21"/>
                      <w:szCs w:val="21"/>
                    </w:rPr>
                    <w:t>5</w:t>
                  </w:r>
                </w:p>
              </w:tc>
              <w:tc>
                <w:tcPr>
                  <w:tcW w:w="1046" w:type="pct"/>
                  <w:tcBorders>
                    <w:tl2br w:val="nil"/>
                    <w:tr2bl w:val="nil"/>
                  </w:tcBorders>
                  <w:vAlign w:val="center"/>
                </w:tcPr>
                <w:p w14:paraId="74C84745">
                  <w:pPr>
                    <w:pStyle w:val="63"/>
                    <w:rPr>
                      <w:rFonts w:ascii="Times New Roman" w:hAnsi="Times New Roman" w:cs="Times New Roman"/>
                      <w:sz w:val="21"/>
                      <w:szCs w:val="21"/>
                    </w:rPr>
                  </w:pPr>
                  <w:r>
                    <w:rPr>
                      <w:rFonts w:hint="eastAsia" w:ascii="Times New Roman" w:hAnsi="Times New Roman" w:cs="Times New Roman"/>
                      <w:sz w:val="21"/>
                      <w:szCs w:val="21"/>
                    </w:rPr>
                    <w:t>2号办公生活区</w:t>
                  </w:r>
                </w:p>
              </w:tc>
              <w:tc>
                <w:tcPr>
                  <w:tcW w:w="670" w:type="pct"/>
                  <w:tcBorders>
                    <w:tl2br w:val="nil"/>
                    <w:tr2bl w:val="nil"/>
                  </w:tcBorders>
                  <w:vAlign w:val="center"/>
                </w:tcPr>
                <w:p w14:paraId="2EBAAE70">
                  <w:pPr>
                    <w:pStyle w:val="63"/>
                    <w:rPr>
                      <w:rFonts w:ascii="Times New Roman" w:hAnsi="Times New Roman" w:cs="Times New Roman"/>
                      <w:sz w:val="21"/>
                      <w:szCs w:val="21"/>
                    </w:rPr>
                  </w:pPr>
                  <w:r>
                    <w:rPr>
                      <w:rFonts w:ascii="Times New Roman" w:hAnsi="Times New Roman" w:cs="Times New Roman"/>
                      <w:sz w:val="21"/>
                      <w:szCs w:val="21"/>
                    </w:rPr>
                    <w:t>0.1180</w:t>
                  </w:r>
                </w:p>
              </w:tc>
              <w:tc>
                <w:tcPr>
                  <w:tcW w:w="747" w:type="pct"/>
                  <w:tcBorders>
                    <w:tl2br w:val="nil"/>
                    <w:tr2bl w:val="nil"/>
                  </w:tcBorders>
                  <w:vAlign w:val="center"/>
                </w:tcPr>
                <w:p w14:paraId="645454FF">
                  <w:pPr>
                    <w:rPr>
                      <w:rFonts w:ascii="Times New Roman" w:hAnsi="Times New Roman" w:cs="Times New Roman"/>
                      <w:kern w:val="0"/>
                      <w:sz w:val="21"/>
                      <w:szCs w:val="21"/>
                      <w:lang w:bidi="ar"/>
                    </w:rPr>
                  </w:pPr>
                  <w:r>
                    <w:rPr>
                      <w:rFonts w:ascii="Times New Roman" w:hAnsi="Times New Roman" w:cs="Times New Roman"/>
                      <w:sz w:val="21"/>
                      <w:szCs w:val="21"/>
                    </w:rPr>
                    <w:t>/</w:t>
                  </w:r>
                </w:p>
              </w:tc>
              <w:tc>
                <w:tcPr>
                  <w:tcW w:w="747" w:type="pct"/>
                  <w:tcBorders>
                    <w:tl2br w:val="nil"/>
                    <w:tr2bl w:val="nil"/>
                  </w:tcBorders>
                  <w:vAlign w:val="center"/>
                </w:tcPr>
                <w:p w14:paraId="3A56776D">
                  <w:pPr>
                    <w:rPr>
                      <w:rFonts w:ascii="Times New Roman" w:hAnsi="Times New Roman" w:cs="Times New Roman"/>
                      <w:kern w:val="0"/>
                      <w:sz w:val="21"/>
                      <w:szCs w:val="21"/>
                      <w:lang w:bidi="ar"/>
                    </w:rPr>
                  </w:pPr>
                  <w:r>
                    <w:rPr>
                      <w:rFonts w:ascii="Times New Roman" w:hAnsi="Times New Roman" w:cs="Times New Roman"/>
                      <w:sz w:val="21"/>
                      <w:szCs w:val="21"/>
                    </w:rPr>
                    <w:t>/</w:t>
                  </w:r>
                </w:p>
              </w:tc>
              <w:tc>
                <w:tcPr>
                  <w:tcW w:w="747" w:type="pct"/>
                  <w:tcBorders>
                    <w:tl2br w:val="nil"/>
                    <w:tr2bl w:val="nil"/>
                  </w:tcBorders>
                  <w:shd w:val="clear" w:color="auto" w:fill="auto"/>
                  <w:vAlign w:val="center"/>
                </w:tcPr>
                <w:p w14:paraId="5F2AF395">
                  <w:pPr>
                    <w:rPr>
                      <w:rFonts w:ascii="Times New Roman" w:hAnsi="Times New Roman" w:cs="Times New Roman"/>
                      <w:sz w:val="21"/>
                      <w:szCs w:val="21"/>
                    </w:rPr>
                  </w:pPr>
                  <w:r>
                    <w:rPr>
                      <w:rFonts w:ascii="Times New Roman" w:hAnsi="Times New Roman" w:cs="Times New Roman"/>
                      <w:sz w:val="21"/>
                      <w:szCs w:val="21"/>
                    </w:rPr>
                    <w:t>/</w:t>
                  </w:r>
                </w:p>
              </w:tc>
              <w:tc>
                <w:tcPr>
                  <w:tcW w:w="748" w:type="pct"/>
                  <w:tcBorders>
                    <w:tl2br w:val="nil"/>
                    <w:tr2bl w:val="nil"/>
                  </w:tcBorders>
                  <w:vAlign w:val="center"/>
                </w:tcPr>
                <w:p w14:paraId="1CD04BBA">
                  <w:pPr>
                    <w:widowControl/>
                    <w:jc w:val="center"/>
                    <w:rPr>
                      <w:kern w:val="0"/>
                      <w:sz w:val="21"/>
                      <w:szCs w:val="21"/>
                    </w:rPr>
                  </w:pPr>
                  <w:r>
                    <w:rPr>
                      <w:sz w:val="21"/>
                      <w:szCs w:val="21"/>
                    </w:rPr>
                    <w:t>0.1180</w:t>
                  </w:r>
                </w:p>
              </w:tc>
            </w:tr>
          </w:tbl>
          <w:p w14:paraId="7534FC4D">
            <w:pPr>
              <w:keepNext w:val="0"/>
              <w:keepLines w:val="0"/>
              <w:pageBreakBefore w:val="0"/>
              <w:widowControl/>
              <w:kinsoku/>
              <w:wordWrap/>
              <w:overflowPunct/>
              <w:topLinePunct w:val="0"/>
              <w:autoSpaceDE/>
              <w:autoSpaceDN/>
              <w:bidi w:val="0"/>
              <w:adjustRightInd/>
              <w:snapToGrid/>
              <w:spacing w:line="480" w:lineRule="exact"/>
              <w:ind w:firstLine="482" w:firstLineChars="200"/>
              <w:textAlignment w:val="auto"/>
              <w:rPr>
                <w:b/>
                <w:bCs/>
                <w:kern w:val="0"/>
                <w:sz w:val="24"/>
                <w:lang w:bidi="ar"/>
              </w:rPr>
            </w:pPr>
            <w:r>
              <w:rPr>
                <w:rFonts w:hint="eastAsia"/>
                <w:b/>
                <w:bCs/>
                <w:kern w:val="0"/>
                <w:sz w:val="24"/>
                <w:lang w:bidi="ar"/>
              </w:rPr>
              <w:t>3.施工时序</w:t>
            </w:r>
          </w:p>
          <w:p w14:paraId="60ED012C">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kern w:val="0"/>
                <w:sz w:val="24"/>
                <w:lang w:bidi="ar"/>
              </w:rPr>
            </w:pPr>
            <w:r>
              <w:rPr>
                <w:rFonts w:hint="eastAsia"/>
                <w:kern w:val="0"/>
                <w:sz w:val="24"/>
                <w:lang w:bidi="ar"/>
              </w:rPr>
              <w:t>本项目施工总工期为</w:t>
            </w:r>
            <w:r>
              <w:rPr>
                <w:kern w:val="0"/>
                <w:sz w:val="24"/>
                <w:lang w:bidi="ar"/>
              </w:rPr>
              <w:t>1</w:t>
            </w:r>
            <w:r>
              <w:rPr>
                <w:rFonts w:hint="eastAsia"/>
                <w:kern w:val="0"/>
                <w:sz w:val="24"/>
                <w:lang w:bidi="ar"/>
              </w:rPr>
              <w:t>个月，主要分为施工准备期、主体工程施工期以及工程完工期，施工时序安排如下：</w:t>
            </w:r>
          </w:p>
          <w:p w14:paraId="70138877">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kern w:val="0"/>
                <w:sz w:val="24"/>
                <w:lang w:bidi="ar"/>
              </w:rPr>
            </w:pPr>
            <w:r>
              <w:rPr>
                <w:rFonts w:hint="eastAsia"/>
                <w:kern w:val="0"/>
                <w:sz w:val="24"/>
                <w:lang w:bidi="ar"/>
              </w:rPr>
              <w:t>（1）施工准备期</w:t>
            </w:r>
          </w:p>
          <w:p w14:paraId="1C92E59D">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kern w:val="0"/>
                <w:sz w:val="24"/>
                <w:lang w:bidi="ar"/>
              </w:rPr>
            </w:pPr>
            <w:r>
              <w:rPr>
                <w:rFonts w:hint="eastAsia"/>
                <w:kern w:val="0"/>
                <w:sz w:val="24"/>
                <w:lang w:bidi="ar"/>
              </w:rPr>
              <w:t>工程准备期内由施工单位进行场地平整。</w:t>
            </w:r>
          </w:p>
          <w:p w14:paraId="239C58B3">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kern w:val="0"/>
                <w:sz w:val="24"/>
                <w:lang w:bidi="ar"/>
              </w:rPr>
            </w:pPr>
            <w:r>
              <w:rPr>
                <w:rFonts w:hint="eastAsia"/>
                <w:kern w:val="0"/>
                <w:sz w:val="24"/>
                <w:lang w:bidi="ar"/>
              </w:rPr>
              <w:t>（2）主体工程施工期</w:t>
            </w:r>
          </w:p>
          <w:p w14:paraId="36368E52">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kern w:val="0"/>
                <w:sz w:val="24"/>
                <w:lang w:bidi="ar"/>
              </w:rPr>
            </w:pPr>
            <w:r>
              <w:rPr>
                <w:rFonts w:hint="eastAsia"/>
                <w:kern w:val="0"/>
                <w:sz w:val="24"/>
                <w:lang w:bidi="ar"/>
              </w:rPr>
              <w:t>主体工程施工期主要包括新建</w:t>
            </w:r>
            <w:r>
              <w:rPr>
                <w:rFonts w:hint="eastAsia" w:cs="宋体"/>
                <w:kern w:val="0"/>
                <w:sz w:val="24"/>
              </w:rPr>
              <w:t>运矿</w:t>
            </w:r>
            <w:r>
              <w:rPr>
                <w:rFonts w:hint="eastAsia"/>
                <w:kern w:val="0"/>
                <w:sz w:val="24"/>
                <w:lang w:bidi="ar"/>
              </w:rPr>
              <w:t>道路的建设。</w:t>
            </w:r>
          </w:p>
          <w:p w14:paraId="4D9F008C">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kern w:val="0"/>
                <w:sz w:val="24"/>
                <w:lang w:bidi="ar"/>
              </w:rPr>
            </w:pPr>
            <w:r>
              <w:rPr>
                <w:rFonts w:hint="eastAsia"/>
                <w:kern w:val="0"/>
                <w:sz w:val="24"/>
                <w:lang w:bidi="ar"/>
              </w:rPr>
              <w:t>（3）工程完工期</w:t>
            </w:r>
          </w:p>
          <w:p w14:paraId="059011FF">
            <w:pPr>
              <w:keepNext w:val="0"/>
              <w:keepLines w:val="0"/>
              <w:pageBreakBefore w:val="0"/>
              <w:kinsoku/>
              <w:wordWrap/>
              <w:overflowPunct/>
              <w:topLinePunct w:val="0"/>
              <w:autoSpaceDE/>
              <w:autoSpaceDN/>
              <w:bidi w:val="0"/>
              <w:adjustRightInd/>
              <w:snapToGrid/>
              <w:spacing w:line="480" w:lineRule="exact"/>
              <w:ind w:firstLine="480" w:firstLineChars="200"/>
              <w:textAlignment w:val="auto"/>
            </w:pPr>
            <w:r>
              <w:rPr>
                <w:kern w:val="0"/>
                <w:sz w:val="24"/>
                <w:lang w:bidi="ar"/>
              </w:rPr>
              <w:t>主体工程完工后，</w:t>
            </w:r>
            <w:r>
              <w:rPr>
                <w:rFonts w:hint="eastAsia"/>
                <w:kern w:val="0"/>
                <w:sz w:val="24"/>
                <w:lang w:bidi="ar"/>
              </w:rPr>
              <w:t>建设单位</w:t>
            </w:r>
            <w:r>
              <w:rPr>
                <w:kern w:val="0"/>
                <w:sz w:val="24"/>
                <w:lang w:bidi="ar"/>
              </w:rPr>
              <w:t>进行检查验收。</w:t>
            </w:r>
          </w:p>
        </w:tc>
      </w:tr>
      <w:tr w14:paraId="2DDE918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22" w:hRule="atLeast"/>
          <w:jc w:val="center"/>
        </w:trPr>
        <w:tc>
          <w:tcPr>
            <w:tcW w:w="1022" w:type="dxa"/>
            <w:vAlign w:val="center"/>
          </w:tcPr>
          <w:p w14:paraId="5A6C277C">
            <w:pPr>
              <w:adjustRightInd w:val="0"/>
              <w:snapToGrid w:val="0"/>
              <w:jc w:val="center"/>
              <w:rPr>
                <w:rFonts w:ascii="宋体" w:hAnsi="宋体" w:cs="宋体"/>
                <w:kern w:val="0"/>
                <w:sz w:val="24"/>
              </w:rPr>
            </w:pPr>
            <w:r>
              <w:rPr>
                <w:rFonts w:hint="eastAsia" w:ascii="宋体" w:hAnsi="宋体" w:cs="宋体"/>
                <w:kern w:val="0"/>
                <w:sz w:val="24"/>
              </w:rPr>
              <w:t>施工方案</w:t>
            </w:r>
          </w:p>
        </w:tc>
        <w:tc>
          <w:tcPr>
            <w:tcW w:w="8712" w:type="dxa"/>
            <w:vAlign w:val="center"/>
          </w:tcPr>
          <w:p w14:paraId="26AD3814">
            <w:pPr>
              <w:keepNext w:val="0"/>
              <w:keepLines w:val="0"/>
              <w:pageBreakBefore w:val="0"/>
              <w:widowControl/>
              <w:kinsoku/>
              <w:wordWrap/>
              <w:overflowPunct/>
              <w:topLinePunct w:val="0"/>
              <w:autoSpaceDE/>
              <w:autoSpaceDN/>
              <w:bidi w:val="0"/>
              <w:adjustRightInd/>
              <w:snapToGrid/>
              <w:spacing w:line="480" w:lineRule="exact"/>
              <w:ind w:firstLine="482" w:firstLineChars="200"/>
              <w:textAlignment w:val="auto"/>
              <w:rPr>
                <w:b/>
                <w:bCs/>
                <w:kern w:val="0"/>
                <w:sz w:val="24"/>
                <w:lang w:bidi="ar"/>
              </w:rPr>
            </w:pPr>
            <w:r>
              <w:rPr>
                <w:rFonts w:hint="eastAsia"/>
                <w:b/>
                <w:bCs/>
                <w:kern w:val="0"/>
                <w:sz w:val="24"/>
                <w:lang w:bidi="ar"/>
              </w:rPr>
              <w:t>矿山开采</w:t>
            </w:r>
          </w:p>
          <w:p w14:paraId="41C029C5">
            <w:pPr>
              <w:keepNext w:val="0"/>
              <w:keepLines w:val="0"/>
              <w:pageBreakBefore w:val="0"/>
              <w:widowControl/>
              <w:kinsoku/>
              <w:wordWrap/>
              <w:overflowPunct/>
              <w:topLinePunct w:val="0"/>
              <w:autoSpaceDE/>
              <w:autoSpaceDN/>
              <w:bidi w:val="0"/>
              <w:adjustRightInd/>
              <w:snapToGrid/>
              <w:spacing w:line="480" w:lineRule="exact"/>
              <w:ind w:firstLine="482" w:firstLineChars="200"/>
              <w:textAlignment w:val="auto"/>
              <w:rPr>
                <w:b/>
                <w:bCs/>
                <w:kern w:val="0"/>
                <w:sz w:val="24"/>
                <w:lang w:bidi="ar"/>
              </w:rPr>
            </w:pPr>
            <w:bookmarkStart w:id="14" w:name="_Hlk215384620"/>
            <w:r>
              <w:rPr>
                <w:rFonts w:hint="eastAsia"/>
                <w:b/>
                <w:bCs/>
                <w:kern w:val="0"/>
                <w:sz w:val="24"/>
                <w:lang w:bidi="ar"/>
              </w:rPr>
              <w:t>1.开采顺序</w:t>
            </w:r>
          </w:p>
          <w:p w14:paraId="101E94E7">
            <w:pPr>
              <w:keepNext w:val="0"/>
              <w:keepLines w:val="0"/>
              <w:pageBreakBefore w:val="0"/>
              <w:kinsoku/>
              <w:wordWrap/>
              <w:overflowPunct/>
              <w:topLinePunct w:val="0"/>
              <w:autoSpaceDE/>
              <w:autoSpaceDN/>
              <w:bidi w:val="0"/>
              <w:adjustRightInd/>
              <w:snapToGrid/>
              <w:spacing w:line="480" w:lineRule="exact"/>
              <w:ind w:firstLine="480" w:firstLineChars="200"/>
              <w:textAlignment w:val="auto"/>
              <w:rPr>
                <w:sz w:val="24"/>
              </w:rPr>
            </w:pPr>
            <w:r>
              <w:rPr>
                <w:rFonts w:hint="eastAsia"/>
                <w:sz w:val="24"/>
              </w:rPr>
              <w:t>根据矿层赋存条件和矿区地形，矿山开采本着露天开采由上到下，由高到低的采矿原则，设计从最上部开始，由上而下分阶段开采，矿山南部矿层赋存最高，首采地段选择在矿山南部区域。采场中，工作线垂直矿体裂隙布置。</w:t>
            </w:r>
          </w:p>
          <w:bookmarkEnd w:id="14"/>
          <w:p w14:paraId="214886A7">
            <w:pPr>
              <w:keepNext w:val="0"/>
              <w:keepLines w:val="0"/>
              <w:pageBreakBefore w:val="0"/>
              <w:widowControl/>
              <w:kinsoku/>
              <w:wordWrap/>
              <w:overflowPunct/>
              <w:topLinePunct w:val="0"/>
              <w:autoSpaceDE/>
              <w:autoSpaceDN/>
              <w:bidi w:val="0"/>
              <w:adjustRightInd/>
              <w:snapToGrid/>
              <w:spacing w:line="480" w:lineRule="exact"/>
              <w:ind w:firstLine="482" w:firstLineChars="200"/>
              <w:textAlignment w:val="auto"/>
              <w:rPr>
                <w:b/>
                <w:bCs/>
                <w:kern w:val="0"/>
                <w:sz w:val="24"/>
                <w:lang w:bidi="ar"/>
              </w:rPr>
            </w:pPr>
            <w:r>
              <w:rPr>
                <w:rFonts w:hint="eastAsia"/>
                <w:b/>
                <w:bCs/>
                <w:kern w:val="0"/>
                <w:sz w:val="24"/>
                <w:lang w:bidi="ar"/>
              </w:rPr>
              <w:t>2.</w:t>
            </w:r>
            <w:r>
              <w:rPr>
                <w:rFonts w:hint="eastAsia"/>
                <w:b/>
                <w:bCs/>
                <w:sz w:val="24"/>
              </w:rPr>
              <w:t>采剥工艺</w:t>
            </w:r>
          </w:p>
          <w:p w14:paraId="44A713F0">
            <w:pPr>
              <w:pStyle w:val="72"/>
              <w:keepNext w:val="0"/>
              <w:keepLines w:val="0"/>
              <w:pageBreakBefore w:val="0"/>
              <w:kinsoku/>
              <w:wordWrap/>
              <w:overflowPunct/>
              <w:topLinePunct w:val="0"/>
              <w:autoSpaceDE/>
              <w:autoSpaceDN/>
              <w:bidi w:val="0"/>
              <w:adjustRightInd/>
              <w:snapToGrid/>
              <w:spacing w:line="480" w:lineRule="exact"/>
              <w:ind w:firstLine="480"/>
              <w:textAlignment w:val="auto"/>
              <w:rPr>
                <w:rFonts w:ascii="Times New Roman"/>
                <w:bCs w:val="0"/>
                <w:color w:val="auto"/>
                <w:szCs w:val="24"/>
              </w:rPr>
            </w:pPr>
            <w:r>
              <w:rPr>
                <w:rFonts w:hint="eastAsia" w:ascii="Times New Roman"/>
                <w:bCs w:val="0"/>
                <w:color w:val="auto"/>
                <w:szCs w:val="24"/>
              </w:rPr>
              <w:t>（1）剥离</w:t>
            </w:r>
          </w:p>
          <w:p w14:paraId="7287EB55">
            <w:pPr>
              <w:pStyle w:val="72"/>
              <w:keepNext w:val="0"/>
              <w:keepLines w:val="0"/>
              <w:pageBreakBefore w:val="0"/>
              <w:kinsoku/>
              <w:wordWrap/>
              <w:overflowPunct/>
              <w:topLinePunct w:val="0"/>
              <w:autoSpaceDE/>
              <w:autoSpaceDN/>
              <w:bidi w:val="0"/>
              <w:adjustRightInd/>
              <w:snapToGrid/>
              <w:spacing w:line="480" w:lineRule="exact"/>
              <w:ind w:firstLine="480"/>
              <w:textAlignment w:val="auto"/>
              <w:rPr>
                <w:rFonts w:ascii="Times New Roman"/>
                <w:bCs w:val="0"/>
                <w:color w:val="auto"/>
                <w:szCs w:val="24"/>
              </w:rPr>
            </w:pPr>
            <w:r>
              <w:rPr>
                <w:rFonts w:hint="eastAsia" w:ascii="Times New Roman"/>
                <w:bCs w:val="0"/>
                <w:color w:val="auto"/>
                <w:szCs w:val="24"/>
              </w:rPr>
              <w:t>剥离工作采用挖掘机装凿岩锤，首先用CAT385BL型挖掘机</w:t>
            </w:r>
            <w:r>
              <w:t>进行黄土剥离工作，</w:t>
            </w:r>
            <w:r>
              <w:rPr>
                <w:rFonts w:hint="eastAsia" w:ascii="Times New Roman"/>
                <w:bCs w:val="0"/>
                <w:color w:val="auto"/>
                <w:szCs w:val="24"/>
              </w:rPr>
              <w:t>然后配H140型凿岩锤将岩石松动，最后用EC360BLC型挖掘机铲装岩石。</w:t>
            </w:r>
          </w:p>
          <w:p w14:paraId="0EE1503F">
            <w:pPr>
              <w:pStyle w:val="72"/>
              <w:keepNext w:val="0"/>
              <w:keepLines w:val="0"/>
              <w:pageBreakBefore w:val="0"/>
              <w:kinsoku/>
              <w:wordWrap/>
              <w:overflowPunct/>
              <w:topLinePunct w:val="0"/>
              <w:autoSpaceDE/>
              <w:autoSpaceDN/>
              <w:bidi w:val="0"/>
              <w:adjustRightInd/>
              <w:snapToGrid/>
              <w:spacing w:line="480" w:lineRule="exact"/>
              <w:ind w:firstLine="480"/>
              <w:textAlignment w:val="auto"/>
              <w:rPr>
                <w:rFonts w:ascii="Times New Roman"/>
                <w:bCs w:val="0"/>
                <w:color w:val="auto"/>
                <w:szCs w:val="24"/>
              </w:rPr>
            </w:pPr>
            <w:r>
              <w:rPr>
                <w:rFonts w:hint="eastAsia" w:ascii="Times New Roman"/>
                <w:bCs w:val="0"/>
                <w:color w:val="auto"/>
                <w:szCs w:val="24"/>
              </w:rPr>
              <w:t>（2）铺轨</w:t>
            </w:r>
          </w:p>
          <w:p w14:paraId="52990E18">
            <w:pPr>
              <w:pStyle w:val="72"/>
              <w:keepNext w:val="0"/>
              <w:keepLines w:val="0"/>
              <w:pageBreakBefore w:val="0"/>
              <w:kinsoku/>
              <w:wordWrap/>
              <w:overflowPunct/>
              <w:topLinePunct w:val="0"/>
              <w:autoSpaceDE/>
              <w:autoSpaceDN/>
              <w:bidi w:val="0"/>
              <w:adjustRightInd/>
              <w:snapToGrid/>
              <w:spacing w:line="480" w:lineRule="exact"/>
              <w:ind w:firstLine="480"/>
              <w:textAlignment w:val="auto"/>
              <w:rPr>
                <w:rFonts w:ascii="Times New Roman"/>
                <w:bCs w:val="0"/>
                <w:color w:val="auto"/>
                <w:szCs w:val="24"/>
              </w:rPr>
            </w:pPr>
            <w:r>
              <w:rPr>
                <w:rFonts w:hint="eastAsia" w:ascii="Times New Roman"/>
                <w:bCs w:val="0"/>
                <w:color w:val="auto"/>
                <w:szCs w:val="24"/>
              </w:rPr>
              <w:t>首先把矿层按照规定的尺寸，在工作平台上铺设横向导轨及纵向导轨</w:t>
            </w:r>
          </w:p>
          <w:p w14:paraId="427463C0">
            <w:pPr>
              <w:pStyle w:val="72"/>
              <w:keepNext w:val="0"/>
              <w:keepLines w:val="0"/>
              <w:pageBreakBefore w:val="0"/>
              <w:kinsoku/>
              <w:wordWrap/>
              <w:overflowPunct/>
              <w:topLinePunct w:val="0"/>
              <w:autoSpaceDE/>
              <w:autoSpaceDN/>
              <w:bidi w:val="0"/>
              <w:adjustRightInd/>
              <w:snapToGrid/>
              <w:spacing w:line="480" w:lineRule="exact"/>
              <w:ind w:firstLine="480"/>
              <w:textAlignment w:val="auto"/>
              <w:rPr>
                <w:rFonts w:ascii="Times New Roman"/>
                <w:bCs w:val="0"/>
                <w:color w:val="auto"/>
                <w:szCs w:val="24"/>
              </w:rPr>
            </w:pPr>
            <w:r>
              <w:rPr>
                <w:rFonts w:hint="eastAsia" w:ascii="Times New Roman"/>
                <w:bCs w:val="0"/>
                <w:color w:val="auto"/>
                <w:szCs w:val="24"/>
              </w:rPr>
              <w:t>（3）锯切</w:t>
            </w:r>
          </w:p>
          <w:p w14:paraId="278CD514">
            <w:pPr>
              <w:pStyle w:val="72"/>
              <w:keepNext w:val="0"/>
              <w:keepLines w:val="0"/>
              <w:pageBreakBefore w:val="0"/>
              <w:kinsoku/>
              <w:wordWrap/>
              <w:overflowPunct/>
              <w:topLinePunct w:val="0"/>
              <w:autoSpaceDE/>
              <w:autoSpaceDN/>
              <w:bidi w:val="0"/>
              <w:adjustRightInd/>
              <w:snapToGrid/>
              <w:spacing w:line="480" w:lineRule="exact"/>
              <w:ind w:firstLine="480"/>
              <w:textAlignment w:val="auto"/>
              <w:rPr>
                <w:rFonts w:ascii="Times New Roman"/>
                <w:bCs w:val="0"/>
                <w:color w:val="auto"/>
                <w:szCs w:val="24"/>
              </w:rPr>
            </w:pPr>
            <w:r>
              <w:rPr>
                <w:rFonts w:hint="eastAsia" w:ascii="Times New Roman"/>
                <w:bCs w:val="0"/>
                <w:color w:val="auto"/>
                <w:szCs w:val="24"/>
              </w:rPr>
              <w:t>自工作线起至终点进行横向锯切，锯切长度为工作线长度，切缝与工作线相垂直，切缝之间系相互平行。横向锯切完成后，按照规定的尺寸纵向进行锯切。</w:t>
            </w:r>
          </w:p>
          <w:p w14:paraId="4CF2C8EE">
            <w:pPr>
              <w:pStyle w:val="72"/>
              <w:keepNext w:val="0"/>
              <w:keepLines w:val="0"/>
              <w:pageBreakBefore w:val="0"/>
              <w:kinsoku/>
              <w:wordWrap/>
              <w:overflowPunct/>
              <w:topLinePunct w:val="0"/>
              <w:autoSpaceDE/>
              <w:autoSpaceDN/>
              <w:bidi w:val="0"/>
              <w:adjustRightInd/>
              <w:snapToGrid/>
              <w:spacing w:line="480" w:lineRule="exact"/>
              <w:ind w:firstLine="480"/>
              <w:textAlignment w:val="auto"/>
              <w:rPr>
                <w:rFonts w:ascii="Times New Roman"/>
                <w:bCs w:val="0"/>
                <w:color w:val="auto"/>
                <w:szCs w:val="24"/>
              </w:rPr>
            </w:pPr>
            <w:r>
              <w:rPr>
                <w:rFonts w:hint="eastAsia" w:ascii="Times New Roman"/>
                <w:bCs w:val="0"/>
                <w:color w:val="auto"/>
                <w:szCs w:val="24"/>
              </w:rPr>
              <w:t>（4）分离</w:t>
            </w:r>
          </w:p>
          <w:p w14:paraId="130A5A51">
            <w:pPr>
              <w:pStyle w:val="72"/>
              <w:keepNext w:val="0"/>
              <w:keepLines w:val="0"/>
              <w:pageBreakBefore w:val="0"/>
              <w:kinsoku/>
              <w:wordWrap/>
              <w:overflowPunct/>
              <w:topLinePunct w:val="0"/>
              <w:autoSpaceDE/>
              <w:autoSpaceDN/>
              <w:bidi w:val="0"/>
              <w:adjustRightInd/>
              <w:snapToGrid/>
              <w:spacing w:line="480" w:lineRule="exact"/>
              <w:ind w:firstLine="480"/>
              <w:textAlignment w:val="auto"/>
              <w:rPr>
                <w:rFonts w:ascii="Times New Roman"/>
                <w:bCs w:val="0"/>
                <w:color w:val="auto"/>
                <w:szCs w:val="24"/>
              </w:rPr>
            </w:pPr>
            <w:r>
              <w:rPr>
                <w:rFonts w:hint="eastAsia" w:ascii="Times New Roman"/>
                <w:bCs w:val="0"/>
                <w:color w:val="auto"/>
                <w:szCs w:val="24"/>
              </w:rPr>
              <w:t>垂直向锯切完毕后，在水平向用金刚石串珠锯将长条块石与母岩分离。</w:t>
            </w:r>
          </w:p>
          <w:p w14:paraId="4D9B7035">
            <w:pPr>
              <w:pStyle w:val="72"/>
              <w:keepNext w:val="0"/>
              <w:keepLines w:val="0"/>
              <w:pageBreakBefore w:val="0"/>
              <w:kinsoku/>
              <w:wordWrap/>
              <w:overflowPunct/>
              <w:topLinePunct w:val="0"/>
              <w:autoSpaceDE/>
              <w:autoSpaceDN/>
              <w:bidi w:val="0"/>
              <w:adjustRightInd/>
              <w:snapToGrid/>
              <w:spacing w:line="480" w:lineRule="exact"/>
              <w:ind w:firstLine="480"/>
              <w:textAlignment w:val="auto"/>
              <w:rPr>
                <w:rFonts w:ascii="Times New Roman"/>
                <w:bCs w:val="0"/>
                <w:color w:val="auto"/>
                <w:szCs w:val="24"/>
              </w:rPr>
            </w:pPr>
            <w:r>
              <w:rPr>
                <w:rFonts w:hint="eastAsia" w:ascii="Times New Roman"/>
                <w:bCs w:val="0"/>
                <w:color w:val="auto"/>
                <w:szCs w:val="24"/>
              </w:rPr>
              <w:t>（5）翻到</w:t>
            </w:r>
          </w:p>
          <w:p w14:paraId="5DA63763">
            <w:pPr>
              <w:pStyle w:val="72"/>
              <w:keepNext w:val="0"/>
              <w:keepLines w:val="0"/>
              <w:pageBreakBefore w:val="0"/>
              <w:kinsoku/>
              <w:wordWrap/>
              <w:overflowPunct/>
              <w:topLinePunct w:val="0"/>
              <w:autoSpaceDE/>
              <w:autoSpaceDN/>
              <w:bidi w:val="0"/>
              <w:adjustRightInd/>
              <w:snapToGrid/>
              <w:spacing w:line="480" w:lineRule="exact"/>
              <w:ind w:firstLine="480"/>
              <w:textAlignment w:val="auto"/>
              <w:rPr>
                <w:rFonts w:ascii="Times New Roman"/>
                <w:bCs w:val="0"/>
                <w:color w:val="auto"/>
                <w:szCs w:val="24"/>
              </w:rPr>
            </w:pPr>
            <w:r>
              <w:rPr>
                <w:rFonts w:hint="eastAsia" w:ascii="Times New Roman"/>
                <w:bCs w:val="0"/>
                <w:color w:val="auto"/>
                <w:szCs w:val="24"/>
              </w:rPr>
              <w:t>选用挖掘机在CSH-8A型液压顶石机配合下翻倒长条块石。</w:t>
            </w:r>
          </w:p>
          <w:p w14:paraId="36AD8128">
            <w:pPr>
              <w:pStyle w:val="72"/>
              <w:keepNext w:val="0"/>
              <w:keepLines w:val="0"/>
              <w:pageBreakBefore w:val="0"/>
              <w:kinsoku/>
              <w:wordWrap/>
              <w:overflowPunct/>
              <w:topLinePunct w:val="0"/>
              <w:autoSpaceDE/>
              <w:autoSpaceDN/>
              <w:bidi w:val="0"/>
              <w:adjustRightInd/>
              <w:snapToGrid/>
              <w:spacing w:line="480" w:lineRule="exact"/>
              <w:ind w:firstLine="480"/>
              <w:textAlignment w:val="auto"/>
              <w:rPr>
                <w:rFonts w:ascii="Times New Roman"/>
                <w:bCs w:val="0"/>
                <w:color w:val="auto"/>
                <w:szCs w:val="24"/>
              </w:rPr>
            </w:pPr>
            <w:r>
              <w:rPr>
                <w:rFonts w:hint="eastAsia" w:ascii="Times New Roman"/>
                <w:bCs w:val="0"/>
                <w:color w:val="auto"/>
                <w:szCs w:val="24"/>
              </w:rPr>
              <w:t>（6）分割</w:t>
            </w:r>
          </w:p>
          <w:p w14:paraId="2CC15787">
            <w:pPr>
              <w:pStyle w:val="72"/>
              <w:keepNext w:val="0"/>
              <w:keepLines w:val="0"/>
              <w:pageBreakBefore w:val="0"/>
              <w:kinsoku/>
              <w:wordWrap/>
              <w:overflowPunct/>
              <w:topLinePunct w:val="0"/>
              <w:autoSpaceDE/>
              <w:autoSpaceDN/>
              <w:bidi w:val="0"/>
              <w:adjustRightInd/>
              <w:snapToGrid/>
              <w:spacing w:line="480" w:lineRule="exact"/>
              <w:ind w:firstLine="480"/>
              <w:textAlignment w:val="auto"/>
              <w:rPr>
                <w:rFonts w:ascii="Times New Roman"/>
                <w:bCs w:val="0"/>
                <w:color w:val="auto"/>
                <w:szCs w:val="24"/>
              </w:rPr>
            </w:pPr>
            <w:r>
              <w:rPr>
                <w:rFonts w:hint="eastAsia" w:ascii="Times New Roman"/>
                <w:bCs w:val="0"/>
                <w:color w:val="auto"/>
                <w:szCs w:val="24"/>
              </w:rPr>
              <w:t>采用金刚石串珠锯按荒料规格将长条块石分割成荒料毛坯。</w:t>
            </w:r>
          </w:p>
          <w:p w14:paraId="42E63887">
            <w:pPr>
              <w:pStyle w:val="72"/>
              <w:keepNext w:val="0"/>
              <w:keepLines w:val="0"/>
              <w:pageBreakBefore w:val="0"/>
              <w:kinsoku/>
              <w:wordWrap/>
              <w:overflowPunct/>
              <w:topLinePunct w:val="0"/>
              <w:autoSpaceDE/>
              <w:autoSpaceDN/>
              <w:bidi w:val="0"/>
              <w:adjustRightInd/>
              <w:snapToGrid/>
              <w:spacing w:line="480" w:lineRule="exact"/>
              <w:ind w:firstLine="480"/>
              <w:textAlignment w:val="auto"/>
              <w:rPr>
                <w:rFonts w:ascii="Times New Roman"/>
                <w:bCs w:val="0"/>
                <w:color w:val="auto"/>
                <w:szCs w:val="24"/>
              </w:rPr>
            </w:pPr>
            <w:r>
              <w:rPr>
                <w:rFonts w:hint="eastAsia" w:ascii="Times New Roman"/>
                <w:bCs w:val="0"/>
                <w:color w:val="auto"/>
                <w:szCs w:val="24"/>
              </w:rPr>
              <w:t>（7）移位</w:t>
            </w:r>
          </w:p>
          <w:p w14:paraId="33CD8AFF">
            <w:pPr>
              <w:pStyle w:val="72"/>
              <w:keepNext w:val="0"/>
              <w:keepLines w:val="0"/>
              <w:pageBreakBefore w:val="0"/>
              <w:kinsoku/>
              <w:wordWrap/>
              <w:overflowPunct/>
              <w:topLinePunct w:val="0"/>
              <w:autoSpaceDE/>
              <w:autoSpaceDN/>
              <w:bidi w:val="0"/>
              <w:adjustRightInd/>
              <w:snapToGrid/>
              <w:spacing w:line="480" w:lineRule="exact"/>
              <w:ind w:firstLine="480"/>
              <w:textAlignment w:val="auto"/>
              <w:rPr>
                <w:rFonts w:ascii="Times New Roman"/>
                <w:bCs w:val="0"/>
                <w:color w:val="auto"/>
                <w:szCs w:val="24"/>
              </w:rPr>
            </w:pPr>
            <w:r>
              <w:rPr>
                <w:rFonts w:hint="eastAsia" w:ascii="Times New Roman"/>
                <w:bCs w:val="0"/>
                <w:color w:val="auto"/>
                <w:szCs w:val="24"/>
              </w:rPr>
              <w:t>使用叉装机将荒料毛坯移至下一工序。</w:t>
            </w:r>
          </w:p>
          <w:p w14:paraId="0FB33F52">
            <w:pPr>
              <w:pStyle w:val="72"/>
              <w:keepNext w:val="0"/>
              <w:keepLines w:val="0"/>
              <w:pageBreakBefore w:val="0"/>
              <w:kinsoku/>
              <w:wordWrap/>
              <w:overflowPunct/>
              <w:topLinePunct w:val="0"/>
              <w:autoSpaceDE/>
              <w:autoSpaceDN/>
              <w:bidi w:val="0"/>
              <w:adjustRightInd/>
              <w:snapToGrid/>
              <w:spacing w:line="480" w:lineRule="exact"/>
              <w:ind w:firstLine="480"/>
              <w:textAlignment w:val="auto"/>
              <w:rPr>
                <w:rFonts w:ascii="Times New Roman"/>
                <w:bCs w:val="0"/>
                <w:color w:val="auto"/>
                <w:szCs w:val="24"/>
              </w:rPr>
            </w:pPr>
            <w:r>
              <w:rPr>
                <w:rFonts w:hint="eastAsia" w:ascii="Times New Roman"/>
                <w:bCs w:val="0"/>
                <w:color w:val="auto"/>
                <w:szCs w:val="24"/>
              </w:rPr>
              <w:t>（8）整形</w:t>
            </w:r>
          </w:p>
          <w:p w14:paraId="7F6B4F74">
            <w:pPr>
              <w:pStyle w:val="72"/>
              <w:keepNext w:val="0"/>
              <w:keepLines w:val="0"/>
              <w:pageBreakBefore w:val="0"/>
              <w:kinsoku/>
              <w:wordWrap/>
              <w:overflowPunct/>
              <w:topLinePunct w:val="0"/>
              <w:autoSpaceDE/>
              <w:autoSpaceDN/>
              <w:bidi w:val="0"/>
              <w:adjustRightInd/>
              <w:snapToGrid/>
              <w:spacing w:line="480" w:lineRule="exact"/>
              <w:ind w:firstLine="480"/>
              <w:textAlignment w:val="auto"/>
              <w:rPr>
                <w:rFonts w:ascii="Times New Roman"/>
                <w:bCs w:val="0"/>
                <w:color w:val="auto"/>
                <w:szCs w:val="24"/>
              </w:rPr>
            </w:pPr>
            <w:r>
              <w:rPr>
                <w:rFonts w:hint="eastAsia" w:ascii="Times New Roman"/>
                <w:bCs w:val="0"/>
                <w:color w:val="auto"/>
                <w:szCs w:val="24"/>
              </w:rPr>
              <w:t>采用金刚石串珠锯整形机将荒料毛坯进行整形，使其符合荒料的要求。</w:t>
            </w:r>
          </w:p>
          <w:p w14:paraId="7A95159C">
            <w:pPr>
              <w:pStyle w:val="72"/>
              <w:keepNext w:val="0"/>
              <w:keepLines w:val="0"/>
              <w:pageBreakBefore w:val="0"/>
              <w:kinsoku/>
              <w:wordWrap/>
              <w:overflowPunct/>
              <w:topLinePunct w:val="0"/>
              <w:autoSpaceDE/>
              <w:autoSpaceDN/>
              <w:bidi w:val="0"/>
              <w:adjustRightInd/>
              <w:snapToGrid/>
              <w:spacing w:line="480" w:lineRule="exact"/>
              <w:ind w:firstLine="480"/>
              <w:textAlignment w:val="auto"/>
              <w:rPr>
                <w:rFonts w:ascii="Times New Roman"/>
                <w:bCs w:val="0"/>
                <w:color w:val="auto"/>
                <w:szCs w:val="24"/>
              </w:rPr>
            </w:pPr>
            <w:r>
              <w:rPr>
                <w:rFonts w:hint="eastAsia" w:ascii="Times New Roman"/>
                <w:bCs w:val="0"/>
                <w:color w:val="auto"/>
                <w:szCs w:val="24"/>
              </w:rPr>
              <w:t>（9）清渣。</w:t>
            </w:r>
          </w:p>
          <w:p w14:paraId="743D297E">
            <w:pPr>
              <w:pStyle w:val="72"/>
              <w:keepNext w:val="0"/>
              <w:keepLines w:val="0"/>
              <w:pageBreakBefore w:val="0"/>
              <w:kinsoku/>
              <w:wordWrap/>
              <w:overflowPunct/>
              <w:topLinePunct w:val="0"/>
              <w:autoSpaceDE/>
              <w:autoSpaceDN/>
              <w:bidi w:val="0"/>
              <w:adjustRightInd/>
              <w:snapToGrid/>
              <w:spacing w:line="480" w:lineRule="exact"/>
              <w:ind w:firstLine="480"/>
              <w:textAlignment w:val="auto"/>
              <w:rPr>
                <w:rFonts w:ascii="Times New Roman"/>
                <w:bCs w:val="0"/>
                <w:color w:val="auto"/>
                <w:szCs w:val="24"/>
              </w:rPr>
            </w:pPr>
            <w:r>
              <w:rPr>
                <w:rFonts w:hint="eastAsia" w:ascii="Times New Roman"/>
                <w:bCs w:val="0"/>
                <w:color w:val="auto"/>
                <w:szCs w:val="24"/>
              </w:rPr>
              <w:t>清渣选用SX3254BM354型自卸汽车。</w:t>
            </w:r>
          </w:p>
          <w:p w14:paraId="1E86DE50">
            <w:pPr>
              <w:keepNext w:val="0"/>
              <w:keepLines w:val="0"/>
              <w:pageBreakBefore w:val="0"/>
              <w:widowControl/>
              <w:kinsoku/>
              <w:wordWrap/>
              <w:overflowPunct/>
              <w:topLinePunct w:val="0"/>
              <w:autoSpaceDE/>
              <w:autoSpaceDN/>
              <w:bidi w:val="0"/>
              <w:adjustRightInd/>
              <w:snapToGrid/>
              <w:spacing w:line="480" w:lineRule="exact"/>
              <w:ind w:firstLine="482" w:firstLineChars="200"/>
              <w:textAlignment w:val="auto"/>
              <w:rPr>
                <w:b/>
                <w:bCs/>
                <w:kern w:val="0"/>
                <w:sz w:val="24"/>
                <w:lang w:bidi="ar"/>
              </w:rPr>
            </w:pPr>
            <w:r>
              <w:rPr>
                <w:rFonts w:hint="eastAsia"/>
                <w:b/>
                <w:bCs/>
                <w:kern w:val="0"/>
                <w:sz w:val="24"/>
                <w:lang w:bidi="ar"/>
              </w:rPr>
              <w:t>3</w:t>
            </w:r>
            <w:r>
              <w:rPr>
                <w:b/>
                <w:bCs/>
                <w:kern w:val="0"/>
                <w:sz w:val="24"/>
                <w:lang w:bidi="ar"/>
              </w:rPr>
              <w:t>.</w:t>
            </w:r>
            <w:r>
              <w:rPr>
                <w:rFonts w:hint="eastAsia"/>
                <w:b/>
                <w:bCs/>
                <w:kern w:val="0"/>
                <w:sz w:val="24"/>
                <w:lang w:bidi="ar"/>
              </w:rPr>
              <w:t>采掘要素</w:t>
            </w:r>
          </w:p>
          <w:p w14:paraId="1969B036">
            <w:pPr>
              <w:keepNext w:val="0"/>
              <w:keepLines w:val="0"/>
              <w:pageBreakBefore w:val="0"/>
              <w:tabs>
                <w:tab w:val="left" w:pos="540"/>
              </w:tabs>
              <w:kinsoku/>
              <w:wordWrap/>
              <w:overflowPunct/>
              <w:topLinePunct w:val="0"/>
              <w:autoSpaceDE/>
              <w:autoSpaceDN/>
              <w:bidi w:val="0"/>
              <w:adjustRightInd/>
              <w:snapToGrid/>
              <w:spacing w:line="480" w:lineRule="exact"/>
              <w:ind w:firstLine="480" w:firstLineChars="200"/>
              <w:textAlignment w:val="auto"/>
              <w:rPr>
                <w:bCs/>
                <w:sz w:val="24"/>
                <w:szCs w:val="32"/>
              </w:rPr>
            </w:pPr>
            <w:r>
              <w:rPr>
                <w:rFonts w:hint="eastAsia"/>
                <w:bCs/>
                <w:sz w:val="24"/>
                <w:szCs w:val="32"/>
              </w:rPr>
              <w:t>①开采阶段高度：15m</w:t>
            </w:r>
          </w:p>
          <w:p w14:paraId="5B17DD65">
            <w:pPr>
              <w:keepNext w:val="0"/>
              <w:keepLines w:val="0"/>
              <w:pageBreakBefore w:val="0"/>
              <w:tabs>
                <w:tab w:val="left" w:pos="540"/>
              </w:tabs>
              <w:kinsoku/>
              <w:wordWrap/>
              <w:overflowPunct/>
              <w:topLinePunct w:val="0"/>
              <w:autoSpaceDE/>
              <w:autoSpaceDN/>
              <w:bidi w:val="0"/>
              <w:adjustRightInd/>
              <w:snapToGrid/>
              <w:spacing w:line="480" w:lineRule="exact"/>
              <w:ind w:firstLine="480" w:firstLineChars="200"/>
              <w:textAlignment w:val="auto"/>
              <w:rPr>
                <w:bCs/>
                <w:sz w:val="24"/>
                <w:szCs w:val="32"/>
              </w:rPr>
            </w:pPr>
            <w:r>
              <w:rPr>
                <w:rFonts w:hint="eastAsia"/>
                <w:bCs/>
                <w:sz w:val="24"/>
                <w:szCs w:val="32"/>
              </w:rPr>
              <w:t>采矿终了阶段高度：15m</w:t>
            </w:r>
          </w:p>
          <w:p w14:paraId="3DC7BE77">
            <w:pPr>
              <w:keepNext w:val="0"/>
              <w:keepLines w:val="0"/>
              <w:pageBreakBefore w:val="0"/>
              <w:tabs>
                <w:tab w:val="left" w:pos="540"/>
              </w:tabs>
              <w:kinsoku/>
              <w:wordWrap/>
              <w:overflowPunct/>
              <w:topLinePunct w:val="0"/>
              <w:autoSpaceDE/>
              <w:autoSpaceDN/>
              <w:bidi w:val="0"/>
              <w:adjustRightInd/>
              <w:snapToGrid/>
              <w:spacing w:line="480" w:lineRule="exact"/>
              <w:ind w:firstLine="480" w:firstLineChars="200"/>
              <w:textAlignment w:val="auto"/>
              <w:rPr>
                <w:bCs/>
                <w:sz w:val="24"/>
                <w:szCs w:val="32"/>
              </w:rPr>
            </w:pPr>
            <w:r>
              <w:rPr>
                <w:rFonts w:hint="eastAsia"/>
                <w:bCs/>
                <w:sz w:val="24"/>
                <w:szCs w:val="32"/>
              </w:rPr>
              <w:t>②开采阶段坡面角90°</w:t>
            </w:r>
          </w:p>
          <w:p w14:paraId="1C2C7376">
            <w:pPr>
              <w:keepNext w:val="0"/>
              <w:keepLines w:val="0"/>
              <w:pageBreakBefore w:val="0"/>
              <w:tabs>
                <w:tab w:val="left" w:pos="540"/>
              </w:tabs>
              <w:kinsoku/>
              <w:wordWrap/>
              <w:overflowPunct/>
              <w:topLinePunct w:val="0"/>
              <w:autoSpaceDE/>
              <w:autoSpaceDN/>
              <w:bidi w:val="0"/>
              <w:adjustRightInd/>
              <w:snapToGrid/>
              <w:spacing w:line="480" w:lineRule="exact"/>
              <w:ind w:firstLine="480" w:firstLineChars="200"/>
              <w:textAlignment w:val="auto"/>
              <w:rPr>
                <w:bCs/>
                <w:sz w:val="24"/>
                <w:szCs w:val="32"/>
              </w:rPr>
            </w:pPr>
            <w:r>
              <w:rPr>
                <w:rFonts w:hint="eastAsia"/>
                <w:bCs/>
                <w:sz w:val="24"/>
                <w:szCs w:val="32"/>
              </w:rPr>
              <w:t>终了阶段坡面角68°</w:t>
            </w:r>
          </w:p>
          <w:p w14:paraId="4E0D7160">
            <w:pPr>
              <w:keepNext w:val="0"/>
              <w:keepLines w:val="0"/>
              <w:pageBreakBefore w:val="0"/>
              <w:tabs>
                <w:tab w:val="left" w:pos="540"/>
              </w:tabs>
              <w:kinsoku/>
              <w:wordWrap/>
              <w:overflowPunct/>
              <w:topLinePunct w:val="0"/>
              <w:autoSpaceDE/>
              <w:autoSpaceDN/>
              <w:bidi w:val="0"/>
              <w:adjustRightInd/>
              <w:snapToGrid/>
              <w:spacing w:line="480" w:lineRule="exact"/>
              <w:ind w:firstLine="480" w:firstLineChars="200"/>
              <w:textAlignment w:val="auto"/>
              <w:rPr>
                <w:bCs/>
                <w:sz w:val="24"/>
                <w:szCs w:val="32"/>
              </w:rPr>
            </w:pPr>
            <w:r>
              <w:rPr>
                <w:rFonts w:hint="eastAsia"/>
                <w:bCs/>
                <w:sz w:val="24"/>
                <w:szCs w:val="32"/>
              </w:rPr>
              <w:t>最终边坡角53-56°</w:t>
            </w:r>
          </w:p>
          <w:p w14:paraId="7910F73D">
            <w:pPr>
              <w:keepNext w:val="0"/>
              <w:keepLines w:val="0"/>
              <w:pageBreakBefore w:val="0"/>
              <w:tabs>
                <w:tab w:val="left" w:pos="540"/>
              </w:tabs>
              <w:kinsoku/>
              <w:wordWrap/>
              <w:overflowPunct/>
              <w:topLinePunct w:val="0"/>
              <w:autoSpaceDE/>
              <w:autoSpaceDN/>
              <w:bidi w:val="0"/>
              <w:adjustRightInd/>
              <w:snapToGrid/>
              <w:spacing w:line="480" w:lineRule="exact"/>
              <w:ind w:firstLine="480" w:firstLineChars="200"/>
              <w:textAlignment w:val="auto"/>
              <w:rPr>
                <w:bCs/>
                <w:sz w:val="24"/>
                <w:szCs w:val="32"/>
              </w:rPr>
            </w:pPr>
            <w:r>
              <w:rPr>
                <w:rFonts w:hint="eastAsia"/>
                <w:bCs/>
                <w:sz w:val="24"/>
                <w:szCs w:val="32"/>
              </w:rPr>
              <w:t>③最小工作平台宽度30m</w:t>
            </w:r>
          </w:p>
          <w:p w14:paraId="276E3EA3">
            <w:pPr>
              <w:keepNext w:val="0"/>
              <w:keepLines w:val="0"/>
              <w:pageBreakBefore w:val="0"/>
              <w:kinsoku/>
              <w:wordWrap/>
              <w:overflowPunct/>
              <w:topLinePunct w:val="0"/>
              <w:autoSpaceDE/>
              <w:autoSpaceDN/>
              <w:bidi w:val="0"/>
              <w:adjustRightInd/>
              <w:snapToGrid/>
              <w:spacing w:line="480" w:lineRule="exact"/>
              <w:ind w:firstLine="480" w:firstLineChars="200"/>
              <w:textAlignment w:val="auto"/>
              <w:rPr>
                <w:color w:val="FF0000"/>
                <w:szCs w:val="21"/>
                <w:lang w:bidi="ar"/>
              </w:rPr>
            </w:pPr>
            <w:r>
              <w:rPr>
                <w:rFonts w:hint="eastAsia"/>
                <w:bCs/>
                <w:sz w:val="24"/>
                <w:szCs w:val="32"/>
              </w:rPr>
              <w:t>本项目三个采区要素见表2-</w:t>
            </w:r>
            <w:r>
              <w:rPr>
                <w:bCs/>
                <w:sz w:val="24"/>
                <w:szCs w:val="32"/>
              </w:rPr>
              <w:t>14</w:t>
            </w:r>
            <w:r>
              <w:rPr>
                <w:rFonts w:hint="eastAsia"/>
                <w:bCs/>
                <w:sz w:val="24"/>
                <w:szCs w:val="32"/>
              </w:rPr>
              <w:t>。</w:t>
            </w:r>
          </w:p>
          <w:p w14:paraId="1CCD44FC">
            <w:pPr>
              <w:keepNext w:val="0"/>
              <w:keepLines w:val="0"/>
              <w:pageBreakBefore w:val="0"/>
              <w:kinsoku/>
              <w:wordWrap/>
              <w:overflowPunct/>
              <w:topLinePunct w:val="0"/>
              <w:autoSpaceDE/>
              <w:autoSpaceDN/>
              <w:bidi w:val="0"/>
              <w:adjustRightInd/>
              <w:snapToGrid/>
              <w:spacing w:line="480" w:lineRule="exact"/>
              <w:jc w:val="center"/>
              <w:textAlignment w:val="auto"/>
              <w:rPr>
                <w:szCs w:val="21"/>
                <w:lang w:bidi="ar"/>
              </w:rPr>
            </w:pPr>
            <w:r>
              <w:rPr>
                <w:szCs w:val="21"/>
                <w:lang w:bidi="ar"/>
              </w:rPr>
              <w:t>表2-1</w:t>
            </w:r>
            <w:r>
              <w:rPr>
                <w:rFonts w:hint="eastAsia"/>
                <w:szCs w:val="21"/>
                <w:lang w:bidi="ar"/>
              </w:rPr>
              <w:t>4</w:t>
            </w:r>
            <w:r>
              <w:rPr>
                <w:szCs w:val="21"/>
                <w:lang w:bidi="ar"/>
              </w:rPr>
              <w:t xml:space="preserve"> </w:t>
            </w:r>
            <w:r>
              <w:rPr>
                <w:rFonts w:hint="eastAsia"/>
                <w:szCs w:val="21"/>
                <w:lang w:bidi="ar"/>
              </w:rPr>
              <w:t>采场</w:t>
            </w:r>
            <w:r>
              <w:rPr>
                <w:szCs w:val="21"/>
                <w:lang w:bidi="ar"/>
              </w:rPr>
              <w:t>构成要素一览表</w:t>
            </w:r>
          </w:p>
          <w:tbl>
            <w:tblPr>
              <w:tblStyle w:val="2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86"/>
            </w:tblGrid>
            <w:tr w14:paraId="19523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5000" w:type="pct"/>
                  <w:vAlign w:val="center"/>
                </w:tcPr>
                <w:p w14:paraId="6A406530">
                  <w:pPr>
                    <w:widowControl/>
                    <w:jc w:val="center"/>
                    <w:rPr>
                      <w:szCs w:val="21"/>
                    </w:rPr>
                  </w:pPr>
                  <w:r>
                    <w:rPr>
                      <w:rFonts w:hint="eastAsia"/>
                      <w:szCs w:val="21"/>
                    </w:rPr>
                    <w:t>采场最高剥离水平标高</w:t>
                  </w:r>
                  <w:r>
                    <w:rPr>
                      <w:szCs w:val="21"/>
                    </w:rPr>
                    <w:t>：1087m</w:t>
                  </w:r>
                </w:p>
              </w:tc>
            </w:tr>
            <w:tr w14:paraId="302A7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5000" w:type="pct"/>
                  <w:vAlign w:val="center"/>
                </w:tcPr>
                <w:p w14:paraId="3F47123C">
                  <w:pPr>
                    <w:widowControl/>
                    <w:jc w:val="center"/>
                    <w:rPr>
                      <w:szCs w:val="21"/>
                    </w:rPr>
                  </w:pPr>
                  <w:r>
                    <w:rPr>
                      <w:rFonts w:hint="eastAsia"/>
                      <w:szCs w:val="21"/>
                    </w:rPr>
                    <w:t>最低开采水平标高</w:t>
                  </w:r>
                  <w:r>
                    <w:rPr>
                      <w:szCs w:val="21"/>
                    </w:rPr>
                    <w:t>：970m</w:t>
                  </w:r>
                </w:p>
              </w:tc>
            </w:tr>
            <w:tr w14:paraId="0EEF7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5000" w:type="pct"/>
                  <w:vAlign w:val="center"/>
                </w:tcPr>
                <w:p w14:paraId="69E57263">
                  <w:pPr>
                    <w:widowControl/>
                    <w:jc w:val="center"/>
                    <w:rPr>
                      <w:szCs w:val="21"/>
                    </w:rPr>
                  </w:pPr>
                  <w:r>
                    <w:rPr>
                      <w:szCs w:val="21"/>
                    </w:rPr>
                    <w:t>采场最大垂直深度：117m</w:t>
                  </w:r>
                </w:p>
              </w:tc>
            </w:tr>
            <w:tr w14:paraId="464F5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5000" w:type="pct"/>
                  <w:vAlign w:val="center"/>
                </w:tcPr>
                <w:p w14:paraId="7F68569F">
                  <w:pPr>
                    <w:widowControl/>
                    <w:jc w:val="center"/>
                    <w:rPr>
                      <w:szCs w:val="21"/>
                    </w:rPr>
                  </w:pPr>
                  <w:r>
                    <w:rPr>
                      <w:rFonts w:hint="eastAsia"/>
                      <w:szCs w:val="21"/>
                    </w:rPr>
                    <w:t>剥离阶段高度15m，采矿</w:t>
                  </w:r>
                  <w:r>
                    <w:rPr>
                      <w:szCs w:val="21"/>
                    </w:rPr>
                    <w:t>阶段高度：</w:t>
                  </w:r>
                  <w:bookmarkStart w:id="15" w:name="_Hlk143089570"/>
                  <w:r>
                    <w:rPr>
                      <w:rFonts w:hint="eastAsia"/>
                      <w:szCs w:val="21"/>
                    </w:rPr>
                    <w:t>7.5m；</w:t>
                  </w:r>
                  <w:bookmarkEnd w:id="15"/>
                </w:p>
              </w:tc>
            </w:tr>
            <w:tr w14:paraId="541CA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5000" w:type="pct"/>
                  <w:vAlign w:val="center"/>
                </w:tcPr>
                <w:p w14:paraId="6CB2DCBE">
                  <w:pPr>
                    <w:widowControl/>
                    <w:jc w:val="center"/>
                    <w:rPr>
                      <w:szCs w:val="21"/>
                    </w:rPr>
                  </w:pPr>
                  <w:r>
                    <w:rPr>
                      <w:rFonts w:hint="eastAsia"/>
                      <w:szCs w:val="21"/>
                    </w:rPr>
                    <w:t>剥离终了阶段高度15m，采矿终了阶段高度：15m（</w:t>
                  </w:r>
                  <w:bookmarkStart w:id="16" w:name="_Hlk143089622"/>
                  <w:r>
                    <w:rPr>
                      <w:rFonts w:hint="eastAsia"/>
                      <w:szCs w:val="21"/>
                    </w:rPr>
                    <w:t>每两个开采台阶合并为1个终了阶段</w:t>
                  </w:r>
                  <w:bookmarkEnd w:id="16"/>
                  <w:r>
                    <w:rPr>
                      <w:rFonts w:hint="eastAsia"/>
                      <w:szCs w:val="21"/>
                    </w:rPr>
                    <w:t>）</w:t>
                  </w:r>
                </w:p>
              </w:tc>
            </w:tr>
            <w:tr w14:paraId="00B94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5000" w:type="pct"/>
                  <w:vAlign w:val="center"/>
                </w:tcPr>
                <w:p w14:paraId="5DF36FBA">
                  <w:pPr>
                    <w:widowControl/>
                    <w:jc w:val="center"/>
                    <w:rPr>
                      <w:szCs w:val="21"/>
                    </w:rPr>
                  </w:pPr>
                  <w:r>
                    <w:rPr>
                      <w:rFonts w:hint="eastAsia"/>
                      <w:szCs w:val="21"/>
                    </w:rPr>
                    <w:t>剥离阶段坡面角75°，采矿开采阶段坡面角：90°</w:t>
                  </w:r>
                </w:p>
              </w:tc>
            </w:tr>
            <w:tr w14:paraId="64038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5000" w:type="pct"/>
                  <w:vAlign w:val="center"/>
                </w:tcPr>
                <w:p w14:paraId="71C52783">
                  <w:pPr>
                    <w:widowControl/>
                    <w:jc w:val="center"/>
                    <w:rPr>
                      <w:szCs w:val="21"/>
                    </w:rPr>
                  </w:pPr>
                  <w:r>
                    <w:rPr>
                      <w:rFonts w:hint="eastAsia"/>
                      <w:szCs w:val="21"/>
                    </w:rPr>
                    <w:t>剥离终了阶段坡面角68°，采矿终了阶段坡面角：68°</w:t>
                  </w:r>
                </w:p>
              </w:tc>
            </w:tr>
            <w:tr w14:paraId="1A605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5000" w:type="pct"/>
                  <w:vAlign w:val="center"/>
                </w:tcPr>
                <w:p w14:paraId="2740A98A">
                  <w:pPr>
                    <w:widowControl/>
                    <w:jc w:val="center"/>
                    <w:rPr>
                      <w:szCs w:val="21"/>
                    </w:rPr>
                  </w:pPr>
                  <w:r>
                    <w:rPr>
                      <w:rFonts w:hint="eastAsia"/>
                      <w:szCs w:val="21"/>
                    </w:rPr>
                    <w:t>最终边坡角：</w:t>
                  </w:r>
                  <w:r>
                    <w:rPr>
                      <w:szCs w:val="21"/>
                    </w:rPr>
                    <w:t>46</w:t>
                  </w:r>
                  <w:r>
                    <w:rPr>
                      <w:rFonts w:hint="eastAsia"/>
                      <w:szCs w:val="21"/>
                    </w:rPr>
                    <w:t>-</w:t>
                  </w:r>
                  <w:r>
                    <w:rPr>
                      <w:szCs w:val="21"/>
                    </w:rPr>
                    <w:t>58</w:t>
                  </w:r>
                  <w:r>
                    <w:rPr>
                      <w:rFonts w:hint="eastAsia"/>
                      <w:szCs w:val="21"/>
                    </w:rPr>
                    <w:t>°</w:t>
                  </w:r>
                </w:p>
              </w:tc>
            </w:tr>
            <w:tr w14:paraId="2A12F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5000" w:type="pct"/>
                  <w:vAlign w:val="center"/>
                </w:tcPr>
                <w:p w14:paraId="3667FB6F">
                  <w:pPr>
                    <w:widowControl/>
                    <w:jc w:val="center"/>
                    <w:rPr>
                      <w:szCs w:val="21"/>
                    </w:rPr>
                  </w:pPr>
                  <w:r>
                    <w:rPr>
                      <w:rFonts w:hint="eastAsia"/>
                      <w:szCs w:val="21"/>
                    </w:rPr>
                    <w:t>采场终了阶段：1075m、1060m、1045m、1030m、1015m、1000m、985m、970m</w:t>
                  </w:r>
                </w:p>
              </w:tc>
            </w:tr>
            <w:tr w14:paraId="3B9C0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5000" w:type="pct"/>
                  <w:vAlign w:val="center"/>
                </w:tcPr>
                <w:p w14:paraId="46BEF322">
                  <w:pPr>
                    <w:widowControl/>
                    <w:jc w:val="center"/>
                    <w:rPr>
                      <w:szCs w:val="21"/>
                    </w:rPr>
                  </w:pPr>
                  <w:r>
                    <w:rPr>
                      <w:szCs w:val="21"/>
                    </w:rPr>
                    <w:t>安全平台：4m</w:t>
                  </w:r>
                </w:p>
              </w:tc>
            </w:tr>
            <w:tr w14:paraId="0A8AD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5000" w:type="pct"/>
                  <w:vAlign w:val="center"/>
                </w:tcPr>
                <w:p w14:paraId="414DA513">
                  <w:pPr>
                    <w:widowControl/>
                    <w:jc w:val="center"/>
                    <w:rPr>
                      <w:szCs w:val="21"/>
                    </w:rPr>
                  </w:pPr>
                  <w:r>
                    <w:rPr>
                      <w:szCs w:val="21"/>
                    </w:rPr>
                    <w:t>清扫平台：6m（每两个安全平台设置一个清扫平台）</w:t>
                  </w:r>
                </w:p>
              </w:tc>
            </w:tr>
            <w:tr w14:paraId="12919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5000" w:type="pct"/>
                  <w:vAlign w:val="center"/>
                </w:tcPr>
                <w:p w14:paraId="75495126">
                  <w:pPr>
                    <w:widowControl/>
                    <w:jc w:val="center"/>
                    <w:rPr>
                      <w:bCs/>
                      <w:szCs w:val="21"/>
                    </w:rPr>
                  </w:pPr>
                  <w:r>
                    <w:rPr>
                      <w:bCs/>
                      <w:szCs w:val="21"/>
                    </w:rPr>
                    <w:t>最小工作平台40m，最小底宽40m。</w:t>
                  </w:r>
                </w:p>
              </w:tc>
            </w:tr>
          </w:tbl>
          <w:p w14:paraId="79DB61CD">
            <w:pPr>
              <w:widowControl/>
              <w:spacing w:line="480" w:lineRule="exact"/>
              <w:ind w:firstLine="482" w:firstLineChars="200"/>
              <w:rPr>
                <w:b/>
                <w:bCs/>
                <w:kern w:val="0"/>
                <w:sz w:val="24"/>
                <w:lang w:bidi="ar"/>
              </w:rPr>
            </w:pPr>
            <w:r>
              <w:rPr>
                <w:rFonts w:hint="eastAsia"/>
                <w:b/>
                <w:bCs/>
                <w:kern w:val="0"/>
                <w:sz w:val="24"/>
                <w:lang w:bidi="ar"/>
              </w:rPr>
              <w:t>4.排土场堆排</w:t>
            </w:r>
          </w:p>
          <w:p w14:paraId="75C7D91F">
            <w:pPr>
              <w:widowControl/>
              <w:spacing w:line="480" w:lineRule="exact"/>
              <w:ind w:firstLine="480" w:firstLineChars="200"/>
              <w:rPr>
                <w:kern w:val="0"/>
                <w:sz w:val="24"/>
                <w:lang w:bidi="ar"/>
              </w:rPr>
            </w:pPr>
            <w:r>
              <w:rPr>
                <w:rFonts w:hint="eastAsia"/>
                <w:kern w:val="0"/>
                <w:sz w:val="24"/>
                <w:lang w:bidi="ar"/>
              </w:rPr>
              <w:t>根据开发利用方案，外剥采比为10.43：1（m</w:t>
            </w:r>
            <w:r>
              <w:rPr>
                <w:rFonts w:hint="eastAsia"/>
                <w:kern w:val="0"/>
                <w:sz w:val="24"/>
                <w:vertAlign w:val="superscript"/>
                <w:lang w:bidi="ar"/>
              </w:rPr>
              <w:t>3</w:t>
            </w:r>
            <w:r>
              <w:rPr>
                <w:rFonts w:hint="eastAsia"/>
                <w:kern w:val="0"/>
                <w:sz w:val="24"/>
                <w:lang w:bidi="ar"/>
              </w:rPr>
              <w:t>/ m</w:t>
            </w:r>
            <w:r>
              <w:rPr>
                <w:rFonts w:hint="eastAsia"/>
                <w:kern w:val="0"/>
                <w:sz w:val="24"/>
                <w:vertAlign w:val="superscript"/>
                <w:lang w:bidi="ar"/>
              </w:rPr>
              <w:t>3</w:t>
            </w:r>
            <w:r>
              <w:rPr>
                <w:rFonts w:hint="eastAsia"/>
                <w:kern w:val="0"/>
                <w:sz w:val="24"/>
                <w:lang w:bidi="ar"/>
              </w:rPr>
              <w:t>），内剥采比为10.63：1（m</w:t>
            </w:r>
            <w:r>
              <w:rPr>
                <w:rFonts w:hint="eastAsia"/>
                <w:kern w:val="0"/>
                <w:sz w:val="24"/>
                <w:vertAlign w:val="superscript"/>
                <w:lang w:bidi="ar"/>
              </w:rPr>
              <w:t>3</w:t>
            </w:r>
            <w:r>
              <w:rPr>
                <w:rFonts w:hint="eastAsia"/>
                <w:kern w:val="0"/>
                <w:sz w:val="24"/>
                <w:lang w:bidi="ar"/>
              </w:rPr>
              <w:t>/ m</w:t>
            </w:r>
            <w:r>
              <w:rPr>
                <w:rFonts w:hint="eastAsia"/>
                <w:kern w:val="0"/>
                <w:sz w:val="24"/>
                <w:vertAlign w:val="superscript"/>
                <w:lang w:bidi="ar"/>
              </w:rPr>
              <w:t>3</w:t>
            </w:r>
            <w:r>
              <w:rPr>
                <w:rFonts w:hint="eastAsia"/>
                <w:kern w:val="0"/>
                <w:sz w:val="24"/>
                <w:lang w:bidi="ar"/>
              </w:rPr>
              <w:t>），总剥采比为21.06：1（m</w:t>
            </w:r>
            <w:r>
              <w:rPr>
                <w:rFonts w:hint="eastAsia"/>
                <w:kern w:val="0"/>
                <w:sz w:val="24"/>
                <w:vertAlign w:val="superscript"/>
                <w:lang w:bidi="ar"/>
              </w:rPr>
              <w:t>3</w:t>
            </w:r>
            <w:r>
              <w:rPr>
                <w:rFonts w:hint="eastAsia"/>
                <w:kern w:val="0"/>
                <w:sz w:val="24"/>
                <w:lang w:bidi="ar"/>
              </w:rPr>
              <w:t>/ m</w:t>
            </w:r>
            <w:r>
              <w:rPr>
                <w:rFonts w:hint="eastAsia"/>
                <w:kern w:val="0"/>
                <w:sz w:val="24"/>
                <w:vertAlign w:val="superscript"/>
                <w:lang w:bidi="ar"/>
              </w:rPr>
              <w:t>3</w:t>
            </w:r>
            <w:r>
              <w:rPr>
                <w:rFonts w:hint="eastAsia"/>
                <w:kern w:val="0"/>
                <w:sz w:val="24"/>
                <w:lang w:bidi="ar"/>
              </w:rPr>
              <w:t>）。</w:t>
            </w:r>
          </w:p>
          <w:p w14:paraId="290454B3">
            <w:pPr>
              <w:widowControl/>
              <w:spacing w:line="480" w:lineRule="exact"/>
              <w:ind w:firstLine="480" w:firstLineChars="200"/>
              <w:rPr>
                <w:kern w:val="0"/>
                <w:sz w:val="24"/>
                <w:lang w:bidi="ar"/>
              </w:rPr>
            </w:pPr>
            <w:r>
              <w:rPr>
                <w:rFonts w:hint="eastAsia"/>
                <w:kern w:val="0"/>
                <w:sz w:val="24"/>
                <w:lang w:bidi="ar"/>
              </w:rPr>
              <w:t>本矿剥离量共</w:t>
            </w:r>
            <w:r>
              <w:rPr>
                <w:kern w:val="0"/>
                <w:sz w:val="24"/>
                <w:lang w:bidi="ar"/>
              </w:rPr>
              <w:t>620.93</w:t>
            </w:r>
            <w:r>
              <w:rPr>
                <w:rFonts w:hint="eastAsia"/>
                <w:kern w:val="0"/>
                <w:sz w:val="24"/>
                <w:lang w:bidi="ar"/>
              </w:rPr>
              <w:t>万m</w:t>
            </w:r>
            <w:r>
              <w:rPr>
                <w:rFonts w:hint="eastAsia"/>
                <w:kern w:val="0"/>
                <w:sz w:val="24"/>
                <w:vertAlign w:val="superscript"/>
                <w:lang w:bidi="ar"/>
              </w:rPr>
              <w:t>3</w:t>
            </w:r>
            <w:r>
              <w:rPr>
                <w:rFonts w:hint="eastAsia"/>
                <w:kern w:val="0"/>
                <w:sz w:val="24"/>
                <w:lang w:bidi="ar"/>
              </w:rPr>
              <w:t>。其中总量为307.46万m</w:t>
            </w:r>
            <w:r>
              <w:rPr>
                <w:rFonts w:hint="eastAsia"/>
                <w:kern w:val="0"/>
                <w:sz w:val="24"/>
                <w:vertAlign w:val="superscript"/>
                <w:lang w:bidi="ar"/>
              </w:rPr>
              <w:t>3</w:t>
            </w:r>
            <w:r>
              <w:rPr>
                <w:rFonts w:hint="eastAsia"/>
                <w:kern w:val="0"/>
                <w:sz w:val="24"/>
                <w:lang w:bidi="ar"/>
              </w:rPr>
              <w:t>，内剥离总量313.47万m</w:t>
            </w:r>
            <w:r>
              <w:rPr>
                <w:rFonts w:hint="eastAsia"/>
                <w:kern w:val="0"/>
                <w:sz w:val="24"/>
                <w:vertAlign w:val="superscript"/>
                <w:lang w:bidi="ar"/>
              </w:rPr>
              <w:t>3</w:t>
            </w:r>
            <w:r>
              <w:rPr>
                <w:rFonts w:hint="eastAsia"/>
                <w:kern w:val="0"/>
                <w:sz w:val="24"/>
                <w:lang w:bidi="ar"/>
              </w:rPr>
              <w:t>。外剥离产生的废渣运至排土场堆排；内剥离产生的</w:t>
            </w:r>
            <w:r>
              <w:rPr>
                <w:rFonts w:hint="eastAsia"/>
                <w:kern w:val="0"/>
                <w:sz w:val="24"/>
                <w:lang w:val="en-US" w:eastAsia="zh-CN" w:bidi="ar"/>
              </w:rPr>
              <w:t>玻璃废石</w:t>
            </w:r>
            <w:r>
              <w:rPr>
                <w:rFonts w:hint="eastAsia"/>
                <w:kern w:val="0"/>
                <w:sz w:val="24"/>
                <w:lang w:bidi="ar"/>
              </w:rPr>
              <w:t>运输至配套工业场地破碎成不同粒径的碎石进行销售。剥离的废石于排土场进行规范化堆存；剥离的表土单独存放于排土场中，后期用于生态修复。</w:t>
            </w:r>
          </w:p>
          <w:p w14:paraId="53426DA0">
            <w:pPr>
              <w:widowControl/>
              <w:spacing w:line="480" w:lineRule="exact"/>
              <w:ind w:firstLine="480" w:firstLineChars="200"/>
              <w:rPr>
                <w:kern w:val="0"/>
                <w:sz w:val="24"/>
                <w:lang w:bidi="ar"/>
              </w:rPr>
            </w:pPr>
            <w:bookmarkStart w:id="17" w:name="_Hlk219849780"/>
            <w:r>
              <w:rPr>
                <w:rFonts w:hint="eastAsia"/>
                <w:kern w:val="0"/>
                <w:sz w:val="24"/>
                <w:lang w:bidi="ar"/>
              </w:rPr>
              <w:t>矿区东北侧布置一个排土场，排土场容积940.66万m</w:t>
            </w:r>
            <w:r>
              <w:rPr>
                <w:rFonts w:hint="eastAsia"/>
                <w:kern w:val="0"/>
                <w:sz w:val="24"/>
                <w:vertAlign w:val="superscript"/>
                <w:lang w:bidi="ar"/>
              </w:rPr>
              <w:t>3</w:t>
            </w:r>
            <w:r>
              <w:rPr>
                <w:rFonts w:hint="eastAsia"/>
                <w:kern w:val="0"/>
                <w:sz w:val="24"/>
                <w:lang w:bidi="ar"/>
              </w:rPr>
              <w:t>（已堆排废石408.6万m</w:t>
            </w:r>
            <w:r>
              <w:rPr>
                <w:rFonts w:hint="eastAsia"/>
                <w:kern w:val="0"/>
                <w:sz w:val="24"/>
                <w:vertAlign w:val="superscript"/>
                <w:lang w:bidi="ar"/>
              </w:rPr>
              <w:t>3</w:t>
            </w:r>
            <w:r>
              <w:rPr>
                <w:rFonts w:hint="eastAsia"/>
                <w:kern w:val="0"/>
                <w:sz w:val="24"/>
                <w:lang w:bidi="ar"/>
              </w:rPr>
              <w:t>，排土场剩余容积532.06万m</w:t>
            </w:r>
            <w:r>
              <w:rPr>
                <w:rFonts w:hint="eastAsia"/>
                <w:kern w:val="0"/>
                <w:sz w:val="24"/>
                <w:vertAlign w:val="superscript"/>
                <w:lang w:bidi="ar"/>
              </w:rPr>
              <w:t>3</w:t>
            </w:r>
            <w:r>
              <w:rPr>
                <w:rFonts w:hint="eastAsia"/>
                <w:kern w:val="0"/>
                <w:sz w:val="24"/>
                <w:lang w:bidi="ar"/>
              </w:rPr>
              <w:t>，满足外剥离量307.46万m</w:t>
            </w:r>
            <w:r>
              <w:rPr>
                <w:rFonts w:hint="eastAsia"/>
                <w:kern w:val="0"/>
                <w:sz w:val="24"/>
                <w:vertAlign w:val="superscript"/>
                <w:lang w:bidi="ar"/>
              </w:rPr>
              <w:t>3</w:t>
            </w:r>
            <w:r>
              <w:rPr>
                <w:rFonts w:hint="eastAsia"/>
                <w:kern w:val="0"/>
                <w:sz w:val="24"/>
                <w:lang w:bidi="ar"/>
              </w:rPr>
              <w:t>排土需求），排土场标高1085-904m，堆置高度181m。台阶高度20m，排土场坡面角45°，马道宽5m。</w:t>
            </w:r>
          </w:p>
          <w:bookmarkEnd w:id="17"/>
          <w:p w14:paraId="79D5FCC4">
            <w:pPr>
              <w:widowControl/>
              <w:spacing w:line="480" w:lineRule="exact"/>
              <w:ind w:firstLine="480" w:firstLineChars="200"/>
              <w:rPr>
                <w:kern w:val="0"/>
                <w:sz w:val="24"/>
                <w:lang w:bidi="ar"/>
              </w:rPr>
            </w:pPr>
            <w:r>
              <w:rPr>
                <w:rFonts w:hint="eastAsia"/>
                <w:kern w:val="0"/>
                <w:sz w:val="24"/>
                <w:lang w:bidi="ar"/>
              </w:rPr>
              <w:t>本矿废土排放方式为汽车运输，装载机转排。</w:t>
            </w:r>
          </w:p>
          <w:p w14:paraId="734C1BC1">
            <w:pPr>
              <w:widowControl/>
              <w:spacing w:line="480" w:lineRule="exact"/>
              <w:ind w:firstLine="480" w:firstLineChars="200"/>
              <w:rPr>
                <w:kern w:val="0"/>
                <w:sz w:val="24"/>
                <w:lang w:bidi="ar"/>
              </w:rPr>
            </w:pPr>
            <w:r>
              <w:rPr>
                <w:rFonts w:hint="eastAsia"/>
                <w:kern w:val="0"/>
                <w:sz w:val="24"/>
                <w:lang w:bidi="ar"/>
              </w:rPr>
              <w:t>排土工艺：主要有汽车翻卸岩土、装载机推排、平整场地。汽车进入排土场后到达卸土段，然后调车，其调车最大宽度要大于汽车的最小转弯半径，最后汽车后退靠近边坡卸土。台阶坡顶设置车挡，车挡高不小于轮胎直径的1/2，顶、底宽分别为轮胎直径的1/4和3/4。考虑到堆弃废土的下沉系数，台阶顶面保持2%的反向坡。在确保安全的前提下，汽车尽量靠近阶段边缘，以减少装载机的排气量。汽车卸载后，装载机将遗留在工作平台的部分或全部剥离物推向阶段边帮。</w:t>
            </w:r>
          </w:p>
          <w:p w14:paraId="38CE5AA5">
            <w:pPr>
              <w:widowControl/>
              <w:spacing w:line="480" w:lineRule="exact"/>
              <w:ind w:firstLine="480" w:firstLineChars="200"/>
              <w:rPr>
                <w:kern w:val="0"/>
                <w:sz w:val="24"/>
                <w:lang w:bidi="ar"/>
              </w:rPr>
            </w:pPr>
            <w:r>
              <w:rPr>
                <w:rFonts w:hint="eastAsia"/>
                <w:kern w:val="0"/>
                <w:sz w:val="24"/>
                <w:lang w:bidi="ar"/>
              </w:rPr>
              <w:t>建设单位要对排土场加强管理，做到排放位置具体，禁止无规划地堆放。同时对土堆采取必要的管理措施，防止溃坝引发滑坡，泥石流等灾害。堆排采用以下措施：</w:t>
            </w:r>
          </w:p>
          <w:p w14:paraId="024ECBDA">
            <w:pPr>
              <w:widowControl/>
              <w:spacing w:line="480" w:lineRule="exact"/>
              <w:ind w:firstLine="480" w:firstLineChars="200"/>
              <w:rPr>
                <w:kern w:val="0"/>
                <w:sz w:val="24"/>
                <w:lang w:bidi="ar"/>
              </w:rPr>
            </w:pPr>
            <w:r>
              <w:rPr>
                <w:rFonts w:hint="eastAsia" w:ascii="仿宋_GB2312" w:hAnsi="仿宋_GB2312" w:eastAsia="仿宋_GB2312" w:cs="仿宋_GB2312"/>
                <w:kern w:val="0"/>
                <w:sz w:val="24"/>
                <w:lang w:bidi="ar"/>
              </w:rPr>
              <w:t>①</w:t>
            </w:r>
            <w:r>
              <w:rPr>
                <w:rFonts w:hint="eastAsia"/>
                <w:kern w:val="0"/>
                <w:sz w:val="24"/>
                <w:lang w:bidi="ar"/>
              </w:rPr>
              <w:t>采用分层堆放的方法，废土堆放高度不能超过设计规定，防止发生边坡垮塌；</w:t>
            </w:r>
          </w:p>
          <w:p w14:paraId="1A138914">
            <w:pPr>
              <w:widowControl/>
              <w:spacing w:line="480" w:lineRule="exact"/>
              <w:ind w:firstLine="480" w:firstLineChars="200"/>
              <w:rPr>
                <w:kern w:val="0"/>
                <w:sz w:val="24"/>
                <w:lang w:bidi="ar"/>
              </w:rPr>
            </w:pPr>
            <w:r>
              <w:rPr>
                <w:rFonts w:hint="eastAsia" w:ascii="宋体" w:hAnsi="宋体" w:cs="宋体"/>
                <w:kern w:val="0"/>
                <w:sz w:val="24"/>
                <w:lang w:bidi="ar"/>
              </w:rPr>
              <w:t>②</w:t>
            </w:r>
            <w:r>
              <w:rPr>
                <w:rFonts w:hint="eastAsia"/>
                <w:kern w:val="0"/>
                <w:sz w:val="24"/>
                <w:lang w:bidi="ar"/>
              </w:rPr>
              <w:t>排土场要有专人进行管理，特别在雨季要加强安全检查，防止发生溃坝、滑坡、泥石流等地质灾害；</w:t>
            </w:r>
          </w:p>
          <w:p w14:paraId="4C32A0EC">
            <w:pPr>
              <w:pStyle w:val="2"/>
              <w:spacing w:after="0" w:line="480" w:lineRule="exact"/>
              <w:ind w:left="0" w:leftChars="0" w:firstLine="480" w:firstLineChars="200"/>
              <w:rPr>
                <w:rFonts w:ascii="宋体" w:hAnsi="宋体" w:cs="宋体"/>
                <w:sz w:val="24"/>
              </w:rPr>
            </w:pPr>
            <w:r>
              <w:rPr>
                <w:rFonts w:hint="eastAsia" w:ascii="宋体" w:hAnsi="宋体" w:cs="宋体"/>
                <w:sz w:val="24"/>
              </w:rPr>
              <w:t>③剥离的废石规范堆存于排土场内，剥离的表土前期堆存于排土场内，后期回用于矿区生态恢复。表土堆放好后，在其上覆盖防尘网，以便于日后取土进行生态修复。</w:t>
            </w:r>
          </w:p>
          <w:p w14:paraId="7621626D">
            <w:pPr>
              <w:widowControl/>
              <w:spacing w:line="480" w:lineRule="exact"/>
              <w:jc w:val="center"/>
              <w:rPr>
                <w:rFonts w:hint="eastAsia"/>
                <w:b/>
                <w:bCs/>
                <w:kern w:val="0"/>
                <w:szCs w:val="21"/>
                <w:highlight w:val="red"/>
                <w:lang w:bidi="ar"/>
              </w:rPr>
            </w:pPr>
          </w:p>
          <w:p w14:paraId="4654F2B1">
            <w:pPr>
              <w:widowControl/>
              <w:spacing w:line="480" w:lineRule="exact"/>
              <w:jc w:val="center"/>
              <w:rPr>
                <w:rFonts w:hint="eastAsia"/>
                <w:b/>
                <w:bCs/>
                <w:kern w:val="0"/>
                <w:szCs w:val="21"/>
                <w:highlight w:val="red"/>
                <w:lang w:bidi="ar"/>
              </w:rPr>
            </w:pPr>
          </w:p>
          <w:p w14:paraId="22958E4B">
            <w:pPr>
              <w:widowControl/>
              <w:spacing w:line="480" w:lineRule="exact"/>
              <w:jc w:val="center"/>
              <w:rPr>
                <w:rFonts w:hint="eastAsia"/>
                <w:b/>
                <w:bCs/>
                <w:kern w:val="0"/>
                <w:szCs w:val="21"/>
                <w:highlight w:val="red"/>
                <w:lang w:bidi="ar"/>
              </w:rPr>
            </w:pPr>
          </w:p>
          <w:p w14:paraId="034223C3">
            <w:pPr>
              <w:widowControl/>
              <w:spacing w:line="480" w:lineRule="exact"/>
              <w:jc w:val="center"/>
              <w:rPr>
                <w:rFonts w:hint="eastAsia"/>
                <w:b/>
                <w:bCs/>
                <w:kern w:val="0"/>
                <w:szCs w:val="21"/>
                <w:highlight w:val="red"/>
                <w:lang w:bidi="ar"/>
              </w:rPr>
            </w:pPr>
          </w:p>
          <w:p w14:paraId="34EE459C">
            <w:pPr>
              <w:pStyle w:val="2"/>
              <w:rPr>
                <w:rFonts w:hint="eastAsia"/>
                <w:b/>
                <w:bCs/>
                <w:kern w:val="0"/>
                <w:szCs w:val="21"/>
                <w:highlight w:val="red"/>
                <w:lang w:bidi="ar"/>
              </w:rPr>
            </w:pPr>
          </w:p>
          <w:p w14:paraId="08E9D433">
            <w:pPr>
              <w:widowControl/>
              <w:spacing w:line="480" w:lineRule="exact"/>
              <w:jc w:val="center"/>
              <w:rPr>
                <w:rFonts w:hint="eastAsia"/>
                <w:b/>
                <w:bCs/>
                <w:kern w:val="0"/>
                <w:szCs w:val="21"/>
                <w:highlight w:val="red"/>
                <w:lang w:bidi="ar"/>
              </w:rPr>
            </w:pPr>
          </w:p>
          <w:p w14:paraId="1E7059B2">
            <w:pPr>
              <w:widowControl/>
              <w:spacing w:line="480" w:lineRule="exact"/>
              <w:jc w:val="center"/>
              <w:rPr>
                <w:rFonts w:hint="eastAsia"/>
                <w:b/>
                <w:bCs/>
                <w:kern w:val="0"/>
                <w:szCs w:val="21"/>
                <w:highlight w:val="red"/>
                <w:lang w:bidi="ar"/>
              </w:rPr>
            </w:pPr>
          </w:p>
          <w:p w14:paraId="221A0FF0">
            <w:pPr>
              <w:widowControl/>
              <w:spacing w:line="480" w:lineRule="exact"/>
              <w:jc w:val="center"/>
              <w:rPr>
                <w:rFonts w:hint="eastAsia"/>
                <w:b/>
                <w:bCs/>
                <w:kern w:val="0"/>
                <w:szCs w:val="21"/>
                <w:highlight w:val="red"/>
                <w:lang w:bidi="ar"/>
              </w:rPr>
            </w:pPr>
            <w:r>
              <w:rPr>
                <w:rFonts w:hint="eastAsia" w:hAnsi="宋体" w:eastAsia="宋体" w:cs="宋体"/>
                <w:color w:val="auto"/>
                <w:sz w:val="24"/>
                <w:highlight w:val="none"/>
                <w:lang w:eastAsia="zh-CN"/>
              </w:rPr>
              <w:drawing>
                <wp:anchor distT="0" distB="0" distL="114300" distR="114300" simplePos="0" relativeHeight="251661312" behindDoc="1" locked="0" layoutInCell="1" allowOverlap="1">
                  <wp:simplePos x="0" y="0"/>
                  <wp:positionH relativeFrom="column">
                    <wp:posOffset>883920</wp:posOffset>
                  </wp:positionH>
                  <wp:positionV relativeFrom="paragraph">
                    <wp:posOffset>206375</wp:posOffset>
                  </wp:positionV>
                  <wp:extent cx="3864610" cy="5387340"/>
                  <wp:effectExtent l="0" t="0" r="0" b="0"/>
                  <wp:wrapNone/>
                  <wp:docPr id="1" name="图片 1"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wps"/>
                          <pic:cNvPicPr>
                            <a:picLocks noChangeAspect="1"/>
                          </pic:cNvPicPr>
                        </pic:nvPicPr>
                        <pic:blipFill>
                          <a:blip r:embed="rId10"/>
                          <a:stretch>
                            <a:fillRect/>
                          </a:stretch>
                        </pic:blipFill>
                        <pic:spPr>
                          <a:xfrm>
                            <a:off x="0" y="0"/>
                            <a:ext cx="3864610" cy="5387340"/>
                          </a:xfrm>
                          <a:prstGeom prst="rect">
                            <a:avLst/>
                          </a:prstGeom>
                          <a:noFill/>
                          <a:ln>
                            <a:noFill/>
                          </a:ln>
                        </pic:spPr>
                      </pic:pic>
                    </a:graphicData>
                  </a:graphic>
                </wp:anchor>
              </w:drawing>
            </w:r>
          </w:p>
          <w:p w14:paraId="4CABD135">
            <w:pPr>
              <w:widowControl/>
              <w:spacing w:line="480" w:lineRule="exact"/>
              <w:jc w:val="center"/>
              <w:rPr>
                <w:rFonts w:hint="eastAsia"/>
                <w:b/>
                <w:bCs/>
                <w:kern w:val="0"/>
                <w:szCs w:val="21"/>
                <w:highlight w:val="red"/>
                <w:lang w:bidi="ar"/>
              </w:rPr>
            </w:pPr>
          </w:p>
          <w:p w14:paraId="4C323106">
            <w:pPr>
              <w:widowControl/>
              <w:spacing w:line="480" w:lineRule="exact"/>
              <w:jc w:val="center"/>
              <w:rPr>
                <w:rFonts w:hint="eastAsia"/>
                <w:b/>
                <w:bCs/>
                <w:kern w:val="0"/>
                <w:szCs w:val="21"/>
                <w:highlight w:val="red"/>
                <w:lang w:bidi="ar"/>
              </w:rPr>
            </w:pPr>
          </w:p>
          <w:p w14:paraId="5ADB8C17">
            <w:pPr>
              <w:widowControl/>
              <w:spacing w:line="480" w:lineRule="exact"/>
              <w:jc w:val="center"/>
              <w:rPr>
                <w:rFonts w:hint="eastAsia"/>
                <w:b/>
                <w:bCs/>
                <w:kern w:val="0"/>
                <w:szCs w:val="21"/>
                <w:highlight w:val="red"/>
                <w:lang w:bidi="ar"/>
              </w:rPr>
            </w:pPr>
          </w:p>
          <w:p w14:paraId="1484B81E">
            <w:pPr>
              <w:widowControl/>
              <w:spacing w:line="480" w:lineRule="exact"/>
              <w:jc w:val="center"/>
              <w:rPr>
                <w:rFonts w:hint="eastAsia"/>
                <w:b/>
                <w:bCs/>
                <w:kern w:val="0"/>
                <w:szCs w:val="21"/>
                <w:highlight w:val="red"/>
                <w:lang w:bidi="ar"/>
              </w:rPr>
            </w:pPr>
          </w:p>
          <w:p w14:paraId="1400CA85">
            <w:pPr>
              <w:widowControl/>
              <w:spacing w:line="480" w:lineRule="exact"/>
              <w:jc w:val="center"/>
              <w:rPr>
                <w:rFonts w:hint="eastAsia"/>
                <w:b/>
                <w:bCs/>
                <w:kern w:val="0"/>
                <w:szCs w:val="21"/>
                <w:highlight w:val="red"/>
                <w:lang w:bidi="ar"/>
              </w:rPr>
            </w:pPr>
          </w:p>
          <w:p w14:paraId="5259112C">
            <w:pPr>
              <w:widowControl/>
              <w:spacing w:line="480" w:lineRule="exact"/>
              <w:jc w:val="center"/>
              <w:rPr>
                <w:rFonts w:hint="eastAsia"/>
                <w:b/>
                <w:bCs/>
                <w:kern w:val="0"/>
                <w:szCs w:val="21"/>
                <w:highlight w:val="red"/>
                <w:lang w:bidi="ar"/>
              </w:rPr>
            </w:pPr>
            <w:r>
              <w:rPr>
                <w:sz w:val="21"/>
              </w:rPr>
              <mc:AlternateContent>
                <mc:Choice Requires="wps">
                  <w:drawing>
                    <wp:anchor distT="0" distB="0" distL="114300" distR="114300" simplePos="0" relativeHeight="251663360" behindDoc="0" locked="0" layoutInCell="1" allowOverlap="1">
                      <wp:simplePos x="0" y="0"/>
                      <wp:positionH relativeFrom="column">
                        <wp:posOffset>3051810</wp:posOffset>
                      </wp:positionH>
                      <wp:positionV relativeFrom="paragraph">
                        <wp:posOffset>266065</wp:posOffset>
                      </wp:positionV>
                      <wp:extent cx="739775" cy="290195"/>
                      <wp:effectExtent l="0" t="0" r="3175" b="14605"/>
                      <wp:wrapNone/>
                      <wp:docPr id="4" name="文本框 4"/>
                      <wp:cNvGraphicFramePr/>
                      <a:graphic xmlns:a="http://schemas.openxmlformats.org/drawingml/2006/main">
                        <a:graphicData uri="http://schemas.microsoft.com/office/word/2010/wordprocessingShape">
                          <wps:wsp>
                            <wps:cNvSpPr txBox="1"/>
                            <wps:spPr>
                              <a:xfrm>
                                <a:off x="4792345" y="2376170"/>
                                <a:ext cx="739775" cy="290195"/>
                              </a:xfrm>
                              <a:prstGeom prst="rect">
                                <a:avLst/>
                              </a:prstGeom>
                              <a:solidFill>
                                <a:schemeClr val="bg1"/>
                              </a:solidFill>
                              <a:ln w="6350">
                                <a:noFill/>
                              </a:ln>
                            </wps:spPr>
                            <wps:style>
                              <a:lnRef idx="0">
                                <a:schemeClr val="accent1"/>
                              </a:lnRef>
                              <a:fillRef idx="0">
                                <a:schemeClr val="accent1"/>
                              </a:fillRef>
                              <a:effectRef idx="0">
                                <a:schemeClr val="accent1"/>
                              </a:effectRef>
                              <a:fontRef idx="minor">
                                <a:schemeClr val="dk1"/>
                              </a:fontRef>
                            </wps:style>
                            <wps:txbx>
                              <w:txbxContent>
                                <w:p w14:paraId="3B822669">
                                  <w:pPr>
                                    <w:rPr>
                                      <w:rFonts w:hint="eastAsia" w:eastAsia="宋体"/>
                                      <w:sz w:val="21"/>
                                      <w:szCs w:val="21"/>
                                      <w:lang w:val="en-US" w:eastAsia="zh-CN"/>
                                    </w:rPr>
                                  </w:pPr>
                                  <w:r>
                                    <w:rPr>
                                      <w:rFonts w:hint="eastAsia"/>
                                      <w:kern w:val="0"/>
                                      <w:sz w:val="21"/>
                                      <w:szCs w:val="21"/>
                                      <w:lang w:bidi="ar"/>
                                    </w:rPr>
                                    <w:t>外剥离</w:t>
                                  </w:r>
                                  <w:r>
                                    <w:rPr>
                                      <w:rFonts w:hint="eastAsia"/>
                                      <w:kern w:val="0"/>
                                      <w:sz w:val="21"/>
                                      <w:szCs w:val="21"/>
                                      <w:lang w:val="en-US" w:eastAsia="zh-CN" w:bidi="ar"/>
                                    </w:rPr>
                                    <w:t>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0.3pt;margin-top:20.95pt;height:22.85pt;width:58.25pt;z-index:251663360;mso-width-relative:page;mso-height-relative:page;" fillcolor="#FFFFFF [3212]" filled="t" stroked="f" coordsize="21600,21600" o:gfxdata="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CJ1lfa1QAA&#10;AAkBAAAPAAAAAAAAAAEAIAAAACIAAABkcnMvZG93bnJldi54bWxQSwECFAAUAAAACACHTuJAwNJI&#10;e1oCAACaBAAADgAAAAAAAAABACAAAAAkAQAAZHJzL2Uyb0RvYy54bWxQSwUGAAAAAAYABgBZAQAA&#10;8AUAAAAA&#10;">
                      <v:fill on="t" focussize="0,0"/>
                      <v:stroke on="f" weight="0.5pt"/>
                      <v:imagedata o:title=""/>
                      <o:lock v:ext="edit" aspectratio="f"/>
                      <v:textbox>
                        <w:txbxContent>
                          <w:p w14:paraId="3B822669">
                            <w:pPr>
                              <w:rPr>
                                <w:rFonts w:hint="eastAsia" w:eastAsia="宋体"/>
                                <w:sz w:val="21"/>
                                <w:szCs w:val="21"/>
                                <w:lang w:val="en-US" w:eastAsia="zh-CN"/>
                              </w:rPr>
                            </w:pPr>
                            <w:r>
                              <w:rPr>
                                <w:rFonts w:hint="eastAsia"/>
                                <w:kern w:val="0"/>
                                <w:sz w:val="21"/>
                                <w:szCs w:val="21"/>
                                <w:lang w:bidi="ar"/>
                              </w:rPr>
                              <w:t>外剥离</w:t>
                            </w:r>
                            <w:r>
                              <w:rPr>
                                <w:rFonts w:hint="eastAsia"/>
                                <w:kern w:val="0"/>
                                <w:sz w:val="21"/>
                                <w:szCs w:val="21"/>
                                <w:lang w:val="en-US" w:eastAsia="zh-CN" w:bidi="ar"/>
                              </w:rPr>
                              <w:t>物</w:t>
                            </w:r>
                          </w:p>
                        </w:txbxContent>
                      </v:textbox>
                    </v:shape>
                  </w:pict>
                </mc:Fallback>
              </mc:AlternateContent>
            </w:r>
          </w:p>
          <w:p w14:paraId="64B45F03">
            <w:pPr>
              <w:widowControl/>
              <w:spacing w:line="480" w:lineRule="exact"/>
              <w:jc w:val="center"/>
              <w:rPr>
                <w:rFonts w:hint="eastAsia"/>
                <w:b/>
                <w:bCs/>
                <w:kern w:val="0"/>
                <w:szCs w:val="21"/>
                <w:highlight w:val="red"/>
                <w:lang w:bidi="ar"/>
              </w:rPr>
            </w:pPr>
          </w:p>
          <w:p w14:paraId="10CDE486">
            <w:pPr>
              <w:widowControl/>
              <w:spacing w:line="480" w:lineRule="exact"/>
              <w:jc w:val="center"/>
              <w:rPr>
                <w:rFonts w:hint="eastAsia"/>
                <w:b/>
                <w:bCs/>
                <w:kern w:val="0"/>
                <w:szCs w:val="21"/>
                <w:highlight w:val="red"/>
                <w:lang w:bidi="ar"/>
              </w:rPr>
            </w:pPr>
          </w:p>
          <w:p w14:paraId="7F44BD56">
            <w:pPr>
              <w:widowControl/>
              <w:spacing w:line="480" w:lineRule="exact"/>
              <w:jc w:val="center"/>
              <w:rPr>
                <w:rFonts w:hint="eastAsia"/>
                <w:b/>
                <w:bCs/>
                <w:kern w:val="0"/>
                <w:szCs w:val="21"/>
                <w:highlight w:val="red"/>
                <w:lang w:bidi="ar"/>
              </w:rPr>
            </w:pPr>
            <w:r>
              <w:rPr>
                <w:sz w:val="21"/>
              </w:rPr>
              <mc:AlternateContent>
                <mc:Choice Requires="wps">
                  <w:drawing>
                    <wp:anchor distT="0" distB="0" distL="114300" distR="114300" simplePos="0" relativeHeight="251665408" behindDoc="0" locked="0" layoutInCell="1" allowOverlap="1">
                      <wp:simplePos x="0" y="0"/>
                      <wp:positionH relativeFrom="column">
                        <wp:posOffset>2957830</wp:posOffset>
                      </wp:positionH>
                      <wp:positionV relativeFrom="paragraph">
                        <wp:posOffset>50165</wp:posOffset>
                      </wp:positionV>
                      <wp:extent cx="739775" cy="276225"/>
                      <wp:effectExtent l="0" t="0" r="3175" b="9525"/>
                      <wp:wrapNone/>
                      <wp:docPr id="5" name="文本框 5"/>
                      <wp:cNvGraphicFramePr/>
                      <a:graphic xmlns:a="http://schemas.openxmlformats.org/drawingml/2006/main">
                        <a:graphicData uri="http://schemas.microsoft.com/office/word/2010/wordprocessingShape">
                          <wps:wsp>
                            <wps:cNvSpPr txBox="1"/>
                            <wps:spPr>
                              <a:xfrm>
                                <a:off x="0" y="0"/>
                                <a:ext cx="739775" cy="276225"/>
                              </a:xfrm>
                              <a:prstGeom prst="rect">
                                <a:avLst/>
                              </a:prstGeom>
                              <a:solidFill>
                                <a:schemeClr val="bg1"/>
                              </a:solidFill>
                              <a:ln w="6350">
                                <a:noFill/>
                              </a:ln>
                            </wps:spPr>
                            <wps:style>
                              <a:lnRef idx="0">
                                <a:schemeClr val="accent1"/>
                              </a:lnRef>
                              <a:fillRef idx="0">
                                <a:schemeClr val="accent1"/>
                              </a:fillRef>
                              <a:effectRef idx="0">
                                <a:schemeClr val="accent1"/>
                              </a:effectRef>
                              <a:fontRef idx="minor">
                                <a:schemeClr val="dk1"/>
                              </a:fontRef>
                            </wps:style>
                            <wps:txbx>
                              <w:txbxContent>
                                <w:p w14:paraId="005A4FD6">
                                  <w:pPr>
                                    <w:rPr>
                                      <w:rFonts w:hint="eastAsia" w:eastAsia="宋体"/>
                                      <w:sz w:val="21"/>
                                      <w:szCs w:val="21"/>
                                      <w:lang w:val="en-US" w:eastAsia="zh-CN"/>
                                    </w:rPr>
                                  </w:pPr>
                                  <w:r>
                                    <w:rPr>
                                      <w:rFonts w:hint="eastAsia"/>
                                      <w:kern w:val="0"/>
                                      <w:sz w:val="21"/>
                                      <w:szCs w:val="21"/>
                                      <w:lang w:val="en-US" w:eastAsia="zh-CN" w:bidi="ar"/>
                                    </w:rPr>
                                    <w:t>内</w:t>
                                  </w:r>
                                  <w:r>
                                    <w:rPr>
                                      <w:rFonts w:hint="eastAsia"/>
                                      <w:kern w:val="0"/>
                                      <w:sz w:val="21"/>
                                      <w:szCs w:val="21"/>
                                      <w:lang w:bidi="ar"/>
                                    </w:rPr>
                                    <w:t>剥离</w:t>
                                  </w:r>
                                  <w:r>
                                    <w:rPr>
                                      <w:rFonts w:hint="eastAsia"/>
                                      <w:kern w:val="0"/>
                                      <w:sz w:val="21"/>
                                      <w:szCs w:val="21"/>
                                      <w:lang w:val="en-US" w:eastAsia="zh-CN" w:bidi="ar"/>
                                    </w:rPr>
                                    <w:t>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2.9pt;margin-top:3.95pt;height:21.75pt;width:58.25pt;z-index:251665408;mso-width-relative:page;mso-height-relative:page;" fillcolor="#FFFFFF [3212]" filled="t" stroked="f" coordsize="21600,21600" o:gfxdata="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j0+LD1QAAAAgBAAAPAAAA&#10;AAAAAAEAIAAAACIAAABkcnMvZG93bnJldi54bWxQSwECFAAUAAAACACHTuJAYYtTcFECAACOBAAA&#10;DgAAAAAAAAABACAAAAAkAQAAZHJzL2Uyb0RvYy54bWxQSwUGAAAAAAYABgBZAQAA5wUAAAAA&#10;">
                      <v:fill on="t" focussize="0,0"/>
                      <v:stroke on="f" weight="0.5pt"/>
                      <v:imagedata o:title=""/>
                      <o:lock v:ext="edit" aspectratio="f"/>
                      <v:textbox>
                        <w:txbxContent>
                          <w:p w14:paraId="005A4FD6">
                            <w:pPr>
                              <w:rPr>
                                <w:rFonts w:hint="eastAsia" w:eastAsia="宋体"/>
                                <w:sz w:val="21"/>
                                <w:szCs w:val="21"/>
                                <w:lang w:val="en-US" w:eastAsia="zh-CN"/>
                              </w:rPr>
                            </w:pPr>
                            <w:r>
                              <w:rPr>
                                <w:rFonts w:hint="eastAsia"/>
                                <w:kern w:val="0"/>
                                <w:sz w:val="21"/>
                                <w:szCs w:val="21"/>
                                <w:lang w:val="en-US" w:eastAsia="zh-CN" w:bidi="ar"/>
                              </w:rPr>
                              <w:t>内</w:t>
                            </w:r>
                            <w:r>
                              <w:rPr>
                                <w:rFonts w:hint="eastAsia"/>
                                <w:kern w:val="0"/>
                                <w:sz w:val="21"/>
                                <w:szCs w:val="21"/>
                                <w:lang w:bidi="ar"/>
                              </w:rPr>
                              <w:t>剥离</w:t>
                            </w:r>
                            <w:r>
                              <w:rPr>
                                <w:rFonts w:hint="eastAsia"/>
                                <w:kern w:val="0"/>
                                <w:sz w:val="21"/>
                                <w:szCs w:val="21"/>
                                <w:lang w:val="en-US" w:eastAsia="zh-CN" w:bidi="ar"/>
                              </w:rPr>
                              <w:t>物</w:t>
                            </w:r>
                          </w:p>
                        </w:txbxContent>
                      </v:textbox>
                    </v:shape>
                  </w:pict>
                </mc:Fallback>
              </mc:AlternateContent>
            </w:r>
          </w:p>
          <w:p w14:paraId="297203D7">
            <w:pPr>
              <w:widowControl/>
              <w:spacing w:line="480" w:lineRule="exact"/>
              <w:jc w:val="center"/>
              <w:rPr>
                <w:rFonts w:hint="eastAsia"/>
                <w:b/>
                <w:bCs/>
                <w:kern w:val="0"/>
                <w:szCs w:val="21"/>
                <w:highlight w:val="red"/>
                <w:lang w:bidi="ar"/>
              </w:rPr>
            </w:pPr>
          </w:p>
          <w:p w14:paraId="7B9697CD">
            <w:pPr>
              <w:widowControl/>
              <w:spacing w:line="480" w:lineRule="exact"/>
              <w:jc w:val="center"/>
              <w:rPr>
                <w:rFonts w:hint="eastAsia"/>
                <w:b/>
                <w:bCs/>
                <w:kern w:val="0"/>
                <w:szCs w:val="21"/>
                <w:highlight w:val="red"/>
                <w:lang w:bidi="ar"/>
              </w:rPr>
            </w:pPr>
            <w:r>
              <w:rPr>
                <w:sz w:val="21"/>
              </w:rPr>
              <mc:AlternateContent>
                <mc:Choice Requires="wps">
                  <w:drawing>
                    <wp:anchor distT="0" distB="0" distL="114300" distR="114300" simplePos="0" relativeHeight="251661312" behindDoc="0" locked="0" layoutInCell="1" allowOverlap="1">
                      <wp:simplePos x="0" y="0"/>
                      <wp:positionH relativeFrom="column">
                        <wp:posOffset>3361690</wp:posOffset>
                      </wp:positionH>
                      <wp:positionV relativeFrom="paragraph">
                        <wp:posOffset>299085</wp:posOffset>
                      </wp:positionV>
                      <wp:extent cx="961390" cy="447040"/>
                      <wp:effectExtent l="4445" t="4445" r="5715" b="5715"/>
                      <wp:wrapNone/>
                      <wp:docPr id="2" name="文本框 2"/>
                      <wp:cNvGraphicFramePr/>
                      <a:graphic xmlns:a="http://schemas.openxmlformats.org/drawingml/2006/main">
                        <a:graphicData uri="http://schemas.microsoft.com/office/word/2010/wordprocessingShape">
                          <wps:wsp>
                            <wps:cNvSpPr txBox="1"/>
                            <wps:spPr>
                              <a:xfrm>
                                <a:off x="5014595" y="4691380"/>
                                <a:ext cx="961390" cy="447040"/>
                              </a:xfrm>
                              <a:prstGeom prst="rect">
                                <a:avLst/>
                              </a:prstGeom>
                              <a:solidFill>
                                <a:schemeClr val="bg1"/>
                              </a:solid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14:paraId="542BC0BD">
                                  <w:pPr>
                                    <w:rPr>
                                      <w:rFonts w:hint="default" w:eastAsia="宋体"/>
                                      <w:lang w:val="en-US" w:eastAsia="zh-CN"/>
                                    </w:rPr>
                                  </w:pPr>
                                  <w:r>
                                    <w:rPr>
                                      <w:rFonts w:hint="eastAsia"/>
                                      <w:lang w:val="en-US" w:eastAsia="zh-CN"/>
                                    </w:rPr>
                                    <w:t>本项目配套工业场地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4.7pt;margin-top:23.55pt;height:35.2pt;width:75.7pt;z-index:251661312;mso-width-relative:page;mso-height-relative:page;" fillcolor="#FFFFFF [3212]" filled="t" stroked="t" coordsize="21600,21600" o:gfxdata="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E3N5dXXAAAACgEAAA8AAAAAAAAAAQAgAAAAIgAAAGRycy9kb3ducmV2LnhtbFBLAQIUABQA&#10;AAAIAIdO4kDqJRu4YwIAAMMEAAAOAAAAAAAAAAEAIAAAACYBAABkcnMvZTJvRG9jLnhtbFBLBQYA&#10;AAAABgAGAFkBAAD7BQAAAAA=&#10;">
                      <v:fill on="t" focussize="0,0"/>
                      <v:stroke weight="0.5pt" color="#000000 [3213]" joinstyle="round"/>
                      <v:imagedata o:title=""/>
                      <o:lock v:ext="edit" aspectratio="f"/>
                      <v:textbox>
                        <w:txbxContent>
                          <w:p w14:paraId="542BC0BD">
                            <w:pPr>
                              <w:rPr>
                                <w:rFonts w:hint="default" w:eastAsia="宋体"/>
                                <w:lang w:val="en-US" w:eastAsia="zh-CN"/>
                              </w:rPr>
                            </w:pPr>
                            <w:r>
                              <w:rPr>
                                <w:rFonts w:hint="eastAsia"/>
                                <w:lang w:val="en-US" w:eastAsia="zh-CN"/>
                              </w:rPr>
                              <w:t>本项目配套工业场地</w:t>
                            </w:r>
                          </w:p>
                        </w:txbxContent>
                      </v:textbox>
                    </v:shape>
                  </w:pict>
                </mc:Fallback>
              </mc:AlternateContent>
            </w:r>
          </w:p>
          <w:p w14:paraId="7C6D7AA5">
            <w:pPr>
              <w:widowControl/>
              <w:spacing w:line="480" w:lineRule="exact"/>
              <w:jc w:val="center"/>
              <w:rPr>
                <w:rFonts w:hint="eastAsia"/>
                <w:b/>
                <w:bCs/>
                <w:kern w:val="0"/>
                <w:szCs w:val="21"/>
                <w:highlight w:val="red"/>
                <w:lang w:bidi="ar"/>
              </w:rPr>
            </w:pPr>
          </w:p>
          <w:p w14:paraId="329D20AD">
            <w:pPr>
              <w:widowControl/>
              <w:spacing w:line="480" w:lineRule="exact"/>
              <w:jc w:val="center"/>
              <w:rPr>
                <w:rFonts w:hint="eastAsia"/>
                <w:b/>
                <w:bCs/>
                <w:kern w:val="0"/>
                <w:szCs w:val="21"/>
                <w:highlight w:val="red"/>
                <w:lang w:bidi="ar"/>
              </w:rPr>
            </w:pPr>
          </w:p>
          <w:p w14:paraId="28F71294">
            <w:pPr>
              <w:widowControl/>
              <w:spacing w:line="480" w:lineRule="exact"/>
              <w:jc w:val="center"/>
              <w:rPr>
                <w:rFonts w:hint="eastAsia"/>
                <w:b/>
                <w:bCs/>
                <w:kern w:val="0"/>
                <w:szCs w:val="21"/>
                <w:highlight w:val="red"/>
                <w:lang w:bidi="ar"/>
              </w:rPr>
            </w:pPr>
          </w:p>
          <w:p w14:paraId="2200367A">
            <w:pPr>
              <w:widowControl/>
              <w:spacing w:line="480" w:lineRule="exact"/>
              <w:jc w:val="center"/>
              <w:rPr>
                <w:rFonts w:hint="eastAsia"/>
                <w:b/>
                <w:bCs/>
                <w:kern w:val="0"/>
                <w:szCs w:val="21"/>
                <w:highlight w:val="red"/>
                <w:lang w:bidi="ar"/>
              </w:rPr>
            </w:pPr>
          </w:p>
          <w:p w14:paraId="351ECAC3">
            <w:pPr>
              <w:widowControl/>
              <w:spacing w:line="480" w:lineRule="exact"/>
              <w:jc w:val="center"/>
              <w:rPr>
                <w:rFonts w:hint="eastAsia"/>
                <w:b/>
                <w:bCs/>
                <w:kern w:val="0"/>
                <w:szCs w:val="21"/>
                <w:highlight w:val="red"/>
                <w:lang w:bidi="ar"/>
              </w:rPr>
            </w:pPr>
          </w:p>
          <w:p w14:paraId="1B43D0D1">
            <w:pPr>
              <w:widowControl/>
              <w:spacing w:line="480" w:lineRule="exact"/>
              <w:jc w:val="center"/>
              <w:rPr>
                <w:rFonts w:hint="eastAsia"/>
                <w:b/>
                <w:bCs/>
                <w:kern w:val="0"/>
                <w:szCs w:val="21"/>
                <w:highlight w:val="red"/>
                <w:lang w:bidi="ar"/>
              </w:rPr>
            </w:pPr>
          </w:p>
          <w:p w14:paraId="22A8E247">
            <w:pPr>
              <w:widowControl/>
              <w:spacing w:line="480" w:lineRule="exact"/>
              <w:jc w:val="center"/>
              <w:rPr>
                <w:rFonts w:hint="eastAsia"/>
                <w:b/>
                <w:bCs/>
                <w:kern w:val="0"/>
                <w:szCs w:val="21"/>
                <w:highlight w:val="red"/>
                <w:lang w:bidi="ar"/>
              </w:rPr>
            </w:pPr>
          </w:p>
          <w:p w14:paraId="520B3B98">
            <w:pPr>
              <w:widowControl/>
              <w:spacing w:line="480" w:lineRule="exact"/>
              <w:jc w:val="center"/>
              <w:rPr>
                <w:rFonts w:ascii="Times New Roman"/>
                <w:color w:val="FF0000"/>
                <w:kern w:val="0"/>
                <w:lang w:bidi="ar"/>
              </w:rPr>
            </w:pPr>
            <w:r>
              <w:rPr>
                <w:rFonts w:hint="eastAsia"/>
                <w:b/>
                <w:bCs/>
                <w:kern w:val="0"/>
                <w:szCs w:val="21"/>
                <w:highlight w:val="none"/>
                <w:lang w:bidi="ar"/>
              </w:rPr>
              <w:t>图2-</w:t>
            </w:r>
            <w:r>
              <w:rPr>
                <w:b/>
                <w:bCs/>
                <w:kern w:val="0"/>
                <w:szCs w:val="21"/>
                <w:highlight w:val="none"/>
                <w:lang w:bidi="ar"/>
              </w:rPr>
              <w:t>2</w:t>
            </w:r>
            <w:r>
              <w:rPr>
                <w:rFonts w:hint="eastAsia"/>
                <w:b/>
                <w:bCs/>
                <w:kern w:val="0"/>
                <w:szCs w:val="21"/>
                <w:highlight w:val="none"/>
                <w:lang w:bidi="ar"/>
              </w:rPr>
              <w:t xml:space="preserve"> 开采方式工艺流程及产污节点图</w:t>
            </w:r>
          </w:p>
        </w:tc>
      </w:tr>
      <w:tr w14:paraId="6B1DB64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1022" w:type="dxa"/>
            <w:vAlign w:val="center"/>
          </w:tcPr>
          <w:p w14:paraId="77486C6A">
            <w:pPr>
              <w:adjustRightInd w:val="0"/>
              <w:snapToGrid w:val="0"/>
              <w:jc w:val="center"/>
              <w:rPr>
                <w:rFonts w:ascii="宋体" w:hAnsi="宋体" w:cs="宋体"/>
                <w:kern w:val="0"/>
                <w:sz w:val="24"/>
              </w:rPr>
            </w:pPr>
            <w:r>
              <w:rPr>
                <w:rFonts w:hint="eastAsia" w:ascii="宋体" w:hAnsi="宋体" w:cs="宋体"/>
                <w:kern w:val="0"/>
                <w:sz w:val="24"/>
              </w:rPr>
              <w:t>其他</w:t>
            </w:r>
          </w:p>
        </w:tc>
        <w:tc>
          <w:tcPr>
            <w:tcW w:w="8712" w:type="dxa"/>
            <w:vAlign w:val="center"/>
          </w:tcPr>
          <w:p w14:paraId="687D8317">
            <w:pPr>
              <w:keepNext/>
              <w:adjustRightInd w:val="0"/>
              <w:snapToGrid w:val="0"/>
              <w:jc w:val="center"/>
              <w:rPr>
                <w:rFonts w:hint="eastAsia" w:ascii="宋体" w:hAnsi="宋体" w:cs="宋体"/>
                <w:kern w:val="0"/>
                <w:sz w:val="24"/>
              </w:rPr>
            </w:pPr>
          </w:p>
          <w:p w14:paraId="72E9F52E">
            <w:pPr>
              <w:keepNext/>
              <w:adjustRightInd w:val="0"/>
              <w:snapToGrid w:val="0"/>
              <w:jc w:val="center"/>
              <w:rPr>
                <w:rFonts w:hint="eastAsia" w:ascii="宋体" w:hAnsi="宋体" w:cs="宋体"/>
                <w:kern w:val="0"/>
                <w:sz w:val="24"/>
              </w:rPr>
            </w:pPr>
          </w:p>
          <w:p w14:paraId="340C7E71">
            <w:pPr>
              <w:keepNext/>
              <w:adjustRightInd w:val="0"/>
              <w:snapToGrid w:val="0"/>
              <w:jc w:val="center"/>
              <w:rPr>
                <w:rFonts w:hint="eastAsia" w:ascii="宋体" w:hAnsi="宋体" w:cs="宋体"/>
                <w:kern w:val="0"/>
                <w:sz w:val="24"/>
              </w:rPr>
            </w:pPr>
          </w:p>
          <w:p w14:paraId="754CB28D">
            <w:pPr>
              <w:keepNext/>
              <w:adjustRightInd w:val="0"/>
              <w:snapToGrid w:val="0"/>
              <w:jc w:val="center"/>
              <w:rPr>
                <w:rFonts w:hint="eastAsia" w:ascii="宋体" w:hAnsi="宋体" w:cs="宋体"/>
                <w:kern w:val="0"/>
                <w:sz w:val="24"/>
              </w:rPr>
            </w:pPr>
          </w:p>
          <w:p w14:paraId="7A83718F">
            <w:pPr>
              <w:keepNext/>
              <w:adjustRightInd w:val="0"/>
              <w:snapToGrid w:val="0"/>
              <w:jc w:val="center"/>
              <w:rPr>
                <w:rFonts w:hint="eastAsia" w:ascii="宋体" w:hAnsi="宋体" w:cs="宋体"/>
                <w:kern w:val="0"/>
                <w:sz w:val="24"/>
              </w:rPr>
            </w:pPr>
          </w:p>
          <w:p w14:paraId="1B329751">
            <w:pPr>
              <w:keepNext/>
              <w:adjustRightInd w:val="0"/>
              <w:snapToGrid w:val="0"/>
              <w:jc w:val="center"/>
              <w:rPr>
                <w:rFonts w:hint="eastAsia" w:ascii="宋体" w:hAnsi="宋体" w:cs="宋体"/>
                <w:kern w:val="0"/>
                <w:sz w:val="24"/>
              </w:rPr>
            </w:pPr>
          </w:p>
          <w:p w14:paraId="5EBA2D60">
            <w:pPr>
              <w:keepNext/>
              <w:adjustRightInd w:val="0"/>
              <w:snapToGrid w:val="0"/>
              <w:jc w:val="center"/>
              <w:rPr>
                <w:rFonts w:hint="eastAsia" w:ascii="宋体" w:hAnsi="宋体" w:cs="宋体"/>
                <w:kern w:val="0"/>
                <w:sz w:val="24"/>
              </w:rPr>
            </w:pPr>
            <w:r>
              <w:rPr>
                <w:rFonts w:hint="eastAsia" w:ascii="宋体" w:hAnsi="宋体" w:cs="宋体"/>
                <w:kern w:val="0"/>
                <w:sz w:val="24"/>
              </w:rPr>
              <w:t>无</w:t>
            </w:r>
          </w:p>
          <w:p w14:paraId="02196D20">
            <w:pPr>
              <w:keepNext/>
              <w:adjustRightInd w:val="0"/>
              <w:snapToGrid w:val="0"/>
              <w:jc w:val="center"/>
              <w:rPr>
                <w:rFonts w:hint="eastAsia" w:ascii="宋体" w:hAnsi="宋体" w:cs="宋体"/>
                <w:kern w:val="0"/>
                <w:sz w:val="24"/>
              </w:rPr>
            </w:pPr>
          </w:p>
          <w:p w14:paraId="63F73E7D">
            <w:pPr>
              <w:keepNext/>
              <w:adjustRightInd w:val="0"/>
              <w:snapToGrid w:val="0"/>
              <w:jc w:val="center"/>
              <w:rPr>
                <w:rFonts w:hint="eastAsia" w:ascii="宋体" w:hAnsi="宋体" w:cs="宋体"/>
                <w:kern w:val="0"/>
                <w:sz w:val="24"/>
              </w:rPr>
            </w:pPr>
          </w:p>
          <w:p w14:paraId="307E5F50">
            <w:pPr>
              <w:keepNext/>
              <w:adjustRightInd w:val="0"/>
              <w:snapToGrid w:val="0"/>
              <w:jc w:val="center"/>
              <w:rPr>
                <w:rFonts w:hint="eastAsia" w:ascii="宋体" w:hAnsi="宋体" w:cs="宋体"/>
                <w:kern w:val="0"/>
                <w:sz w:val="24"/>
              </w:rPr>
            </w:pPr>
          </w:p>
          <w:p w14:paraId="756FA901">
            <w:pPr>
              <w:keepNext/>
              <w:adjustRightInd w:val="0"/>
              <w:snapToGrid w:val="0"/>
              <w:jc w:val="center"/>
              <w:rPr>
                <w:rFonts w:hint="eastAsia" w:ascii="宋体" w:hAnsi="宋体" w:cs="宋体"/>
                <w:kern w:val="0"/>
                <w:sz w:val="24"/>
              </w:rPr>
            </w:pPr>
          </w:p>
          <w:p w14:paraId="3BA37573">
            <w:pPr>
              <w:keepNext/>
              <w:adjustRightInd w:val="0"/>
              <w:snapToGrid w:val="0"/>
              <w:jc w:val="center"/>
              <w:rPr>
                <w:rFonts w:hint="eastAsia" w:ascii="宋体" w:hAnsi="宋体" w:cs="宋体"/>
                <w:kern w:val="0"/>
                <w:sz w:val="24"/>
              </w:rPr>
            </w:pPr>
          </w:p>
          <w:p w14:paraId="0942328E">
            <w:pPr>
              <w:keepNext/>
              <w:adjustRightInd w:val="0"/>
              <w:snapToGrid w:val="0"/>
              <w:jc w:val="center"/>
              <w:rPr>
                <w:rFonts w:hint="eastAsia" w:ascii="宋体" w:hAnsi="宋体" w:cs="宋体"/>
                <w:kern w:val="0"/>
                <w:sz w:val="24"/>
              </w:rPr>
            </w:pPr>
          </w:p>
        </w:tc>
      </w:tr>
    </w:tbl>
    <w:p w14:paraId="6AB040DD">
      <w:pPr>
        <w:pStyle w:val="21"/>
        <w:spacing w:before="0" w:beforeAutospacing="0" w:after="0" w:afterAutospacing="0"/>
        <w:jc w:val="center"/>
        <w:outlineLvl w:val="0"/>
        <w:rPr>
          <w:rFonts w:ascii="黑体" w:hAnsi="黑体" w:eastAsia="黑体"/>
          <w:snapToGrid w:val="0"/>
          <w:sz w:val="30"/>
          <w:szCs w:val="30"/>
        </w:rPr>
      </w:pPr>
      <w:r>
        <w:rPr>
          <w:rFonts w:eastAsia="仿宋_GB2312"/>
          <w:b/>
          <w:bCs/>
        </w:rPr>
        <w:br w:type="page"/>
      </w:r>
      <w:r>
        <w:rPr>
          <w:rFonts w:hint="eastAsia" w:ascii="黑体" w:hAnsi="黑体" w:eastAsia="黑体"/>
          <w:snapToGrid w:val="0"/>
          <w:sz w:val="30"/>
          <w:szCs w:val="30"/>
        </w:rPr>
        <w:t>三、生态环境现状、保护目标及评价标准</w:t>
      </w:r>
    </w:p>
    <w:tbl>
      <w:tblPr>
        <w:tblStyle w:val="29"/>
        <w:tblW w:w="976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9319"/>
      </w:tblGrid>
      <w:tr w14:paraId="783E9EC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dxa"/>
            <w:vAlign w:val="center"/>
          </w:tcPr>
          <w:p w14:paraId="56D7E5C0">
            <w:pPr>
              <w:adjustRightInd w:val="0"/>
              <w:snapToGrid w:val="0"/>
              <w:jc w:val="center"/>
              <w:rPr>
                <w:rFonts w:ascii="宋体" w:hAnsi="宋体" w:cs="宋体"/>
                <w:kern w:val="0"/>
                <w:sz w:val="24"/>
              </w:rPr>
            </w:pPr>
            <w:r>
              <w:rPr>
                <w:rFonts w:hint="eastAsia" w:ascii="宋体" w:hAnsi="宋体" w:cs="宋体"/>
                <w:kern w:val="0"/>
                <w:sz w:val="24"/>
              </w:rPr>
              <w:t>生态环境现状</w:t>
            </w:r>
          </w:p>
        </w:tc>
        <w:tc>
          <w:tcPr>
            <w:tcW w:w="9063" w:type="dxa"/>
            <w:vAlign w:val="center"/>
          </w:tcPr>
          <w:p w14:paraId="6295FE0A">
            <w:pPr>
              <w:pStyle w:val="27"/>
              <w:keepNext w:val="0"/>
              <w:keepLines w:val="0"/>
              <w:pageBreakBefore w:val="0"/>
              <w:kinsoku/>
              <w:wordWrap/>
              <w:overflowPunct/>
              <w:topLinePunct w:val="0"/>
              <w:autoSpaceDE/>
              <w:autoSpaceDN/>
              <w:bidi w:val="0"/>
              <w:spacing w:line="480" w:lineRule="exact"/>
              <w:ind w:firstLine="482"/>
              <w:textAlignment w:val="auto"/>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一、</w:t>
            </w:r>
            <w:r>
              <w:rPr>
                <w:b/>
                <w:bCs/>
                <w:color w:val="000000" w:themeColor="text1"/>
                <w14:textFill>
                  <w14:solidFill>
                    <w14:schemeClr w14:val="tx1"/>
                  </w14:solidFill>
                </w14:textFill>
              </w:rPr>
              <w:t>生态环境现状</w:t>
            </w:r>
          </w:p>
          <w:p w14:paraId="7A5CC863">
            <w:pPr>
              <w:pStyle w:val="27"/>
              <w:keepNext w:val="0"/>
              <w:keepLines w:val="0"/>
              <w:pageBreakBefore w:val="0"/>
              <w:kinsoku/>
              <w:wordWrap/>
              <w:overflowPunct/>
              <w:topLinePunct w:val="0"/>
              <w:autoSpaceDE/>
              <w:autoSpaceDN/>
              <w:bidi w:val="0"/>
              <w:spacing w:line="480" w:lineRule="exact"/>
              <w:ind w:firstLine="482"/>
              <w:textAlignment w:val="auto"/>
              <w:rPr>
                <w:b/>
                <w:bCs/>
                <w:color w:val="auto"/>
              </w:rPr>
            </w:pPr>
            <w:r>
              <w:rPr>
                <w:rFonts w:hint="eastAsia"/>
                <w:b/>
                <w:bCs/>
                <w:color w:val="auto"/>
              </w:rPr>
              <w:t>1.现场调查</w:t>
            </w:r>
            <w:bookmarkStart w:id="18" w:name="_Hlk214399185"/>
          </w:p>
          <w:p w14:paraId="0A94BF57">
            <w:pPr>
              <w:pStyle w:val="27"/>
              <w:keepNext w:val="0"/>
              <w:keepLines w:val="0"/>
              <w:pageBreakBefore w:val="0"/>
              <w:kinsoku/>
              <w:wordWrap/>
              <w:overflowPunct/>
              <w:topLinePunct w:val="0"/>
              <w:autoSpaceDE/>
              <w:autoSpaceDN/>
              <w:bidi w:val="0"/>
              <w:spacing w:line="480" w:lineRule="exact"/>
              <w:ind w:firstLine="480"/>
              <w:textAlignment w:val="auto"/>
              <w:rPr>
                <w:color w:val="auto"/>
              </w:rPr>
            </w:pPr>
            <w:r>
              <w:rPr>
                <w:rFonts w:hint="eastAsia"/>
                <w:color w:val="auto"/>
              </w:rPr>
              <w:t>项目占地类型主要为</w:t>
            </w:r>
            <w:r>
              <w:rPr>
                <w:rFonts w:hint="eastAsia" w:ascii="宋体" w:hAnsi="宋体" w:cs="宋体"/>
                <w:color w:val="auto"/>
                <w:kern w:val="0"/>
                <w:lang w:bidi="ar"/>
              </w:rPr>
              <w:t>灌木林地、其他草地、采矿用地、工业用地</w:t>
            </w:r>
            <w:r>
              <w:rPr>
                <w:rFonts w:hint="eastAsia"/>
                <w:color w:val="auto"/>
              </w:rPr>
              <w:t>。</w:t>
            </w:r>
            <w:r>
              <w:rPr>
                <w:rFonts w:hint="eastAsia" w:ascii="宋体" w:hAnsi="宋体" w:cs="宋体"/>
                <w:color w:val="auto"/>
                <w:kern w:val="0"/>
                <w:lang w:bidi="ar"/>
              </w:rPr>
              <w:t>矿区内植被主要有沙棘灌丛及草丛</w:t>
            </w:r>
            <w:r>
              <w:rPr>
                <w:rFonts w:hint="eastAsia"/>
                <w:color w:val="auto"/>
              </w:rPr>
              <w:t>。项目不在自然保护区、风景名胜区等环境敏感区域范围内，项目所在地动物较少，以啮齿类动物为主，包括</w:t>
            </w:r>
            <w:r>
              <w:rPr>
                <w:rFonts w:hint="eastAsia" w:ascii="宋体" w:hAnsi="宋体" w:cs="宋体"/>
                <w:color w:val="auto"/>
                <w:kern w:val="0"/>
                <w:lang w:bidi="ar"/>
              </w:rPr>
              <w:t>鼠类等</w:t>
            </w:r>
            <w:r>
              <w:rPr>
                <w:rFonts w:hint="eastAsia"/>
                <w:color w:val="auto"/>
              </w:rPr>
              <w:t>，未见大型野生哺乳动物，未见珍稀濒危保护野生动物分布，矿区内无天然珍稀野生动植物分布。矿区外新建运矿道路占地类型为灌木林地、采矿用地，不涉及公益林等保护性林地、基本农田。</w:t>
            </w:r>
          </w:p>
          <w:bookmarkEnd w:id="18"/>
          <w:p w14:paraId="138F6285">
            <w:pPr>
              <w:pStyle w:val="27"/>
              <w:keepNext w:val="0"/>
              <w:keepLines w:val="0"/>
              <w:pageBreakBefore w:val="0"/>
              <w:kinsoku/>
              <w:wordWrap/>
              <w:overflowPunct/>
              <w:topLinePunct w:val="0"/>
              <w:autoSpaceDE/>
              <w:autoSpaceDN/>
              <w:bidi w:val="0"/>
              <w:spacing w:line="480" w:lineRule="exact"/>
              <w:ind w:firstLine="480"/>
              <w:textAlignment w:val="auto"/>
              <w:rPr>
                <w:color w:val="auto"/>
              </w:rPr>
            </w:pPr>
            <w:r>
              <w:rPr>
                <w:rFonts w:hint="eastAsia"/>
                <w:color w:val="auto"/>
              </w:rPr>
              <w:t>（1）占地类型</w:t>
            </w:r>
          </w:p>
          <w:p w14:paraId="473FD3FC">
            <w:pPr>
              <w:pStyle w:val="27"/>
              <w:keepNext w:val="0"/>
              <w:keepLines w:val="0"/>
              <w:pageBreakBefore w:val="0"/>
              <w:kinsoku/>
              <w:wordWrap/>
              <w:overflowPunct/>
              <w:topLinePunct w:val="0"/>
              <w:autoSpaceDE/>
              <w:autoSpaceDN/>
              <w:bidi w:val="0"/>
              <w:spacing w:line="480" w:lineRule="exact"/>
              <w:ind w:firstLine="480"/>
              <w:textAlignment w:val="auto"/>
              <w:rPr>
                <w:color w:val="auto"/>
              </w:rPr>
            </w:pPr>
            <w:r>
              <w:rPr>
                <w:rFonts w:hint="eastAsia"/>
                <w:color w:val="auto"/>
              </w:rPr>
              <w:t>根据盂县自然资源局国土变更调查数据库成果资料，本项目占地类型为灌木林地、其他草地、采矿用地、工业用地。矿区范围内不占用基本农田，不涉及自然保护区、风景名胜区、森林公园、重要湿地等生态敏感区。</w:t>
            </w:r>
          </w:p>
          <w:p w14:paraId="270B9535">
            <w:pPr>
              <w:pStyle w:val="27"/>
              <w:keepNext w:val="0"/>
              <w:keepLines w:val="0"/>
              <w:pageBreakBefore w:val="0"/>
              <w:kinsoku/>
              <w:wordWrap/>
              <w:overflowPunct/>
              <w:topLinePunct w:val="0"/>
              <w:autoSpaceDE/>
              <w:autoSpaceDN/>
              <w:bidi w:val="0"/>
              <w:spacing w:line="480" w:lineRule="exact"/>
              <w:ind w:firstLine="480"/>
              <w:textAlignment w:val="auto"/>
              <w:rPr>
                <w:color w:val="auto"/>
              </w:rPr>
            </w:pPr>
            <w:r>
              <w:rPr>
                <w:rFonts w:hint="eastAsia"/>
                <w:color w:val="auto"/>
              </w:rPr>
              <w:t>（2）陆生生态</w:t>
            </w:r>
          </w:p>
          <w:p w14:paraId="13C11DFE">
            <w:pPr>
              <w:pStyle w:val="27"/>
              <w:keepNext w:val="0"/>
              <w:keepLines w:val="0"/>
              <w:pageBreakBefore w:val="0"/>
              <w:kinsoku/>
              <w:wordWrap/>
              <w:overflowPunct/>
              <w:topLinePunct w:val="0"/>
              <w:autoSpaceDE/>
              <w:autoSpaceDN/>
              <w:bidi w:val="0"/>
              <w:spacing w:line="480" w:lineRule="exact"/>
              <w:ind w:firstLine="480"/>
              <w:textAlignment w:val="auto"/>
              <w:rPr>
                <w:color w:val="auto"/>
              </w:rPr>
            </w:pPr>
            <w:r>
              <w:rPr>
                <w:rFonts w:hint="eastAsia"/>
                <w:color w:val="auto"/>
              </w:rPr>
              <w:t>①林地</w:t>
            </w:r>
          </w:p>
          <w:p w14:paraId="174A635E">
            <w:pPr>
              <w:keepNext w:val="0"/>
              <w:keepLines w:val="0"/>
              <w:pageBreakBefore w:val="0"/>
              <w:kinsoku/>
              <w:wordWrap/>
              <w:overflowPunct/>
              <w:topLinePunct w:val="0"/>
              <w:autoSpaceDE/>
              <w:autoSpaceDN/>
              <w:bidi w:val="0"/>
              <w:adjustRightInd w:val="0"/>
              <w:snapToGrid w:val="0"/>
              <w:spacing w:line="480" w:lineRule="exact"/>
              <w:ind w:firstLine="480" w:firstLineChars="200"/>
              <w:textAlignment w:val="auto"/>
              <w:rPr>
                <w:sz w:val="24"/>
              </w:rPr>
            </w:pPr>
            <w:r>
              <w:rPr>
                <w:rFonts w:hint="eastAsia" w:ascii="宋体" w:hAnsi="宋体" w:cs="宋体"/>
                <w:kern w:val="0"/>
                <w:sz w:val="24"/>
              </w:rPr>
              <w:t>项目区林地主要为灌木林地，主要分布于矿区内，植被种类主要是</w:t>
            </w:r>
            <w:r>
              <w:rPr>
                <w:rFonts w:hint="eastAsia" w:ascii="宋体" w:hAnsi="宋体" w:cs="宋体"/>
                <w:sz w:val="24"/>
              </w:rPr>
              <w:t>沙棘、紫穗槐</w:t>
            </w:r>
            <w:r>
              <w:rPr>
                <w:rFonts w:hint="eastAsia" w:ascii="宋体" w:hAnsi="宋体" w:cs="宋体"/>
                <w:kern w:val="0"/>
                <w:sz w:val="24"/>
              </w:rPr>
              <w:t>等，植被覆盖率为</w:t>
            </w:r>
            <w:r>
              <w:rPr>
                <w:kern w:val="0"/>
                <w:sz w:val="24"/>
              </w:rPr>
              <w:t>22%。</w:t>
            </w:r>
          </w:p>
          <w:p w14:paraId="679274E4">
            <w:pPr>
              <w:pStyle w:val="27"/>
              <w:keepNext w:val="0"/>
              <w:keepLines w:val="0"/>
              <w:pageBreakBefore w:val="0"/>
              <w:kinsoku/>
              <w:wordWrap/>
              <w:overflowPunct/>
              <w:topLinePunct w:val="0"/>
              <w:autoSpaceDE/>
              <w:autoSpaceDN/>
              <w:bidi w:val="0"/>
              <w:spacing w:line="480" w:lineRule="exact"/>
              <w:ind w:firstLine="480"/>
              <w:textAlignment w:val="auto"/>
              <w:rPr>
                <w:color w:val="auto"/>
              </w:rPr>
            </w:pPr>
            <w:r>
              <w:rPr>
                <w:color w:val="auto"/>
              </w:rPr>
              <w:t>②草地</w:t>
            </w:r>
          </w:p>
          <w:p w14:paraId="5B5B6AF1">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jc w:val="left"/>
              <w:textAlignment w:val="auto"/>
              <w:rPr>
                <w:kern w:val="0"/>
                <w:sz w:val="24"/>
              </w:rPr>
            </w:pPr>
            <w:r>
              <w:rPr>
                <w:kern w:val="0"/>
                <w:sz w:val="24"/>
              </w:rPr>
              <w:t>草地植被类型主要为天然草地，植被种类以白羊草、蒿类等为主，植被覆盖率30%。</w:t>
            </w:r>
          </w:p>
          <w:p w14:paraId="13008781">
            <w:pPr>
              <w:pStyle w:val="27"/>
              <w:keepNext w:val="0"/>
              <w:keepLines w:val="0"/>
              <w:pageBreakBefore w:val="0"/>
              <w:kinsoku/>
              <w:wordWrap/>
              <w:overflowPunct/>
              <w:topLinePunct w:val="0"/>
              <w:autoSpaceDE/>
              <w:autoSpaceDN/>
              <w:bidi w:val="0"/>
              <w:spacing w:line="480" w:lineRule="exact"/>
              <w:ind w:firstLine="480"/>
              <w:textAlignment w:val="auto"/>
              <w:rPr>
                <w:color w:val="auto"/>
              </w:rPr>
            </w:pPr>
            <w:r>
              <w:rPr>
                <w:color w:val="auto"/>
              </w:rPr>
              <w:t>③植被现状及分布</w:t>
            </w:r>
          </w:p>
          <w:p w14:paraId="6F9C8802">
            <w:pPr>
              <w:pStyle w:val="27"/>
              <w:keepNext w:val="0"/>
              <w:keepLines w:val="0"/>
              <w:pageBreakBefore w:val="0"/>
              <w:kinsoku/>
              <w:wordWrap/>
              <w:overflowPunct/>
              <w:topLinePunct w:val="0"/>
              <w:autoSpaceDE/>
              <w:autoSpaceDN/>
              <w:bidi w:val="0"/>
              <w:spacing w:line="480" w:lineRule="exact"/>
              <w:ind w:firstLine="480"/>
              <w:textAlignment w:val="auto"/>
              <w:rPr>
                <w:rFonts w:ascii="宋体" w:hAnsi="宋体" w:cs="宋体"/>
              </w:rPr>
            </w:pPr>
            <w:r>
              <w:rPr>
                <w:rFonts w:hint="eastAsia" w:ascii="宋体" w:hAnsi="宋体" w:cs="宋体"/>
              </w:rPr>
              <w:t>项目区植物资源较为匮乏，植被类型主要以灌丛、草丛为主，评估区内未发现国家重点保护植物。</w:t>
            </w:r>
          </w:p>
          <w:p w14:paraId="28B4A023">
            <w:pPr>
              <w:pStyle w:val="27"/>
              <w:keepNext w:val="0"/>
              <w:keepLines w:val="0"/>
              <w:pageBreakBefore w:val="0"/>
              <w:kinsoku/>
              <w:wordWrap/>
              <w:overflowPunct/>
              <w:topLinePunct w:val="0"/>
              <w:autoSpaceDE/>
              <w:autoSpaceDN/>
              <w:bidi w:val="0"/>
              <w:spacing w:line="480" w:lineRule="exact"/>
              <w:ind w:firstLine="480"/>
              <w:textAlignment w:val="auto"/>
              <w:rPr>
                <w:color w:val="auto"/>
              </w:rPr>
            </w:pPr>
            <w:r>
              <w:rPr>
                <w:rFonts w:hint="eastAsia"/>
                <w:color w:val="auto"/>
              </w:rPr>
              <w:t>④动物</w:t>
            </w:r>
          </w:p>
          <w:p w14:paraId="5DE36244">
            <w:pPr>
              <w:pStyle w:val="27"/>
              <w:keepNext w:val="0"/>
              <w:keepLines w:val="0"/>
              <w:pageBreakBefore w:val="0"/>
              <w:kinsoku/>
              <w:wordWrap/>
              <w:overflowPunct/>
              <w:topLinePunct w:val="0"/>
              <w:autoSpaceDE/>
              <w:autoSpaceDN/>
              <w:bidi w:val="0"/>
              <w:spacing w:line="480" w:lineRule="exact"/>
              <w:ind w:firstLine="480"/>
              <w:textAlignment w:val="auto"/>
              <w:rPr>
                <w:color w:val="auto"/>
              </w:rPr>
            </w:pPr>
            <w:r>
              <w:rPr>
                <w:rFonts w:hint="eastAsia"/>
                <w:color w:val="auto"/>
              </w:rPr>
              <w:t>项目所在区域动物物种少，主要为鼠类、鸟类。</w:t>
            </w:r>
          </w:p>
          <w:p w14:paraId="5E1D9C6F">
            <w:pPr>
              <w:pStyle w:val="27"/>
              <w:keepNext w:val="0"/>
              <w:keepLines w:val="0"/>
              <w:pageBreakBefore w:val="0"/>
              <w:kinsoku/>
              <w:wordWrap/>
              <w:overflowPunct/>
              <w:topLinePunct w:val="0"/>
              <w:autoSpaceDE/>
              <w:autoSpaceDN/>
              <w:bidi w:val="0"/>
              <w:spacing w:line="480" w:lineRule="exact"/>
              <w:ind w:firstLine="482"/>
              <w:textAlignment w:val="auto"/>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2.生态解译</w:t>
            </w:r>
          </w:p>
          <w:p w14:paraId="378E299C">
            <w:pPr>
              <w:pStyle w:val="27"/>
              <w:keepNext w:val="0"/>
              <w:keepLines w:val="0"/>
              <w:pageBreakBefore w:val="0"/>
              <w:kinsoku/>
              <w:wordWrap/>
              <w:overflowPunct/>
              <w:topLinePunct w:val="0"/>
              <w:autoSpaceDE/>
              <w:autoSpaceDN/>
              <w:bidi w:val="0"/>
              <w:spacing w:line="480" w:lineRule="exact"/>
              <w:ind w:firstLine="480"/>
              <w:textAlignment w:val="auto"/>
              <w:rPr>
                <w:bCs/>
                <w:color w:val="000000" w:themeColor="text1"/>
                <w14:textFill>
                  <w14:solidFill>
                    <w14:schemeClr w14:val="tx1"/>
                  </w14:solidFill>
                </w14:textFill>
              </w:rPr>
            </w:pPr>
            <w:r>
              <w:rPr>
                <w:rFonts w:hint="eastAsia"/>
                <w:bCs/>
                <w:color w:val="000000" w:themeColor="text1"/>
                <w14:textFill>
                  <w14:solidFill>
                    <w14:schemeClr w14:val="tx1"/>
                  </w14:solidFill>
                </w14:textFill>
              </w:rPr>
              <w:t>本次评价</w:t>
            </w:r>
            <w:r>
              <w:rPr>
                <w:bCs/>
                <w:color w:val="000000" w:themeColor="text1"/>
                <w14:textFill>
                  <w14:solidFill>
                    <w14:schemeClr w14:val="tx1"/>
                  </w14:solidFill>
                </w14:textFill>
              </w:rPr>
              <w:t>以高分辨率、现势性好的卫星遥感数据为基础，在地理信息系统的支撑下，采用室内解译与野外核查相结合的方法，对建设项目进行现状遥感调查，得到土地利用、植被类型和生态系统类型现状</w:t>
            </w:r>
            <w:r>
              <w:rPr>
                <w:rFonts w:hint="eastAsia"/>
                <w:bCs/>
                <w:color w:val="000000" w:themeColor="text1"/>
                <w14:textFill>
                  <w14:solidFill>
                    <w14:schemeClr w14:val="tx1"/>
                  </w14:solidFill>
                </w14:textFill>
              </w:rPr>
              <w:t>。</w:t>
            </w:r>
          </w:p>
          <w:p w14:paraId="5E75511F">
            <w:pPr>
              <w:pStyle w:val="27"/>
              <w:keepNext w:val="0"/>
              <w:keepLines w:val="0"/>
              <w:pageBreakBefore w:val="0"/>
              <w:kinsoku/>
              <w:wordWrap/>
              <w:overflowPunct/>
              <w:topLinePunct w:val="0"/>
              <w:autoSpaceDE/>
              <w:autoSpaceDN/>
              <w:bidi w:val="0"/>
              <w:spacing w:line="480" w:lineRule="exact"/>
              <w:ind w:firstLine="480"/>
              <w:textAlignment w:val="auto"/>
              <w:rPr>
                <w:bCs/>
                <w:color w:val="000000" w:themeColor="text1"/>
                <w14:textFill>
                  <w14:solidFill>
                    <w14:schemeClr w14:val="tx1"/>
                  </w14:solidFill>
                </w14:textFill>
              </w:rPr>
            </w:pPr>
            <w:r>
              <w:rPr>
                <w:rFonts w:hint="eastAsia"/>
                <w:bCs/>
                <w:color w:val="000000" w:themeColor="text1"/>
                <w14:textFill>
                  <w14:solidFill>
                    <w14:schemeClr w14:val="tx1"/>
                  </w14:solidFill>
                </w14:textFill>
              </w:rPr>
              <w:t>此次采用</w:t>
            </w:r>
            <w:r>
              <w:rPr>
                <w:rFonts w:hint="eastAsia"/>
                <w:color w:val="000000" w:themeColor="text1"/>
                <w14:textFill>
                  <w14:solidFill>
                    <w14:schemeClr w14:val="tx1"/>
                  </w14:solidFill>
                </w14:textFill>
              </w:rPr>
              <w:t>最新卫星遥感数据</w:t>
            </w:r>
            <w:r>
              <w:rPr>
                <w:rFonts w:hint="eastAsia"/>
                <w:bCs/>
                <w:color w:val="000000" w:themeColor="text1"/>
                <w14:textFill>
                  <w14:solidFill>
                    <w14:schemeClr w14:val="tx1"/>
                  </w14:solidFill>
                </w14:textFill>
              </w:rPr>
              <w:t>作为遥感解译数据源。并结合国土三调和林保数据进行核查。</w:t>
            </w:r>
          </w:p>
          <w:p w14:paraId="0AFB981B">
            <w:pPr>
              <w:pStyle w:val="27"/>
              <w:keepNext w:val="0"/>
              <w:keepLines w:val="0"/>
              <w:pageBreakBefore w:val="0"/>
              <w:kinsoku/>
              <w:wordWrap/>
              <w:overflowPunct/>
              <w:topLinePunct w:val="0"/>
              <w:autoSpaceDE/>
              <w:autoSpaceDN/>
              <w:bidi w:val="0"/>
              <w:spacing w:line="480" w:lineRule="exact"/>
              <w:ind w:firstLine="480"/>
              <w:textAlignment w:val="auto"/>
              <w:rPr>
                <w:bCs/>
                <w:color w:val="auto"/>
              </w:rPr>
            </w:pPr>
            <w:r>
              <w:rPr>
                <w:rFonts w:hint="eastAsia"/>
                <w:bCs/>
                <w:color w:val="auto"/>
              </w:rPr>
              <w:t>（1）土地利用类型现状</w:t>
            </w:r>
          </w:p>
          <w:p w14:paraId="2F74A5B8">
            <w:pPr>
              <w:pStyle w:val="27"/>
              <w:keepNext w:val="0"/>
              <w:keepLines w:val="0"/>
              <w:pageBreakBefore w:val="0"/>
              <w:kinsoku/>
              <w:wordWrap/>
              <w:overflowPunct/>
              <w:topLinePunct w:val="0"/>
              <w:autoSpaceDE/>
              <w:autoSpaceDN/>
              <w:bidi w:val="0"/>
              <w:spacing w:line="480" w:lineRule="exact"/>
              <w:ind w:firstLine="480"/>
              <w:textAlignment w:val="auto"/>
              <w:rPr>
                <w:bCs/>
                <w:color w:val="auto"/>
                <w:highlight w:val="red"/>
              </w:rPr>
            </w:pPr>
            <w:r>
              <w:rPr>
                <w:rFonts w:hint="eastAsia"/>
                <w:bCs/>
                <w:color w:val="auto"/>
              </w:rPr>
              <w:t>评价范围内土地利用现状见下表。</w:t>
            </w:r>
          </w:p>
          <w:p w14:paraId="14A31866">
            <w:pPr>
              <w:pStyle w:val="15"/>
              <w:keepNext w:val="0"/>
              <w:keepLines w:val="0"/>
              <w:pageBreakBefore w:val="0"/>
              <w:kinsoku/>
              <w:wordWrap/>
              <w:overflowPunct/>
              <w:topLinePunct w:val="0"/>
              <w:autoSpaceDE/>
              <w:autoSpaceDN/>
              <w:bidi w:val="0"/>
              <w:spacing w:line="480" w:lineRule="exact"/>
              <w:textAlignment w:val="auto"/>
              <w:rPr>
                <w:rFonts w:ascii="宋体" w:hAnsi="宋体" w:eastAsia="宋体" w:cs="宋体"/>
                <w:sz w:val="21"/>
                <w:szCs w:val="21"/>
              </w:rPr>
            </w:pPr>
            <w:r>
              <w:rPr>
                <w:rFonts w:ascii="宋体" w:hAnsi="宋体" w:eastAsia="宋体" w:cs="宋体"/>
                <w:sz w:val="21"/>
                <w:szCs w:val="21"/>
                <w:lang w:bidi="ar"/>
              </w:rPr>
              <w:t>表</w:t>
            </w:r>
            <w:r>
              <w:rPr>
                <w:rFonts w:eastAsia="宋体"/>
                <w:sz w:val="21"/>
                <w:szCs w:val="21"/>
                <w:lang w:bidi="ar"/>
              </w:rPr>
              <w:t>3-1</w:t>
            </w:r>
            <w:r>
              <w:rPr>
                <w:rFonts w:hint="eastAsia" w:ascii="宋体" w:hAnsi="宋体" w:eastAsia="宋体" w:cs="宋体"/>
                <w:sz w:val="21"/>
                <w:szCs w:val="21"/>
                <w:lang w:bidi="ar"/>
              </w:rPr>
              <w:t xml:space="preserve"> </w:t>
            </w:r>
            <w:r>
              <w:rPr>
                <w:rFonts w:ascii="宋体" w:hAnsi="宋体" w:eastAsia="宋体" w:cs="宋体"/>
                <w:sz w:val="21"/>
                <w:szCs w:val="21"/>
                <w:lang w:bidi="ar"/>
              </w:rPr>
              <w:t>土地利用现状统计表</w:t>
            </w:r>
          </w:p>
          <w:tbl>
            <w:tblPr>
              <w:tblStyle w:val="29"/>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14"/>
              <w:gridCol w:w="3023"/>
              <w:gridCol w:w="3044"/>
              <w:gridCol w:w="7"/>
            </w:tblGrid>
            <w:tr w14:paraId="2E9AA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pct"/>
                <w:trHeight w:val="340" w:hRule="atLeast"/>
              </w:trPr>
              <w:tc>
                <w:tcPr>
                  <w:tcW w:w="4996" w:type="pct"/>
                  <w:gridSpan w:val="3"/>
                  <w:tcBorders>
                    <w:tl2br w:val="nil"/>
                    <w:tr2bl w:val="nil"/>
                  </w:tcBorders>
                  <w:noWrap/>
                  <w:vAlign w:val="center"/>
                </w:tcPr>
                <w:p w14:paraId="43E8FB08">
                  <w:pPr>
                    <w:widowControl/>
                    <w:tabs>
                      <w:tab w:val="center" w:pos="1691"/>
                      <w:tab w:val="right" w:pos="3262"/>
                    </w:tabs>
                    <w:jc w:val="center"/>
                    <w:textAlignment w:val="center"/>
                    <w:rPr>
                      <w:kern w:val="0"/>
                      <w:szCs w:val="21"/>
                      <w:lang w:bidi="ar"/>
                    </w:rPr>
                  </w:pPr>
                  <w:r>
                    <w:rPr>
                      <w:kern w:val="0"/>
                      <w:szCs w:val="21"/>
                      <w:lang w:bidi="ar"/>
                    </w:rPr>
                    <w:t>评价范围（</w:t>
                  </w:r>
                  <w:r>
                    <w:rPr>
                      <w:rFonts w:hint="eastAsia"/>
                      <w:kern w:val="0"/>
                      <w:szCs w:val="21"/>
                      <w:lang w:bidi="ar"/>
                    </w:rPr>
                    <w:t>矿</w:t>
                  </w:r>
                  <w:r>
                    <w:rPr>
                      <w:kern w:val="0"/>
                      <w:szCs w:val="21"/>
                      <w:lang w:bidi="ar"/>
                    </w:rPr>
                    <w:t>界范围外500m）</w:t>
                  </w:r>
                </w:p>
              </w:tc>
            </w:tr>
            <w:tr w14:paraId="003BC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pct"/>
                <w:trHeight w:val="340" w:hRule="atLeast"/>
              </w:trPr>
              <w:tc>
                <w:tcPr>
                  <w:tcW w:w="1658" w:type="pct"/>
                  <w:tcBorders>
                    <w:tl2br w:val="nil"/>
                    <w:tr2bl w:val="nil"/>
                  </w:tcBorders>
                  <w:noWrap/>
                  <w:vAlign w:val="center"/>
                </w:tcPr>
                <w:p w14:paraId="4384296C">
                  <w:pPr>
                    <w:widowControl/>
                    <w:tabs>
                      <w:tab w:val="center" w:pos="1691"/>
                      <w:tab w:val="right" w:pos="3262"/>
                    </w:tabs>
                    <w:jc w:val="center"/>
                    <w:textAlignment w:val="center"/>
                    <w:rPr>
                      <w:kern w:val="0"/>
                      <w:szCs w:val="21"/>
                      <w:lang w:bidi="ar"/>
                    </w:rPr>
                  </w:pPr>
                  <w:r>
                    <w:rPr>
                      <w:kern w:val="0"/>
                      <w:szCs w:val="21"/>
                      <w:lang w:bidi="ar"/>
                    </w:rPr>
                    <w:t>土地利用</w:t>
                  </w:r>
                </w:p>
              </w:tc>
              <w:tc>
                <w:tcPr>
                  <w:tcW w:w="1663" w:type="pct"/>
                  <w:tcBorders>
                    <w:tl2br w:val="nil"/>
                    <w:tr2bl w:val="nil"/>
                  </w:tcBorders>
                  <w:noWrap/>
                  <w:vAlign w:val="center"/>
                </w:tcPr>
                <w:p w14:paraId="6B86689D">
                  <w:pPr>
                    <w:widowControl/>
                    <w:tabs>
                      <w:tab w:val="center" w:pos="1691"/>
                      <w:tab w:val="right" w:pos="3262"/>
                    </w:tabs>
                    <w:jc w:val="center"/>
                    <w:textAlignment w:val="center"/>
                    <w:rPr>
                      <w:kern w:val="0"/>
                      <w:szCs w:val="21"/>
                      <w:lang w:bidi="ar"/>
                    </w:rPr>
                  </w:pPr>
                  <w:r>
                    <w:rPr>
                      <w:kern w:val="0"/>
                      <w:szCs w:val="21"/>
                      <w:lang w:bidi="ar"/>
                    </w:rPr>
                    <w:t>面积（公顷）</w:t>
                  </w:r>
                </w:p>
              </w:tc>
              <w:tc>
                <w:tcPr>
                  <w:tcW w:w="1674" w:type="pct"/>
                  <w:tcBorders>
                    <w:tl2br w:val="nil"/>
                    <w:tr2bl w:val="nil"/>
                  </w:tcBorders>
                  <w:noWrap/>
                  <w:vAlign w:val="center"/>
                </w:tcPr>
                <w:p w14:paraId="0C0B444F">
                  <w:pPr>
                    <w:widowControl/>
                    <w:tabs>
                      <w:tab w:val="center" w:pos="1691"/>
                      <w:tab w:val="right" w:pos="3262"/>
                    </w:tabs>
                    <w:jc w:val="center"/>
                    <w:textAlignment w:val="center"/>
                    <w:rPr>
                      <w:kern w:val="0"/>
                      <w:szCs w:val="21"/>
                      <w:lang w:bidi="ar"/>
                    </w:rPr>
                  </w:pPr>
                  <w:r>
                    <w:rPr>
                      <w:kern w:val="0"/>
                      <w:szCs w:val="21"/>
                      <w:lang w:bidi="ar"/>
                    </w:rPr>
                    <w:t>百分比</w:t>
                  </w:r>
                </w:p>
              </w:tc>
            </w:tr>
            <w:tr w14:paraId="18153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pct"/>
                <w:trHeight w:val="340" w:hRule="atLeast"/>
              </w:trPr>
              <w:tc>
                <w:tcPr>
                  <w:tcW w:w="1658" w:type="pct"/>
                  <w:tcBorders>
                    <w:tl2br w:val="nil"/>
                    <w:tr2bl w:val="nil"/>
                  </w:tcBorders>
                  <w:noWrap/>
                  <w:vAlign w:val="center"/>
                </w:tcPr>
                <w:p w14:paraId="3F8A6C16">
                  <w:pPr>
                    <w:jc w:val="center"/>
                  </w:pPr>
                  <w:r>
                    <w:rPr>
                      <w:rFonts w:hint="eastAsia"/>
                    </w:rPr>
                    <w:t>旱地</w:t>
                  </w:r>
                </w:p>
              </w:tc>
              <w:tc>
                <w:tcPr>
                  <w:tcW w:w="1663" w:type="pct"/>
                  <w:tcBorders>
                    <w:tl2br w:val="nil"/>
                    <w:tr2bl w:val="nil"/>
                  </w:tcBorders>
                  <w:noWrap/>
                  <w:vAlign w:val="center"/>
                </w:tcPr>
                <w:p w14:paraId="42745FCF">
                  <w:pPr>
                    <w:jc w:val="center"/>
                  </w:pPr>
                  <w:r>
                    <w:rPr>
                      <w:rFonts w:hint="eastAsia"/>
                    </w:rPr>
                    <w:t>49.925</w:t>
                  </w:r>
                </w:p>
              </w:tc>
              <w:tc>
                <w:tcPr>
                  <w:tcW w:w="1674" w:type="pct"/>
                  <w:tcBorders>
                    <w:tl2br w:val="nil"/>
                    <w:tr2bl w:val="nil"/>
                  </w:tcBorders>
                  <w:noWrap/>
                  <w:vAlign w:val="center"/>
                </w:tcPr>
                <w:p w14:paraId="35FD9527">
                  <w:pPr>
                    <w:jc w:val="center"/>
                  </w:pPr>
                  <w:r>
                    <w:rPr>
                      <w:rFonts w:hint="eastAsia"/>
                    </w:rPr>
                    <w:t>18.48%</w:t>
                  </w:r>
                </w:p>
              </w:tc>
            </w:tr>
            <w:tr w14:paraId="69E8D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pct"/>
                <w:trHeight w:val="340" w:hRule="atLeast"/>
              </w:trPr>
              <w:tc>
                <w:tcPr>
                  <w:tcW w:w="1658" w:type="pct"/>
                  <w:tcBorders>
                    <w:tl2br w:val="nil"/>
                    <w:tr2bl w:val="nil"/>
                  </w:tcBorders>
                  <w:noWrap/>
                  <w:vAlign w:val="center"/>
                </w:tcPr>
                <w:p w14:paraId="5C4A6B36">
                  <w:pPr>
                    <w:jc w:val="center"/>
                  </w:pPr>
                  <w:r>
                    <w:rPr>
                      <w:rFonts w:hint="eastAsia"/>
                    </w:rPr>
                    <w:t>果园</w:t>
                  </w:r>
                </w:p>
              </w:tc>
              <w:tc>
                <w:tcPr>
                  <w:tcW w:w="1663" w:type="pct"/>
                  <w:tcBorders>
                    <w:tl2br w:val="nil"/>
                    <w:tr2bl w:val="nil"/>
                  </w:tcBorders>
                  <w:noWrap/>
                  <w:vAlign w:val="center"/>
                </w:tcPr>
                <w:p w14:paraId="1F7A70E4">
                  <w:pPr>
                    <w:jc w:val="center"/>
                  </w:pPr>
                  <w:r>
                    <w:rPr>
                      <w:rFonts w:hint="eastAsia"/>
                    </w:rPr>
                    <w:t>0.437</w:t>
                  </w:r>
                </w:p>
              </w:tc>
              <w:tc>
                <w:tcPr>
                  <w:tcW w:w="1674" w:type="pct"/>
                  <w:tcBorders>
                    <w:tl2br w:val="nil"/>
                    <w:tr2bl w:val="nil"/>
                  </w:tcBorders>
                  <w:noWrap/>
                  <w:vAlign w:val="center"/>
                </w:tcPr>
                <w:p w14:paraId="10B13ACF">
                  <w:pPr>
                    <w:jc w:val="center"/>
                  </w:pPr>
                  <w:r>
                    <w:rPr>
                      <w:rFonts w:hint="eastAsia"/>
                    </w:rPr>
                    <w:t>0.16%</w:t>
                  </w:r>
                </w:p>
              </w:tc>
            </w:tr>
            <w:tr w14:paraId="1E220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pct"/>
                <w:trHeight w:val="340" w:hRule="atLeast"/>
              </w:trPr>
              <w:tc>
                <w:tcPr>
                  <w:tcW w:w="1658" w:type="pct"/>
                  <w:tcBorders>
                    <w:tl2br w:val="nil"/>
                    <w:tr2bl w:val="nil"/>
                  </w:tcBorders>
                  <w:noWrap/>
                  <w:vAlign w:val="center"/>
                </w:tcPr>
                <w:p w14:paraId="712C4EBD">
                  <w:pPr>
                    <w:jc w:val="center"/>
                  </w:pPr>
                  <w:r>
                    <w:rPr>
                      <w:rFonts w:hint="eastAsia"/>
                    </w:rPr>
                    <w:t>乔木林地</w:t>
                  </w:r>
                </w:p>
              </w:tc>
              <w:tc>
                <w:tcPr>
                  <w:tcW w:w="1663" w:type="pct"/>
                  <w:tcBorders>
                    <w:tl2br w:val="nil"/>
                    <w:tr2bl w:val="nil"/>
                  </w:tcBorders>
                  <w:noWrap/>
                  <w:vAlign w:val="center"/>
                </w:tcPr>
                <w:p w14:paraId="24A7247F">
                  <w:pPr>
                    <w:jc w:val="center"/>
                  </w:pPr>
                  <w:r>
                    <w:rPr>
                      <w:rFonts w:hint="eastAsia"/>
                    </w:rPr>
                    <w:t>10.964</w:t>
                  </w:r>
                </w:p>
              </w:tc>
              <w:tc>
                <w:tcPr>
                  <w:tcW w:w="1674" w:type="pct"/>
                  <w:tcBorders>
                    <w:tl2br w:val="nil"/>
                    <w:tr2bl w:val="nil"/>
                  </w:tcBorders>
                  <w:noWrap/>
                  <w:vAlign w:val="center"/>
                </w:tcPr>
                <w:p w14:paraId="3EE3E1FF">
                  <w:pPr>
                    <w:jc w:val="center"/>
                  </w:pPr>
                  <w:r>
                    <w:rPr>
                      <w:rFonts w:hint="eastAsia"/>
                    </w:rPr>
                    <w:t>4.06%</w:t>
                  </w:r>
                </w:p>
              </w:tc>
            </w:tr>
            <w:tr w14:paraId="64879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pct"/>
                <w:trHeight w:val="340" w:hRule="atLeast"/>
              </w:trPr>
              <w:tc>
                <w:tcPr>
                  <w:tcW w:w="1658" w:type="pct"/>
                  <w:tcBorders>
                    <w:tl2br w:val="nil"/>
                    <w:tr2bl w:val="nil"/>
                  </w:tcBorders>
                  <w:noWrap/>
                  <w:vAlign w:val="center"/>
                </w:tcPr>
                <w:p w14:paraId="17CD70F1">
                  <w:pPr>
                    <w:jc w:val="center"/>
                  </w:pPr>
                  <w:r>
                    <w:rPr>
                      <w:rFonts w:hint="eastAsia"/>
                    </w:rPr>
                    <w:t>灌木林地</w:t>
                  </w:r>
                </w:p>
              </w:tc>
              <w:tc>
                <w:tcPr>
                  <w:tcW w:w="1663" w:type="pct"/>
                  <w:tcBorders>
                    <w:tl2br w:val="nil"/>
                    <w:tr2bl w:val="nil"/>
                  </w:tcBorders>
                  <w:noWrap/>
                  <w:vAlign w:val="center"/>
                </w:tcPr>
                <w:p w14:paraId="235F7069">
                  <w:pPr>
                    <w:jc w:val="center"/>
                  </w:pPr>
                  <w:r>
                    <w:rPr>
                      <w:rFonts w:hint="eastAsia"/>
                    </w:rPr>
                    <w:t>53.2909</w:t>
                  </w:r>
                </w:p>
              </w:tc>
              <w:tc>
                <w:tcPr>
                  <w:tcW w:w="1674" w:type="pct"/>
                  <w:tcBorders>
                    <w:tl2br w:val="nil"/>
                    <w:tr2bl w:val="nil"/>
                  </w:tcBorders>
                  <w:noWrap/>
                  <w:vAlign w:val="center"/>
                </w:tcPr>
                <w:p w14:paraId="12ED48C6">
                  <w:pPr>
                    <w:jc w:val="center"/>
                  </w:pPr>
                  <w:r>
                    <w:rPr>
                      <w:rFonts w:hint="eastAsia"/>
                    </w:rPr>
                    <w:t>19.73%</w:t>
                  </w:r>
                </w:p>
              </w:tc>
            </w:tr>
            <w:tr w14:paraId="27BBF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pct"/>
                <w:trHeight w:val="340" w:hRule="atLeast"/>
              </w:trPr>
              <w:tc>
                <w:tcPr>
                  <w:tcW w:w="1658" w:type="pct"/>
                  <w:tcBorders>
                    <w:tl2br w:val="nil"/>
                    <w:tr2bl w:val="nil"/>
                  </w:tcBorders>
                  <w:noWrap/>
                  <w:vAlign w:val="center"/>
                </w:tcPr>
                <w:p w14:paraId="3EE05409">
                  <w:pPr>
                    <w:jc w:val="center"/>
                  </w:pPr>
                  <w:r>
                    <w:rPr>
                      <w:rFonts w:hint="eastAsia"/>
                    </w:rPr>
                    <w:t>其他草地</w:t>
                  </w:r>
                </w:p>
              </w:tc>
              <w:tc>
                <w:tcPr>
                  <w:tcW w:w="1663" w:type="pct"/>
                  <w:tcBorders>
                    <w:tl2br w:val="nil"/>
                    <w:tr2bl w:val="nil"/>
                  </w:tcBorders>
                  <w:noWrap/>
                  <w:vAlign w:val="center"/>
                </w:tcPr>
                <w:p w14:paraId="1AA7E3F9">
                  <w:pPr>
                    <w:jc w:val="center"/>
                  </w:pPr>
                  <w:r>
                    <w:rPr>
                      <w:rFonts w:hint="eastAsia"/>
                    </w:rPr>
                    <w:t>52.4861</w:t>
                  </w:r>
                </w:p>
              </w:tc>
              <w:tc>
                <w:tcPr>
                  <w:tcW w:w="1674" w:type="pct"/>
                  <w:tcBorders>
                    <w:tl2br w:val="nil"/>
                    <w:tr2bl w:val="nil"/>
                  </w:tcBorders>
                  <w:noWrap/>
                  <w:vAlign w:val="center"/>
                </w:tcPr>
                <w:p w14:paraId="53162F48">
                  <w:pPr>
                    <w:jc w:val="center"/>
                  </w:pPr>
                  <w:r>
                    <w:rPr>
                      <w:rFonts w:hint="eastAsia"/>
                    </w:rPr>
                    <w:t>19.43%</w:t>
                  </w:r>
                </w:p>
              </w:tc>
            </w:tr>
            <w:tr w14:paraId="7B0E4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pct"/>
                <w:trHeight w:val="340" w:hRule="atLeast"/>
              </w:trPr>
              <w:tc>
                <w:tcPr>
                  <w:tcW w:w="1658" w:type="pct"/>
                  <w:tcBorders>
                    <w:tl2br w:val="nil"/>
                    <w:tr2bl w:val="nil"/>
                  </w:tcBorders>
                  <w:noWrap/>
                  <w:vAlign w:val="center"/>
                </w:tcPr>
                <w:p w14:paraId="3B6C6B9D">
                  <w:pPr>
                    <w:jc w:val="center"/>
                  </w:pPr>
                  <w:r>
                    <w:rPr>
                      <w:rFonts w:hint="eastAsia"/>
                    </w:rPr>
                    <w:t>工业用地</w:t>
                  </w:r>
                </w:p>
              </w:tc>
              <w:tc>
                <w:tcPr>
                  <w:tcW w:w="1663" w:type="pct"/>
                  <w:tcBorders>
                    <w:tl2br w:val="nil"/>
                    <w:tr2bl w:val="nil"/>
                  </w:tcBorders>
                  <w:noWrap/>
                  <w:vAlign w:val="center"/>
                </w:tcPr>
                <w:p w14:paraId="09009FA5">
                  <w:pPr>
                    <w:jc w:val="center"/>
                  </w:pPr>
                  <w:r>
                    <w:rPr>
                      <w:rFonts w:hint="eastAsia"/>
                    </w:rPr>
                    <w:t>1.1963</w:t>
                  </w:r>
                </w:p>
              </w:tc>
              <w:tc>
                <w:tcPr>
                  <w:tcW w:w="1674" w:type="pct"/>
                  <w:tcBorders>
                    <w:tl2br w:val="nil"/>
                    <w:tr2bl w:val="nil"/>
                  </w:tcBorders>
                  <w:noWrap/>
                  <w:vAlign w:val="center"/>
                </w:tcPr>
                <w:p w14:paraId="36A7EF6B">
                  <w:pPr>
                    <w:jc w:val="center"/>
                  </w:pPr>
                  <w:r>
                    <w:rPr>
                      <w:rFonts w:hint="eastAsia"/>
                    </w:rPr>
                    <w:t>0.44%</w:t>
                  </w:r>
                </w:p>
              </w:tc>
            </w:tr>
            <w:tr w14:paraId="2A065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pct"/>
                <w:trHeight w:val="340" w:hRule="atLeast"/>
              </w:trPr>
              <w:tc>
                <w:tcPr>
                  <w:tcW w:w="1658" w:type="pct"/>
                  <w:tcBorders>
                    <w:tl2br w:val="nil"/>
                    <w:tr2bl w:val="nil"/>
                  </w:tcBorders>
                  <w:noWrap/>
                  <w:vAlign w:val="center"/>
                </w:tcPr>
                <w:p w14:paraId="420F657C">
                  <w:pPr>
                    <w:jc w:val="center"/>
                  </w:pPr>
                  <w:r>
                    <w:rPr>
                      <w:rFonts w:hint="eastAsia"/>
                    </w:rPr>
                    <w:t>采矿用地</w:t>
                  </w:r>
                </w:p>
              </w:tc>
              <w:tc>
                <w:tcPr>
                  <w:tcW w:w="1663" w:type="pct"/>
                  <w:tcBorders>
                    <w:tl2br w:val="nil"/>
                    <w:tr2bl w:val="nil"/>
                  </w:tcBorders>
                  <w:noWrap/>
                  <w:vAlign w:val="center"/>
                </w:tcPr>
                <w:p w14:paraId="44F8661C">
                  <w:pPr>
                    <w:jc w:val="center"/>
                  </w:pPr>
                  <w:r>
                    <w:rPr>
                      <w:rFonts w:hint="eastAsia"/>
                    </w:rPr>
                    <w:t>95.7127</w:t>
                  </w:r>
                </w:p>
              </w:tc>
              <w:tc>
                <w:tcPr>
                  <w:tcW w:w="1674" w:type="pct"/>
                  <w:tcBorders>
                    <w:tl2br w:val="nil"/>
                    <w:tr2bl w:val="nil"/>
                  </w:tcBorders>
                  <w:noWrap/>
                  <w:vAlign w:val="center"/>
                </w:tcPr>
                <w:p w14:paraId="609EE08C">
                  <w:pPr>
                    <w:jc w:val="center"/>
                  </w:pPr>
                  <w:r>
                    <w:rPr>
                      <w:rFonts w:hint="eastAsia"/>
                    </w:rPr>
                    <w:t>35.43%</w:t>
                  </w:r>
                </w:p>
              </w:tc>
            </w:tr>
            <w:tr w14:paraId="51443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pct"/>
                <w:trHeight w:val="340" w:hRule="atLeast"/>
              </w:trPr>
              <w:tc>
                <w:tcPr>
                  <w:tcW w:w="1658" w:type="pct"/>
                  <w:tcBorders>
                    <w:tl2br w:val="nil"/>
                    <w:tr2bl w:val="nil"/>
                  </w:tcBorders>
                  <w:noWrap/>
                  <w:vAlign w:val="center"/>
                </w:tcPr>
                <w:p w14:paraId="3B90589F">
                  <w:pPr>
                    <w:jc w:val="center"/>
                  </w:pPr>
                  <w:r>
                    <w:rPr>
                      <w:rFonts w:hint="eastAsia"/>
                    </w:rPr>
                    <w:t>农村宅基地</w:t>
                  </w:r>
                </w:p>
              </w:tc>
              <w:tc>
                <w:tcPr>
                  <w:tcW w:w="1663" w:type="pct"/>
                  <w:tcBorders>
                    <w:tl2br w:val="nil"/>
                    <w:tr2bl w:val="nil"/>
                  </w:tcBorders>
                  <w:noWrap/>
                  <w:vAlign w:val="center"/>
                </w:tcPr>
                <w:p w14:paraId="75067B7A">
                  <w:pPr>
                    <w:jc w:val="center"/>
                  </w:pPr>
                  <w:r>
                    <w:rPr>
                      <w:rFonts w:hint="eastAsia"/>
                    </w:rPr>
                    <w:t>0.0522</w:t>
                  </w:r>
                </w:p>
              </w:tc>
              <w:tc>
                <w:tcPr>
                  <w:tcW w:w="1674" w:type="pct"/>
                  <w:tcBorders>
                    <w:tl2br w:val="nil"/>
                    <w:tr2bl w:val="nil"/>
                  </w:tcBorders>
                  <w:noWrap/>
                  <w:vAlign w:val="center"/>
                </w:tcPr>
                <w:p w14:paraId="2B21DA56">
                  <w:pPr>
                    <w:jc w:val="center"/>
                  </w:pPr>
                  <w:r>
                    <w:rPr>
                      <w:rFonts w:hint="eastAsia"/>
                    </w:rPr>
                    <w:t>0.02%</w:t>
                  </w:r>
                </w:p>
              </w:tc>
            </w:tr>
            <w:tr w14:paraId="6DA74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pct"/>
                <w:trHeight w:val="340" w:hRule="atLeast"/>
              </w:trPr>
              <w:tc>
                <w:tcPr>
                  <w:tcW w:w="1658" w:type="pct"/>
                  <w:tcBorders>
                    <w:tl2br w:val="nil"/>
                    <w:tr2bl w:val="nil"/>
                  </w:tcBorders>
                  <w:noWrap/>
                  <w:vAlign w:val="center"/>
                </w:tcPr>
                <w:p w14:paraId="60B6ADF8">
                  <w:pPr>
                    <w:jc w:val="center"/>
                  </w:pPr>
                  <w:r>
                    <w:rPr>
                      <w:rFonts w:hint="eastAsia"/>
                    </w:rPr>
                    <w:t>公路用地</w:t>
                  </w:r>
                </w:p>
              </w:tc>
              <w:tc>
                <w:tcPr>
                  <w:tcW w:w="1663" w:type="pct"/>
                  <w:tcBorders>
                    <w:tl2br w:val="nil"/>
                    <w:tr2bl w:val="nil"/>
                  </w:tcBorders>
                  <w:noWrap/>
                  <w:vAlign w:val="center"/>
                </w:tcPr>
                <w:p w14:paraId="381E5838">
                  <w:pPr>
                    <w:jc w:val="center"/>
                  </w:pPr>
                  <w:r>
                    <w:rPr>
                      <w:rFonts w:hint="eastAsia"/>
                    </w:rPr>
                    <w:t>0.3167</w:t>
                  </w:r>
                </w:p>
              </w:tc>
              <w:tc>
                <w:tcPr>
                  <w:tcW w:w="1674" w:type="pct"/>
                  <w:tcBorders>
                    <w:tl2br w:val="nil"/>
                    <w:tr2bl w:val="nil"/>
                  </w:tcBorders>
                  <w:noWrap/>
                  <w:vAlign w:val="center"/>
                </w:tcPr>
                <w:p w14:paraId="03DE315C">
                  <w:pPr>
                    <w:jc w:val="center"/>
                  </w:pPr>
                  <w:r>
                    <w:rPr>
                      <w:rFonts w:hint="eastAsia"/>
                    </w:rPr>
                    <w:t>0.12%</w:t>
                  </w:r>
                </w:p>
              </w:tc>
            </w:tr>
            <w:tr w14:paraId="514FD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pct"/>
                <w:trHeight w:val="340" w:hRule="atLeast"/>
              </w:trPr>
              <w:tc>
                <w:tcPr>
                  <w:tcW w:w="1658" w:type="pct"/>
                  <w:tcBorders>
                    <w:tl2br w:val="nil"/>
                    <w:tr2bl w:val="nil"/>
                  </w:tcBorders>
                  <w:noWrap/>
                  <w:vAlign w:val="center"/>
                </w:tcPr>
                <w:p w14:paraId="627C5535">
                  <w:pPr>
                    <w:jc w:val="center"/>
                  </w:pPr>
                  <w:r>
                    <w:rPr>
                      <w:rFonts w:hint="eastAsia"/>
                    </w:rPr>
                    <w:t>农村道路</w:t>
                  </w:r>
                </w:p>
              </w:tc>
              <w:tc>
                <w:tcPr>
                  <w:tcW w:w="1663" w:type="pct"/>
                  <w:tcBorders>
                    <w:tl2br w:val="nil"/>
                    <w:tr2bl w:val="nil"/>
                  </w:tcBorders>
                  <w:noWrap/>
                  <w:vAlign w:val="center"/>
                </w:tcPr>
                <w:p w14:paraId="61AED8D5">
                  <w:pPr>
                    <w:jc w:val="center"/>
                  </w:pPr>
                  <w:r>
                    <w:rPr>
                      <w:rFonts w:hint="eastAsia"/>
                    </w:rPr>
                    <w:t>1.5005</w:t>
                  </w:r>
                </w:p>
              </w:tc>
              <w:tc>
                <w:tcPr>
                  <w:tcW w:w="1674" w:type="pct"/>
                  <w:tcBorders>
                    <w:tl2br w:val="nil"/>
                    <w:tr2bl w:val="nil"/>
                  </w:tcBorders>
                  <w:noWrap/>
                  <w:vAlign w:val="center"/>
                </w:tcPr>
                <w:p w14:paraId="4DD6E497">
                  <w:pPr>
                    <w:jc w:val="center"/>
                  </w:pPr>
                  <w:r>
                    <w:rPr>
                      <w:rFonts w:hint="eastAsia"/>
                    </w:rPr>
                    <w:t>0.56%</w:t>
                  </w:r>
                </w:p>
              </w:tc>
            </w:tr>
            <w:tr w14:paraId="1962D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pct"/>
                <w:trHeight w:val="340" w:hRule="atLeast"/>
              </w:trPr>
              <w:tc>
                <w:tcPr>
                  <w:tcW w:w="1658" w:type="pct"/>
                  <w:tcBorders>
                    <w:tl2br w:val="nil"/>
                    <w:tr2bl w:val="nil"/>
                  </w:tcBorders>
                  <w:noWrap/>
                  <w:vAlign w:val="center"/>
                </w:tcPr>
                <w:p w14:paraId="4D64FBA2">
                  <w:pPr>
                    <w:jc w:val="center"/>
                  </w:pPr>
                  <w:r>
                    <w:rPr>
                      <w:rFonts w:hint="eastAsia"/>
                    </w:rPr>
                    <w:t>河流水面</w:t>
                  </w:r>
                </w:p>
              </w:tc>
              <w:tc>
                <w:tcPr>
                  <w:tcW w:w="1663" w:type="pct"/>
                  <w:tcBorders>
                    <w:tl2br w:val="nil"/>
                    <w:tr2bl w:val="nil"/>
                  </w:tcBorders>
                  <w:noWrap/>
                  <w:vAlign w:val="center"/>
                </w:tcPr>
                <w:p w14:paraId="44D66FD4">
                  <w:pPr>
                    <w:jc w:val="center"/>
                  </w:pPr>
                  <w:r>
                    <w:rPr>
                      <w:rFonts w:hint="eastAsia"/>
                    </w:rPr>
                    <w:t>1.2661</w:t>
                  </w:r>
                </w:p>
              </w:tc>
              <w:tc>
                <w:tcPr>
                  <w:tcW w:w="1674" w:type="pct"/>
                  <w:tcBorders>
                    <w:tl2br w:val="nil"/>
                    <w:tr2bl w:val="nil"/>
                  </w:tcBorders>
                  <w:noWrap/>
                  <w:vAlign w:val="center"/>
                </w:tcPr>
                <w:p w14:paraId="5CE6E2CD">
                  <w:pPr>
                    <w:jc w:val="center"/>
                  </w:pPr>
                  <w:r>
                    <w:rPr>
                      <w:rFonts w:hint="eastAsia"/>
                    </w:rPr>
                    <w:t>0.47%</w:t>
                  </w:r>
                </w:p>
              </w:tc>
            </w:tr>
            <w:tr w14:paraId="740AA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pct"/>
                <w:trHeight w:val="340" w:hRule="atLeast"/>
              </w:trPr>
              <w:tc>
                <w:tcPr>
                  <w:tcW w:w="1658" w:type="pct"/>
                  <w:tcBorders>
                    <w:tl2br w:val="nil"/>
                    <w:tr2bl w:val="nil"/>
                  </w:tcBorders>
                  <w:noWrap/>
                  <w:vAlign w:val="center"/>
                </w:tcPr>
                <w:p w14:paraId="38D2827B">
                  <w:pPr>
                    <w:jc w:val="center"/>
                  </w:pPr>
                  <w:r>
                    <w:rPr>
                      <w:rFonts w:hint="eastAsia"/>
                    </w:rPr>
                    <w:t>裸土地</w:t>
                  </w:r>
                </w:p>
              </w:tc>
              <w:tc>
                <w:tcPr>
                  <w:tcW w:w="1663" w:type="pct"/>
                  <w:tcBorders>
                    <w:tl2br w:val="nil"/>
                    <w:tr2bl w:val="nil"/>
                  </w:tcBorders>
                  <w:noWrap/>
                  <w:vAlign w:val="center"/>
                </w:tcPr>
                <w:p w14:paraId="7532C15B">
                  <w:pPr>
                    <w:jc w:val="center"/>
                  </w:pPr>
                  <w:r>
                    <w:rPr>
                      <w:rFonts w:hint="eastAsia"/>
                    </w:rPr>
                    <w:t>2.9618</w:t>
                  </w:r>
                </w:p>
              </w:tc>
              <w:tc>
                <w:tcPr>
                  <w:tcW w:w="1674" w:type="pct"/>
                  <w:tcBorders>
                    <w:tl2br w:val="nil"/>
                    <w:tr2bl w:val="nil"/>
                  </w:tcBorders>
                  <w:noWrap/>
                  <w:vAlign w:val="center"/>
                </w:tcPr>
                <w:p w14:paraId="6EE234BB">
                  <w:pPr>
                    <w:jc w:val="center"/>
                  </w:pPr>
                  <w:r>
                    <w:rPr>
                      <w:rFonts w:hint="eastAsia"/>
                    </w:rPr>
                    <w:t>1.10%</w:t>
                  </w:r>
                </w:p>
              </w:tc>
            </w:tr>
            <w:tr w14:paraId="060CF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pct"/>
                <w:trHeight w:val="340" w:hRule="atLeast"/>
              </w:trPr>
              <w:tc>
                <w:tcPr>
                  <w:tcW w:w="1658" w:type="pct"/>
                  <w:tcBorders>
                    <w:tl2br w:val="nil"/>
                    <w:tr2bl w:val="nil"/>
                  </w:tcBorders>
                  <w:noWrap/>
                  <w:vAlign w:val="center"/>
                </w:tcPr>
                <w:p w14:paraId="57F5ABC4">
                  <w:pPr>
                    <w:jc w:val="center"/>
                  </w:pPr>
                  <w:r>
                    <w:rPr>
                      <w:rFonts w:hint="eastAsia"/>
                    </w:rPr>
                    <w:t>总计</w:t>
                  </w:r>
                </w:p>
              </w:tc>
              <w:tc>
                <w:tcPr>
                  <w:tcW w:w="1663" w:type="pct"/>
                  <w:tcBorders>
                    <w:tl2br w:val="nil"/>
                    <w:tr2bl w:val="nil"/>
                  </w:tcBorders>
                  <w:noWrap/>
                  <w:vAlign w:val="center"/>
                </w:tcPr>
                <w:p w14:paraId="1651804F">
                  <w:pPr>
                    <w:jc w:val="center"/>
                  </w:pPr>
                  <w:r>
                    <w:rPr>
                      <w:rFonts w:hint="eastAsia"/>
                    </w:rPr>
                    <w:t>270.1093</w:t>
                  </w:r>
                </w:p>
              </w:tc>
              <w:tc>
                <w:tcPr>
                  <w:tcW w:w="1674" w:type="pct"/>
                  <w:tcBorders>
                    <w:tl2br w:val="nil"/>
                    <w:tr2bl w:val="nil"/>
                  </w:tcBorders>
                  <w:noWrap/>
                  <w:vAlign w:val="center"/>
                </w:tcPr>
                <w:p w14:paraId="62CD88C7">
                  <w:pPr>
                    <w:jc w:val="center"/>
                  </w:pPr>
                  <w:r>
                    <w:rPr>
                      <w:rFonts w:hint="eastAsia"/>
                    </w:rPr>
                    <w:t>100.00%</w:t>
                  </w:r>
                </w:p>
              </w:tc>
            </w:tr>
            <w:tr w14:paraId="27E57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pct"/>
                <w:trHeight w:val="340" w:hRule="atLeast"/>
              </w:trPr>
              <w:tc>
                <w:tcPr>
                  <w:tcW w:w="4996" w:type="pct"/>
                  <w:gridSpan w:val="3"/>
                  <w:tcBorders>
                    <w:tl2br w:val="nil"/>
                    <w:tr2bl w:val="nil"/>
                  </w:tcBorders>
                  <w:noWrap/>
                  <w:vAlign w:val="center"/>
                </w:tcPr>
                <w:p w14:paraId="31B7076E">
                  <w:pPr>
                    <w:widowControl/>
                    <w:tabs>
                      <w:tab w:val="center" w:pos="1691"/>
                      <w:tab w:val="right" w:pos="3262"/>
                    </w:tabs>
                    <w:jc w:val="center"/>
                    <w:textAlignment w:val="center"/>
                    <w:rPr>
                      <w:kern w:val="0"/>
                      <w:szCs w:val="21"/>
                      <w:lang w:bidi="ar"/>
                    </w:rPr>
                  </w:pPr>
                  <w:r>
                    <w:rPr>
                      <w:kern w:val="0"/>
                      <w:szCs w:val="21"/>
                      <w:lang w:bidi="ar"/>
                    </w:rPr>
                    <w:t>矿区范围</w:t>
                  </w:r>
                </w:p>
              </w:tc>
            </w:tr>
            <w:tr w14:paraId="5EBEF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pct"/>
                <w:trHeight w:val="340" w:hRule="atLeast"/>
              </w:trPr>
              <w:tc>
                <w:tcPr>
                  <w:tcW w:w="1658" w:type="pct"/>
                  <w:tcBorders>
                    <w:tl2br w:val="nil"/>
                    <w:tr2bl w:val="nil"/>
                  </w:tcBorders>
                  <w:noWrap/>
                  <w:vAlign w:val="center"/>
                </w:tcPr>
                <w:p w14:paraId="6E6AD83A">
                  <w:pPr>
                    <w:jc w:val="center"/>
                  </w:pPr>
                  <w:r>
                    <w:rPr>
                      <w:rFonts w:hint="eastAsia"/>
                    </w:rPr>
                    <w:t>工业用地</w:t>
                  </w:r>
                </w:p>
              </w:tc>
              <w:tc>
                <w:tcPr>
                  <w:tcW w:w="1663" w:type="pct"/>
                  <w:tcBorders>
                    <w:tl2br w:val="nil"/>
                    <w:tr2bl w:val="nil"/>
                  </w:tcBorders>
                  <w:noWrap/>
                  <w:vAlign w:val="center"/>
                </w:tcPr>
                <w:p w14:paraId="05E934BB">
                  <w:pPr>
                    <w:jc w:val="center"/>
                  </w:pPr>
                  <w:r>
                    <w:rPr>
                      <w:rFonts w:hint="eastAsia"/>
                    </w:rPr>
                    <w:t>0.0132</w:t>
                  </w:r>
                </w:p>
              </w:tc>
              <w:tc>
                <w:tcPr>
                  <w:tcW w:w="1674" w:type="pct"/>
                  <w:tcBorders>
                    <w:tl2br w:val="nil"/>
                    <w:tr2bl w:val="nil"/>
                  </w:tcBorders>
                  <w:noWrap/>
                  <w:vAlign w:val="center"/>
                </w:tcPr>
                <w:p w14:paraId="70577998">
                  <w:pPr>
                    <w:jc w:val="center"/>
                  </w:pPr>
                  <w:r>
                    <w:rPr>
                      <w:rFonts w:hint="eastAsia"/>
                    </w:rPr>
                    <w:t>0.06%</w:t>
                  </w:r>
                </w:p>
              </w:tc>
            </w:tr>
            <w:tr w14:paraId="6568E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pct"/>
                <w:trHeight w:val="340" w:hRule="atLeast"/>
              </w:trPr>
              <w:tc>
                <w:tcPr>
                  <w:tcW w:w="1658" w:type="pct"/>
                  <w:tcBorders>
                    <w:tl2br w:val="nil"/>
                    <w:tr2bl w:val="nil"/>
                  </w:tcBorders>
                  <w:noWrap/>
                  <w:vAlign w:val="center"/>
                </w:tcPr>
                <w:p w14:paraId="20204A0A">
                  <w:pPr>
                    <w:jc w:val="center"/>
                  </w:pPr>
                  <w:r>
                    <w:rPr>
                      <w:rFonts w:hint="eastAsia"/>
                    </w:rPr>
                    <w:t>采矿用地</w:t>
                  </w:r>
                </w:p>
              </w:tc>
              <w:tc>
                <w:tcPr>
                  <w:tcW w:w="1663" w:type="pct"/>
                  <w:tcBorders>
                    <w:tl2br w:val="nil"/>
                    <w:tr2bl w:val="nil"/>
                  </w:tcBorders>
                  <w:noWrap/>
                  <w:vAlign w:val="center"/>
                </w:tcPr>
                <w:p w14:paraId="2E2A22CF">
                  <w:pPr>
                    <w:jc w:val="center"/>
                    <w:rPr>
                      <w:rFonts w:hint="default" w:eastAsia="宋体"/>
                      <w:lang w:val="en-US" w:eastAsia="zh-CN"/>
                    </w:rPr>
                  </w:pPr>
                  <w:r>
                    <w:rPr>
                      <w:rFonts w:hint="eastAsia"/>
                      <w:lang w:val="en-US" w:eastAsia="zh-CN"/>
                    </w:rPr>
                    <w:t>20.4468</w:t>
                  </w:r>
                </w:p>
              </w:tc>
              <w:tc>
                <w:tcPr>
                  <w:tcW w:w="1674" w:type="pct"/>
                  <w:tcBorders>
                    <w:tl2br w:val="nil"/>
                    <w:tr2bl w:val="nil"/>
                  </w:tcBorders>
                  <w:noWrap/>
                  <w:vAlign w:val="center"/>
                </w:tcPr>
                <w:p w14:paraId="4C3DBB7E">
                  <w:pPr>
                    <w:jc w:val="center"/>
                  </w:pPr>
                  <w:r>
                    <w:rPr>
                      <w:rFonts w:hint="eastAsia"/>
                      <w:lang w:val="en-US" w:eastAsia="zh-CN"/>
                    </w:rPr>
                    <w:t>99.94</w:t>
                  </w:r>
                  <w:r>
                    <w:rPr>
                      <w:rFonts w:hint="eastAsia"/>
                    </w:rPr>
                    <w:t>%</w:t>
                  </w:r>
                </w:p>
              </w:tc>
            </w:tr>
            <w:tr w14:paraId="7CCA4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pct"/>
                <w:trHeight w:val="340" w:hRule="atLeast"/>
              </w:trPr>
              <w:tc>
                <w:tcPr>
                  <w:tcW w:w="1658" w:type="pct"/>
                  <w:tcBorders>
                    <w:tl2br w:val="nil"/>
                    <w:tr2bl w:val="nil"/>
                  </w:tcBorders>
                  <w:noWrap/>
                  <w:vAlign w:val="center"/>
                </w:tcPr>
                <w:p w14:paraId="08D656E3">
                  <w:pPr>
                    <w:jc w:val="center"/>
                  </w:pPr>
                  <w:r>
                    <w:rPr>
                      <w:rFonts w:hint="eastAsia"/>
                    </w:rPr>
                    <w:t>总计</w:t>
                  </w:r>
                </w:p>
              </w:tc>
              <w:tc>
                <w:tcPr>
                  <w:tcW w:w="1663" w:type="pct"/>
                  <w:tcBorders>
                    <w:tl2br w:val="nil"/>
                    <w:tr2bl w:val="nil"/>
                  </w:tcBorders>
                  <w:noWrap/>
                  <w:vAlign w:val="center"/>
                </w:tcPr>
                <w:p w14:paraId="19FD78A6">
                  <w:pPr>
                    <w:jc w:val="center"/>
                  </w:pPr>
                  <w:r>
                    <w:rPr>
                      <w:rFonts w:hint="eastAsia"/>
                    </w:rPr>
                    <w:t>20.46</w:t>
                  </w:r>
                </w:p>
              </w:tc>
              <w:tc>
                <w:tcPr>
                  <w:tcW w:w="1674" w:type="pct"/>
                  <w:tcBorders>
                    <w:tl2br w:val="nil"/>
                    <w:tr2bl w:val="nil"/>
                  </w:tcBorders>
                  <w:noWrap/>
                  <w:vAlign w:val="center"/>
                </w:tcPr>
                <w:p w14:paraId="34D8B4E1">
                  <w:pPr>
                    <w:jc w:val="center"/>
                  </w:pPr>
                  <w:r>
                    <w:rPr>
                      <w:rFonts w:hint="eastAsia"/>
                    </w:rPr>
                    <w:t>100.00%</w:t>
                  </w:r>
                </w:p>
              </w:tc>
            </w:tr>
            <w:tr w14:paraId="05C8A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pct"/>
                <w:trHeight w:val="340" w:hRule="atLeast"/>
              </w:trPr>
              <w:tc>
                <w:tcPr>
                  <w:tcW w:w="4996" w:type="pct"/>
                  <w:gridSpan w:val="3"/>
                  <w:tcBorders>
                    <w:tl2br w:val="nil"/>
                    <w:tr2bl w:val="nil"/>
                  </w:tcBorders>
                  <w:noWrap/>
                  <w:vAlign w:val="center"/>
                </w:tcPr>
                <w:p w14:paraId="2DF2CD51">
                  <w:pPr>
                    <w:widowControl/>
                    <w:jc w:val="center"/>
                    <w:textAlignment w:val="center"/>
                    <w:rPr>
                      <w:kern w:val="0"/>
                      <w:szCs w:val="21"/>
                      <w:highlight w:val="red"/>
                      <w:lang w:bidi="ar"/>
                    </w:rPr>
                  </w:pPr>
                  <w:bookmarkStart w:id="19" w:name="_Hlk214409869"/>
                  <w:r>
                    <w:rPr>
                      <w:kern w:val="0"/>
                      <w:szCs w:val="21"/>
                      <w:lang w:bidi="ar"/>
                    </w:rPr>
                    <w:t>排土场</w:t>
                  </w:r>
                </w:p>
              </w:tc>
            </w:tr>
            <w:bookmarkEnd w:id="19"/>
            <w:tr w14:paraId="0E879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pct"/>
                <w:trHeight w:val="340" w:hRule="atLeast"/>
              </w:trPr>
              <w:tc>
                <w:tcPr>
                  <w:tcW w:w="1658" w:type="pct"/>
                  <w:tcBorders>
                    <w:tl2br w:val="nil"/>
                    <w:tr2bl w:val="nil"/>
                  </w:tcBorders>
                  <w:noWrap/>
                  <w:vAlign w:val="center"/>
                </w:tcPr>
                <w:p w14:paraId="63ABBC2E">
                  <w:pPr>
                    <w:jc w:val="center"/>
                  </w:pPr>
                  <w:r>
                    <w:rPr>
                      <w:rFonts w:hint="eastAsia"/>
                    </w:rPr>
                    <w:t>采矿用地</w:t>
                  </w:r>
                </w:p>
              </w:tc>
              <w:tc>
                <w:tcPr>
                  <w:tcW w:w="1663" w:type="pct"/>
                  <w:tcBorders>
                    <w:tl2br w:val="nil"/>
                    <w:tr2bl w:val="nil"/>
                  </w:tcBorders>
                  <w:noWrap/>
                  <w:vAlign w:val="center"/>
                </w:tcPr>
                <w:p w14:paraId="48BFDBD0">
                  <w:pPr>
                    <w:jc w:val="center"/>
                  </w:pPr>
                  <w:r>
                    <w:rPr>
                      <w:rFonts w:hint="eastAsia"/>
                    </w:rPr>
                    <w:t>5.9595</w:t>
                  </w:r>
                </w:p>
              </w:tc>
              <w:tc>
                <w:tcPr>
                  <w:tcW w:w="1674" w:type="pct"/>
                  <w:tcBorders>
                    <w:tl2br w:val="nil"/>
                    <w:tr2bl w:val="nil"/>
                  </w:tcBorders>
                  <w:noWrap/>
                  <w:vAlign w:val="center"/>
                </w:tcPr>
                <w:p w14:paraId="3703FD24">
                  <w:pPr>
                    <w:jc w:val="center"/>
                  </w:pPr>
                  <w:r>
                    <w:rPr>
                      <w:rFonts w:hint="eastAsia"/>
                    </w:rPr>
                    <w:t>100.00%</w:t>
                  </w:r>
                </w:p>
              </w:tc>
            </w:tr>
            <w:tr w14:paraId="51F5F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pct"/>
                <w:trHeight w:val="340" w:hRule="atLeast"/>
              </w:trPr>
              <w:tc>
                <w:tcPr>
                  <w:tcW w:w="1658" w:type="pct"/>
                  <w:tcBorders>
                    <w:tl2br w:val="nil"/>
                    <w:tr2bl w:val="nil"/>
                  </w:tcBorders>
                  <w:noWrap/>
                  <w:vAlign w:val="center"/>
                </w:tcPr>
                <w:p w14:paraId="1C93B15B">
                  <w:pPr>
                    <w:jc w:val="center"/>
                  </w:pPr>
                  <w:r>
                    <w:rPr>
                      <w:rFonts w:hint="eastAsia"/>
                    </w:rPr>
                    <w:t>总计</w:t>
                  </w:r>
                </w:p>
              </w:tc>
              <w:tc>
                <w:tcPr>
                  <w:tcW w:w="1663" w:type="pct"/>
                  <w:tcBorders>
                    <w:tl2br w:val="nil"/>
                    <w:tr2bl w:val="nil"/>
                  </w:tcBorders>
                  <w:noWrap/>
                  <w:vAlign w:val="center"/>
                </w:tcPr>
                <w:p w14:paraId="5A118EAC">
                  <w:pPr>
                    <w:jc w:val="center"/>
                  </w:pPr>
                  <w:r>
                    <w:rPr>
                      <w:rFonts w:hint="eastAsia"/>
                    </w:rPr>
                    <w:t>5.9595</w:t>
                  </w:r>
                </w:p>
              </w:tc>
              <w:tc>
                <w:tcPr>
                  <w:tcW w:w="1674" w:type="pct"/>
                  <w:tcBorders>
                    <w:tl2br w:val="nil"/>
                    <w:tr2bl w:val="nil"/>
                  </w:tcBorders>
                  <w:noWrap/>
                  <w:vAlign w:val="center"/>
                </w:tcPr>
                <w:p w14:paraId="53F94BA2">
                  <w:pPr>
                    <w:jc w:val="center"/>
                  </w:pPr>
                  <w:r>
                    <w:rPr>
                      <w:rFonts w:hint="eastAsia"/>
                    </w:rPr>
                    <w:t>100.00%</w:t>
                  </w:r>
                </w:p>
              </w:tc>
            </w:tr>
            <w:tr w14:paraId="53DCC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00" w:type="pct"/>
                  <w:gridSpan w:val="4"/>
                  <w:tcBorders>
                    <w:tl2br w:val="nil"/>
                    <w:tr2bl w:val="nil"/>
                  </w:tcBorders>
                  <w:noWrap/>
                  <w:vAlign w:val="center"/>
                </w:tcPr>
                <w:p w14:paraId="296D2316">
                  <w:pPr>
                    <w:widowControl/>
                    <w:jc w:val="center"/>
                    <w:textAlignment w:val="center"/>
                    <w:rPr>
                      <w:kern w:val="0"/>
                      <w:szCs w:val="21"/>
                      <w:lang w:bidi="ar"/>
                    </w:rPr>
                  </w:pPr>
                  <w:r>
                    <w:rPr>
                      <w:kern w:val="0"/>
                      <w:szCs w:val="21"/>
                      <w:lang w:bidi="ar"/>
                    </w:rPr>
                    <w:t>新建运矿道路</w:t>
                  </w:r>
                </w:p>
              </w:tc>
            </w:tr>
            <w:tr w14:paraId="0E229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58" w:type="pct"/>
                  <w:tcBorders>
                    <w:tl2br w:val="nil"/>
                    <w:tr2bl w:val="nil"/>
                  </w:tcBorders>
                  <w:noWrap/>
                  <w:vAlign w:val="center"/>
                </w:tcPr>
                <w:p w14:paraId="03DD6227">
                  <w:pPr>
                    <w:jc w:val="center"/>
                  </w:pPr>
                  <w:r>
                    <w:rPr>
                      <w:rFonts w:hint="eastAsia"/>
                    </w:rPr>
                    <w:t>采矿用地</w:t>
                  </w:r>
                </w:p>
              </w:tc>
              <w:tc>
                <w:tcPr>
                  <w:tcW w:w="1663" w:type="pct"/>
                  <w:tcBorders>
                    <w:tl2br w:val="nil"/>
                    <w:tr2bl w:val="nil"/>
                  </w:tcBorders>
                  <w:noWrap/>
                  <w:vAlign w:val="center"/>
                </w:tcPr>
                <w:p w14:paraId="6C39E3AC">
                  <w:pPr>
                    <w:jc w:val="center"/>
                  </w:pPr>
                  <w:r>
                    <w:rPr>
                      <w:rFonts w:hint="eastAsia"/>
                    </w:rPr>
                    <w:t>0.15</w:t>
                  </w:r>
                </w:p>
              </w:tc>
              <w:tc>
                <w:tcPr>
                  <w:tcW w:w="1678" w:type="pct"/>
                  <w:gridSpan w:val="2"/>
                  <w:tcBorders>
                    <w:tl2br w:val="nil"/>
                    <w:tr2bl w:val="nil"/>
                  </w:tcBorders>
                  <w:noWrap/>
                  <w:vAlign w:val="center"/>
                </w:tcPr>
                <w:p w14:paraId="6EB90B48">
                  <w:pPr>
                    <w:jc w:val="center"/>
                  </w:pPr>
                  <w:r>
                    <w:rPr>
                      <w:rFonts w:hint="eastAsia"/>
                    </w:rPr>
                    <w:t>100.00%</w:t>
                  </w:r>
                </w:p>
              </w:tc>
            </w:tr>
            <w:tr w14:paraId="7ADA8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58" w:type="pct"/>
                  <w:tcBorders>
                    <w:tl2br w:val="nil"/>
                    <w:tr2bl w:val="nil"/>
                  </w:tcBorders>
                  <w:noWrap/>
                  <w:vAlign w:val="center"/>
                </w:tcPr>
                <w:p w14:paraId="5A9AD55D">
                  <w:pPr>
                    <w:jc w:val="center"/>
                  </w:pPr>
                  <w:r>
                    <w:rPr>
                      <w:rFonts w:hint="eastAsia"/>
                    </w:rPr>
                    <w:t>总计</w:t>
                  </w:r>
                </w:p>
              </w:tc>
              <w:tc>
                <w:tcPr>
                  <w:tcW w:w="1663" w:type="pct"/>
                  <w:tcBorders>
                    <w:tl2br w:val="nil"/>
                    <w:tr2bl w:val="nil"/>
                  </w:tcBorders>
                  <w:noWrap/>
                  <w:vAlign w:val="center"/>
                </w:tcPr>
                <w:p w14:paraId="33809163">
                  <w:pPr>
                    <w:jc w:val="center"/>
                  </w:pPr>
                  <w:r>
                    <w:rPr>
                      <w:rFonts w:hint="eastAsia"/>
                    </w:rPr>
                    <w:t>0.15</w:t>
                  </w:r>
                </w:p>
              </w:tc>
              <w:tc>
                <w:tcPr>
                  <w:tcW w:w="1678" w:type="pct"/>
                  <w:gridSpan w:val="2"/>
                  <w:tcBorders>
                    <w:tl2br w:val="nil"/>
                    <w:tr2bl w:val="nil"/>
                  </w:tcBorders>
                  <w:noWrap/>
                  <w:vAlign w:val="center"/>
                </w:tcPr>
                <w:p w14:paraId="05BFFCA4">
                  <w:pPr>
                    <w:jc w:val="center"/>
                  </w:pPr>
                  <w:r>
                    <w:rPr>
                      <w:rFonts w:hint="eastAsia"/>
                    </w:rPr>
                    <w:t>100.00%</w:t>
                  </w:r>
                </w:p>
              </w:tc>
            </w:tr>
            <w:tr w14:paraId="05FD7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00" w:type="pct"/>
                  <w:gridSpan w:val="4"/>
                  <w:tcBorders>
                    <w:tl2br w:val="nil"/>
                    <w:tr2bl w:val="nil"/>
                  </w:tcBorders>
                  <w:noWrap/>
                  <w:vAlign w:val="center"/>
                </w:tcPr>
                <w:p w14:paraId="0204DEA7">
                  <w:pPr>
                    <w:widowControl/>
                    <w:jc w:val="center"/>
                    <w:textAlignment w:val="center"/>
                    <w:rPr>
                      <w:kern w:val="0"/>
                      <w:szCs w:val="21"/>
                      <w:lang w:bidi="ar"/>
                    </w:rPr>
                  </w:pPr>
                  <w:r>
                    <w:rPr>
                      <w:rFonts w:hint="eastAsia"/>
                      <w:kern w:val="0"/>
                      <w:szCs w:val="21"/>
                      <w:lang w:bidi="ar"/>
                    </w:rPr>
                    <w:t>1号办公生活区</w:t>
                  </w:r>
                </w:p>
              </w:tc>
            </w:tr>
            <w:tr w14:paraId="4E421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58" w:type="pct"/>
                  <w:tcBorders>
                    <w:tl2br w:val="nil"/>
                    <w:tr2bl w:val="nil"/>
                  </w:tcBorders>
                  <w:noWrap/>
                  <w:vAlign w:val="center"/>
                </w:tcPr>
                <w:p w14:paraId="08E824AA">
                  <w:pPr>
                    <w:jc w:val="center"/>
                  </w:pPr>
                  <w:r>
                    <w:rPr>
                      <w:rFonts w:hint="eastAsia"/>
                    </w:rPr>
                    <w:t>工业用地</w:t>
                  </w:r>
                </w:p>
              </w:tc>
              <w:tc>
                <w:tcPr>
                  <w:tcW w:w="1663" w:type="pct"/>
                  <w:tcBorders>
                    <w:tl2br w:val="nil"/>
                    <w:tr2bl w:val="nil"/>
                  </w:tcBorders>
                  <w:noWrap/>
                  <w:vAlign w:val="center"/>
                </w:tcPr>
                <w:p w14:paraId="7FEC53C4">
                  <w:pPr>
                    <w:jc w:val="center"/>
                  </w:pPr>
                  <w:r>
                    <w:rPr>
                      <w:rFonts w:hint="eastAsia"/>
                    </w:rPr>
                    <w:t>0.1349</w:t>
                  </w:r>
                </w:p>
              </w:tc>
              <w:tc>
                <w:tcPr>
                  <w:tcW w:w="1678" w:type="pct"/>
                  <w:gridSpan w:val="2"/>
                  <w:tcBorders>
                    <w:tl2br w:val="nil"/>
                    <w:tr2bl w:val="nil"/>
                  </w:tcBorders>
                  <w:noWrap/>
                  <w:vAlign w:val="center"/>
                </w:tcPr>
                <w:p w14:paraId="0E5FCAFC">
                  <w:pPr>
                    <w:jc w:val="center"/>
                  </w:pPr>
                  <w:r>
                    <w:rPr>
                      <w:rFonts w:hint="eastAsia"/>
                    </w:rPr>
                    <w:t>75.70%</w:t>
                  </w:r>
                </w:p>
              </w:tc>
            </w:tr>
            <w:tr w14:paraId="605AE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58" w:type="pct"/>
                  <w:tcBorders>
                    <w:tl2br w:val="nil"/>
                    <w:tr2bl w:val="nil"/>
                  </w:tcBorders>
                  <w:noWrap/>
                  <w:vAlign w:val="center"/>
                </w:tcPr>
                <w:p w14:paraId="1EBEB221">
                  <w:pPr>
                    <w:jc w:val="center"/>
                  </w:pPr>
                  <w:r>
                    <w:rPr>
                      <w:rFonts w:hint="eastAsia"/>
                    </w:rPr>
                    <w:t>采矿用地</w:t>
                  </w:r>
                </w:p>
              </w:tc>
              <w:tc>
                <w:tcPr>
                  <w:tcW w:w="1663" w:type="pct"/>
                  <w:tcBorders>
                    <w:tl2br w:val="nil"/>
                    <w:tr2bl w:val="nil"/>
                  </w:tcBorders>
                  <w:noWrap/>
                  <w:vAlign w:val="center"/>
                </w:tcPr>
                <w:p w14:paraId="4D26C803">
                  <w:pPr>
                    <w:jc w:val="center"/>
                  </w:pPr>
                  <w:r>
                    <w:rPr>
                      <w:rFonts w:hint="eastAsia"/>
                    </w:rPr>
                    <w:t>0.0433</w:t>
                  </w:r>
                </w:p>
              </w:tc>
              <w:tc>
                <w:tcPr>
                  <w:tcW w:w="1678" w:type="pct"/>
                  <w:gridSpan w:val="2"/>
                  <w:tcBorders>
                    <w:tl2br w:val="nil"/>
                    <w:tr2bl w:val="nil"/>
                  </w:tcBorders>
                  <w:noWrap/>
                  <w:vAlign w:val="center"/>
                </w:tcPr>
                <w:p w14:paraId="211B6A89">
                  <w:pPr>
                    <w:jc w:val="center"/>
                  </w:pPr>
                  <w:r>
                    <w:rPr>
                      <w:rFonts w:hint="eastAsia"/>
                    </w:rPr>
                    <w:t>24.30%</w:t>
                  </w:r>
                </w:p>
              </w:tc>
            </w:tr>
            <w:tr w14:paraId="164D5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58" w:type="pct"/>
                  <w:tcBorders>
                    <w:tl2br w:val="nil"/>
                    <w:tr2bl w:val="nil"/>
                  </w:tcBorders>
                  <w:noWrap/>
                  <w:vAlign w:val="center"/>
                </w:tcPr>
                <w:p w14:paraId="6D9E7DE0">
                  <w:pPr>
                    <w:jc w:val="center"/>
                  </w:pPr>
                  <w:r>
                    <w:rPr>
                      <w:rFonts w:hint="eastAsia"/>
                    </w:rPr>
                    <w:t>总计</w:t>
                  </w:r>
                </w:p>
              </w:tc>
              <w:tc>
                <w:tcPr>
                  <w:tcW w:w="1663" w:type="pct"/>
                  <w:tcBorders>
                    <w:tl2br w:val="nil"/>
                    <w:tr2bl w:val="nil"/>
                  </w:tcBorders>
                  <w:noWrap/>
                  <w:vAlign w:val="center"/>
                </w:tcPr>
                <w:p w14:paraId="466710E9">
                  <w:pPr>
                    <w:jc w:val="center"/>
                  </w:pPr>
                  <w:r>
                    <w:rPr>
                      <w:rFonts w:hint="eastAsia"/>
                    </w:rPr>
                    <w:t>0.1782</w:t>
                  </w:r>
                </w:p>
              </w:tc>
              <w:tc>
                <w:tcPr>
                  <w:tcW w:w="1678" w:type="pct"/>
                  <w:gridSpan w:val="2"/>
                  <w:tcBorders>
                    <w:tl2br w:val="nil"/>
                    <w:tr2bl w:val="nil"/>
                  </w:tcBorders>
                  <w:noWrap/>
                  <w:vAlign w:val="center"/>
                </w:tcPr>
                <w:p w14:paraId="456521B8">
                  <w:pPr>
                    <w:jc w:val="center"/>
                  </w:pPr>
                  <w:r>
                    <w:rPr>
                      <w:rFonts w:hint="eastAsia"/>
                    </w:rPr>
                    <w:t>100.00%</w:t>
                  </w:r>
                </w:p>
              </w:tc>
            </w:tr>
            <w:tr w14:paraId="59548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00" w:type="pct"/>
                  <w:gridSpan w:val="4"/>
                  <w:tcBorders>
                    <w:tl2br w:val="nil"/>
                    <w:tr2bl w:val="nil"/>
                  </w:tcBorders>
                  <w:noWrap/>
                  <w:vAlign w:val="center"/>
                </w:tcPr>
                <w:p w14:paraId="04DDA8B2">
                  <w:pPr>
                    <w:jc w:val="center"/>
                  </w:pPr>
                  <w:r>
                    <w:rPr>
                      <w:kern w:val="0"/>
                      <w:szCs w:val="21"/>
                      <w:lang w:bidi="ar"/>
                    </w:rPr>
                    <w:t>2</w:t>
                  </w:r>
                  <w:r>
                    <w:rPr>
                      <w:rFonts w:hint="eastAsia"/>
                      <w:kern w:val="0"/>
                      <w:szCs w:val="21"/>
                      <w:lang w:bidi="ar"/>
                    </w:rPr>
                    <w:t>号办公生活区</w:t>
                  </w:r>
                </w:p>
              </w:tc>
            </w:tr>
            <w:tr w14:paraId="09E1B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58" w:type="pct"/>
                  <w:tcBorders>
                    <w:tl2br w:val="nil"/>
                    <w:tr2bl w:val="nil"/>
                  </w:tcBorders>
                  <w:noWrap/>
                  <w:vAlign w:val="center"/>
                </w:tcPr>
                <w:p w14:paraId="15D23D6F">
                  <w:pPr>
                    <w:jc w:val="center"/>
                  </w:pPr>
                  <w:r>
                    <w:rPr>
                      <w:rFonts w:hint="eastAsia"/>
                    </w:rPr>
                    <w:t>采矿用地</w:t>
                  </w:r>
                </w:p>
              </w:tc>
              <w:tc>
                <w:tcPr>
                  <w:tcW w:w="1663" w:type="pct"/>
                  <w:tcBorders>
                    <w:tl2br w:val="nil"/>
                    <w:tr2bl w:val="nil"/>
                  </w:tcBorders>
                  <w:noWrap/>
                  <w:vAlign w:val="center"/>
                </w:tcPr>
                <w:p w14:paraId="49DADD6D">
                  <w:pPr>
                    <w:jc w:val="center"/>
                  </w:pPr>
                  <w:r>
                    <w:rPr>
                      <w:rFonts w:hint="eastAsia"/>
                    </w:rPr>
                    <w:t>0.1180</w:t>
                  </w:r>
                </w:p>
              </w:tc>
              <w:tc>
                <w:tcPr>
                  <w:tcW w:w="1678" w:type="pct"/>
                  <w:gridSpan w:val="2"/>
                  <w:tcBorders>
                    <w:tl2br w:val="nil"/>
                    <w:tr2bl w:val="nil"/>
                  </w:tcBorders>
                  <w:noWrap/>
                  <w:vAlign w:val="center"/>
                </w:tcPr>
                <w:p w14:paraId="230A0B05">
                  <w:pPr>
                    <w:jc w:val="center"/>
                  </w:pPr>
                  <w:r>
                    <w:rPr>
                      <w:rFonts w:hint="eastAsia"/>
                    </w:rPr>
                    <w:t>100.00%</w:t>
                  </w:r>
                </w:p>
              </w:tc>
            </w:tr>
            <w:tr w14:paraId="71390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58" w:type="pct"/>
                  <w:tcBorders>
                    <w:tl2br w:val="nil"/>
                    <w:tr2bl w:val="nil"/>
                  </w:tcBorders>
                  <w:noWrap/>
                  <w:vAlign w:val="center"/>
                </w:tcPr>
                <w:p w14:paraId="6B6B51C3">
                  <w:pPr>
                    <w:jc w:val="center"/>
                  </w:pPr>
                  <w:r>
                    <w:rPr>
                      <w:rFonts w:hint="eastAsia"/>
                    </w:rPr>
                    <w:t>总计</w:t>
                  </w:r>
                </w:p>
              </w:tc>
              <w:tc>
                <w:tcPr>
                  <w:tcW w:w="1663" w:type="pct"/>
                  <w:tcBorders>
                    <w:tl2br w:val="nil"/>
                    <w:tr2bl w:val="nil"/>
                  </w:tcBorders>
                  <w:noWrap/>
                  <w:vAlign w:val="center"/>
                </w:tcPr>
                <w:p w14:paraId="07B448C0">
                  <w:pPr>
                    <w:jc w:val="center"/>
                  </w:pPr>
                  <w:r>
                    <w:rPr>
                      <w:rFonts w:hint="eastAsia"/>
                    </w:rPr>
                    <w:t>0.1180</w:t>
                  </w:r>
                </w:p>
              </w:tc>
              <w:tc>
                <w:tcPr>
                  <w:tcW w:w="1678" w:type="pct"/>
                  <w:gridSpan w:val="2"/>
                  <w:tcBorders>
                    <w:tl2br w:val="nil"/>
                    <w:tr2bl w:val="nil"/>
                  </w:tcBorders>
                  <w:noWrap/>
                  <w:vAlign w:val="center"/>
                </w:tcPr>
                <w:p w14:paraId="705E327E">
                  <w:pPr>
                    <w:jc w:val="center"/>
                  </w:pPr>
                  <w:r>
                    <w:rPr>
                      <w:rFonts w:hint="eastAsia"/>
                    </w:rPr>
                    <w:t>100.00%</w:t>
                  </w:r>
                </w:p>
              </w:tc>
            </w:tr>
          </w:tbl>
          <w:p w14:paraId="01981F5F">
            <w:pPr>
              <w:pStyle w:val="27"/>
              <w:spacing w:line="480" w:lineRule="exact"/>
              <w:ind w:firstLine="480"/>
              <w:rPr>
                <w:bCs/>
                <w:color w:val="auto"/>
              </w:rPr>
            </w:pPr>
            <w:r>
              <w:rPr>
                <w:bCs/>
                <w:color w:val="auto"/>
              </w:rPr>
              <w:t>根据土地利用现状统计结果，评价范围内土地利用类型以</w:t>
            </w:r>
            <w:r>
              <w:rPr>
                <w:rFonts w:hint="eastAsia"/>
                <w:bCs/>
                <w:color w:val="auto"/>
              </w:rPr>
              <w:t>采矿用地</w:t>
            </w:r>
            <w:r>
              <w:rPr>
                <w:bCs/>
                <w:color w:val="auto"/>
              </w:rPr>
              <w:t>占比最大，为</w:t>
            </w:r>
            <w:r>
              <w:rPr>
                <w:rFonts w:hint="eastAsia"/>
              </w:rPr>
              <w:t>35.43</w:t>
            </w:r>
            <w:r>
              <w:rPr>
                <w:color w:val="auto"/>
                <w:kern w:val="0"/>
                <w:sz w:val="21"/>
                <w:szCs w:val="21"/>
                <w:lang w:bidi="ar"/>
              </w:rPr>
              <w:t>%</w:t>
            </w:r>
            <w:r>
              <w:rPr>
                <w:rFonts w:hint="eastAsia"/>
                <w:bCs/>
                <w:color w:val="auto"/>
              </w:rPr>
              <w:t>，土地利用类型图详见</w:t>
            </w:r>
            <w:r>
              <w:rPr>
                <w:rFonts w:hint="eastAsia"/>
                <w:bCs/>
                <w:color w:val="auto"/>
                <w:highlight w:val="none"/>
              </w:rPr>
              <w:t>附图1</w:t>
            </w:r>
            <w:r>
              <w:rPr>
                <w:rFonts w:hint="eastAsia"/>
                <w:bCs/>
                <w:color w:val="auto"/>
                <w:highlight w:val="none"/>
                <w:lang w:val="en-US" w:eastAsia="zh-CN"/>
              </w:rPr>
              <w:t>2</w:t>
            </w:r>
            <w:r>
              <w:rPr>
                <w:rFonts w:hint="eastAsia"/>
                <w:bCs/>
                <w:color w:val="auto"/>
              </w:rPr>
              <w:t>。</w:t>
            </w:r>
          </w:p>
          <w:p w14:paraId="24804360">
            <w:pPr>
              <w:pStyle w:val="27"/>
              <w:spacing w:line="480" w:lineRule="exact"/>
              <w:ind w:firstLine="480"/>
              <w:rPr>
                <w:bCs/>
                <w:color w:val="auto"/>
              </w:rPr>
            </w:pPr>
            <w:r>
              <w:rPr>
                <w:rFonts w:hint="eastAsia"/>
                <w:bCs/>
                <w:color w:val="auto"/>
              </w:rPr>
              <w:t>（2）植被类型现状</w:t>
            </w:r>
          </w:p>
          <w:p w14:paraId="442A68E2">
            <w:pPr>
              <w:pStyle w:val="27"/>
              <w:spacing w:line="480" w:lineRule="exact"/>
              <w:ind w:firstLine="480"/>
              <w:rPr>
                <w:bCs/>
                <w:color w:val="auto"/>
              </w:rPr>
            </w:pPr>
            <w:r>
              <w:rPr>
                <w:rFonts w:hint="eastAsia"/>
                <w:bCs/>
                <w:color w:val="auto"/>
              </w:rPr>
              <w:t>评价范围内植被类型现状见下表。</w:t>
            </w:r>
          </w:p>
          <w:p w14:paraId="5F867FAC">
            <w:pPr>
              <w:pStyle w:val="15"/>
              <w:tabs>
                <w:tab w:val="left" w:pos="2340"/>
              </w:tabs>
              <w:spacing w:line="480" w:lineRule="exact"/>
              <w:rPr>
                <w:rFonts w:eastAsia="宋体"/>
                <w:b/>
                <w:bCs/>
                <w:sz w:val="21"/>
                <w:szCs w:val="21"/>
              </w:rPr>
            </w:pPr>
            <w:r>
              <w:rPr>
                <w:rFonts w:ascii="宋体" w:hAnsi="宋体" w:eastAsia="宋体" w:cs="宋体"/>
                <w:sz w:val="21"/>
                <w:szCs w:val="21"/>
                <w:lang w:bidi="ar"/>
              </w:rPr>
              <w:t>表</w:t>
            </w:r>
            <w:r>
              <w:rPr>
                <w:rFonts w:eastAsia="宋体"/>
                <w:sz w:val="21"/>
                <w:szCs w:val="21"/>
                <w:lang w:bidi="ar"/>
              </w:rPr>
              <w:t>3-2</w:t>
            </w:r>
            <w:r>
              <w:rPr>
                <w:rFonts w:ascii="宋体" w:hAnsi="宋体" w:eastAsia="宋体" w:cs="宋体"/>
                <w:sz w:val="21"/>
                <w:szCs w:val="21"/>
                <w:lang w:bidi="ar"/>
              </w:rPr>
              <w:t xml:space="preserve">   植被分布现状统计表</w:t>
            </w:r>
          </w:p>
          <w:tbl>
            <w:tblPr>
              <w:tblStyle w:val="29"/>
              <w:tblW w:w="5000" w:type="pct"/>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22"/>
              <w:gridCol w:w="3023"/>
              <w:gridCol w:w="3048"/>
            </w:tblGrid>
            <w:tr w14:paraId="07B61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00" w:type="pct"/>
                  <w:gridSpan w:val="3"/>
                  <w:tcBorders>
                    <w:tl2br w:val="nil"/>
                    <w:tr2bl w:val="nil"/>
                  </w:tcBorders>
                  <w:noWrap/>
                  <w:vAlign w:val="center"/>
                </w:tcPr>
                <w:p w14:paraId="71EB127F">
                  <w:pPr>
                    <w:widowControl/>
                    <w:tabs>
                      <w:tab w:val="center" w:pos="1691"/>
                      <w:tab w:val="right" w:pos="3262"/>
                    </w:tabs>
                    <w:jc w:val="center"/>
                    <w:textAlignment w:val="center"/>
                    <w:rPr>
                      <w:kern w:val="0"/>
                      <w:szCs w:val="21"/>
                      <w:lang w:bidi="ar"/>
                    </w:rPr>
                  </w:pPr>
                  <w:r>
                    <w:rPr>
                      <w:kern w:val="0"/>
                      <w:szCs w:val="21"/>
                      <w:lang w:bidi="ar"/>
                    </w:rPr>
                    <w:t>评价范围（</w:t>
                  </w:r>
                  <w:r>
                    <w:rPr>
                      <w:rFonts w:hint="eastAsia"/>
                      <w:kern w:val="0"/>
                      <w:szCs w:val="21"/>
                      <w:lang w:bidi="ar"/>
                    </w:rPr>
                    <w:t>矿</w:t>
                  </w:r>
                  <w:r>
                    <w:rPr>
                      <w:kern w:val="0"/>
                      <w:szCs w:val="21"/>
                      <w:lang w:bidi="ar"/>
                    </w:rPr>
                    <w:t>界范围外500m）</w:t>
                  </w:r>
                </w:p>
              </w:tc>
            </w:tr>
            <w:tr w14:paraId="5F678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62" w:type="pct"/>
                  <w:tcBorders>
                    <w:tl2br w:val="nil"/>
                    <w:tr2bl w:val="nil"/>
                  </w:tcBorders>
                  <w:noWrap/>
                  <w:vAlign w:val="center"/>
                </w:tcPr>
                <w:p w14:paraId="7A15EF2E">
                  <w:pPr>
                    <w:widowControl/>
                    <w:tabs>
                      <w:tab w:val="center" w:pos="1691"/>
                      <w:tab w:val="right" w:pos="3262"/>
                    </w:tabs>
                    <w:jc w:val="center"/>
                    <w:textAlignment w:val="center"/>
                    <w:rPr>
                      <w:kern w:val="0"/>
                      <w:szCs w:val="21"/>
                      <w:lang w:bidi="ar"/>
                    </w:rPr>
                  </w:pPr>
                  <w:r>
                    <w:rPr>
                      <w:kern w:val="0"/>
                      <w:szCs w:val="21"/>
                      <w:lang w:bidi="ar"/>
                    </w:rPr>
                    <w:t>植被类型</w:t>
                  </w:r>
                </w:p>
              </w:tc>
              <w:tc>
                <w:tcPr>
                  <w:tcW w:w="1662" w:type="pct"/>
                  <w:tcBorders>
                    <w:tl2br w:val="nil"/>
                    <w:tr2bl w:val="nil"/>
                  </w:tcBorders>
                  <w:noWrap/>
                  <w:vAlign w:val="center"/>
                </w:tcPr>
                <w:p w14:paraId="6B180DF2">
                  <w:pPr>
                    <w:widowControl/>
                    <w:tabs>
                      <w:tab w:val="center" w:pos="1691"/>
                      <w:tab w:val="right" w:pos="3262"/>
                    </w:tabs>
                    <w:jc w:val="center"/>
                    <w:textAlignment w:val="center"/>
                    <w:rPr>
                      <w:kern w:val="0"/>
                      <w:szCs w:val="21"/>
                      <w:lang w:bidi="ar"/>
                    </w:rPr>
                  </w:pPr>
                  <w:r>
                    <w:rPr>
                      <w:kern w:val="0"/>
                      <w:szCs w:val="21"/>
                      <w:lang w:bidi="ar"/>
                    </w:rPr>
                    <w:t>面积（公顷）</w:t>
                  </w:r>
                </w:p>
              </w:tc>
              <w:tc>
                <w:tcPr>
                  <w:tcW w:w="1674" w:type="pct"/>
                  <w:tcBorders>
                    <w:tl2br w:val="nil"/>
                    <w:tr2bl w:val="nil"/>
                  </w:tcBorders>
                  <w:noWrap/>
                  <w:vAlign w:val="center"/>
                </w:tcPr>
                <w:p w14:paraId="1C659757">
                  <w:pPr>
                    <w:widowControl/>
                    <w:tabs>
                      <w:tab w:val="center" w:pos="1691"/>
                      <w:tab w:val="right" w:pos="3262"/>
                    </w:tabs>
                    <w:jc w:val="center"/>
                    <w:textAlignment w:val="center"/>
                    <w:rPr>
                      <w:kern w:val="0"/>
                      <w:szCs w:val="21"/>
                      <w:lang w:bidi="ar"/>
                    </w:rPr>
                  </w:pPr>
                  <w:r>
                    <w:rPr>
                      <w:kern w:val="0"/>
                      <w:szCs w:val="21"/>
                      <w:lang w:bidi="ar"/>
                    </w:rPr>
                    <w:t>百分比</w:t>
                  </w:r>
                </w:p>
              </w:tc>
            </w:tr>
            <w:tr w14:paraId="1A795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62" w:type="pct"/>
                  <w:tcBorders>
                    <w:tl2br w:val="nil"/>
                    <w:tr2bl w:val="nil"/>
                  </w:tcBorders>
                  <w:noWrap/>
                  <w:vAlign w:val="center"/>
                </w:tcPr>
                <w:p w14:paraId="658DA3C6">
                  <w:pPr>
                    <w:jc w:val="center"/>
                  </w:pPr>
                  <w:r>
                    <w:rPr>
                      <w:rFonts w:hint="eastAsia"/>
                    </w:rPr>
                    <w:t>栽培作物</w:t>
                  </w:r>
                </w:p>
              </w:tc>
              <w:tc>
                <w:tcPr>
                  <w:tcW w:w="1662" w:type="pct"/>
                  <w:tcBorders>
                    <w:tl2br w:val="nil"/>
                    <w:tr2bl w:val="nil"/>
                  </w:tcBorders>
                  <w:noWrap/>
                  <w:vAlign w:val="center"/>
                </w:tcPr>
                <w:p w14:paraId="3F40D359">
                  <w:pPr>
                    <w:jc w:val="center"/>
                  </w:pPr>
                  <w:r>
                    <w:rPr>
                      <w:rFonts w:hint="eastAsia"/>
                    </w:rPr>
                    <w:t>49.925</w:t>
                  </w:r>
                </w:p>
              </w:tc>
              <w:tc>
                <w:tcPr>
                  <w:tcW w:w="1674" w:type="pct"/>
                  <w:tcBorders>
                    <w:tl2br w:val="nil"/>
                    <w:tr2bl w:val="nil"/>
                  </w:tcBorders>
                  <w:noWrap/>
                  <w:vAlign w:val="center"/>
                </w:tcPr>
                <w:p w14:paraId="35A2CB53">
                  <w:pPr>
                    <w:jc w:val="center"/>
                  </w:pPr>
                  <w:r>
                    <w:rPr>
                      <w:rFonts w:hint="eastAsia"/>
                    </w:rPr>
                    <w:t>18.48%</w:t>
                  </w:r>
                </w:p>
              </w:tc>
            </w:tr>
            <w:tr w14:paraId="41724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62" w:type="pct"/>
                  <w:tcBorders>
                    <w:tl2br w:val="nil"/>
                    <w:tr2bl w:val="nil"/>
                  </w:tcBorders>
                  <w:noWrap/>
                  <w:vAlign w:val="center"/>
                </w:tcPr>
                <w:p w14:paraId="67608C25">
                  <w:pPr>
                    <w:jc w:val="center"/>
                  </w:pPr>
                  <w:r>
                    <w:rPr>
                      <w:rFonts w:hint="eastAsia"/>
                    </w:rPr>
                    <w:t>果树</w:t>
                  </w:r>
                </w:p>
              </w:tc>
              <w:tc>
                <w:tcPr>
                  <w:tcW w:w="1662" w:type="pct"/>
                  <w:tcBorders>
                    <w:tl2br w:val="nil"/>
                    <w:tr2bl w:val="nil"/>
                  </w:tcBorders>
                  <w:noWrap/>
                  <w:vAlign w:val="center"/>
                </w:tcPr>
                <w:p w14:paraId="4B3D9C5E">
                  <w:pPr>
                    <w:jc w:val="center"/>
                  </w:pPr>
                  <w:r>
                    <w:rPr>
                      <w:rFonts w:hint="eastAsia"/>
                    </w:rPr>
                    <w:t>0.437</w:t>
                  </w:r>
                </w:p>
              </w:tc>
              <w:tc>
                <w:tcPr>
                  <w:tcW w:w="1674" w:type="pct"/>
                  <w:tcBorders>
                    <w:tl2br w:val="nil"/>
                    <w:tr2bl w:val="nil"/>
                  </w:tcBorders>
                  <w:noWrap/>
                  <w:vAlign w:val="center"/>
                </w:tcPr>
                <w:p w14:paraId="2C83194E">
                  <w:pPr>
                    <w:jc w:val="center"/>
                  </w:pPr>
                  <w:r>
                    <w:rPr>
                      <w:rFonts w:hint="eastAsia"/>
                    </w:rPr>
                    <w:t>0.16%</w:t>
                  </w:r>
                </w:p>
              </w:tc>
            </w:tr>
            <w:tr w14:paraId="028D7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62" w:type="pct"/>
                  <w:tcBorders>
                    <w:tl2br w:val="nil"/>
                    <w:tr2bl w:val="nil"/>
                  </w:tcBorders>
                  <w:noWrap/>
                  <w:vAlign w:val="center"/>
                </w:tcPr>
                <w:p w14:paraId="111B65AB">
                  <w:pPr>
                    <w:jc w:val="center"/>
                  </w:pPr>
                  <w:r>
                    <w:rPr>
                      <w:rFonts w:hint="eastAsia"/>
                    </w:rPr>
                    <w:t>油松</w:t>
                  </w:r>
                </w:p>
              </w:tc>
              <w:tc>
                <w:tcPr>
                  <w:tcW w:w="1662" w:type="pct"/>
                  <w:tcBorders>
                    <w:tl2br w:val="nil"/>
                    <w:tr2bl w:val="nil"/>
                  </w:tcBorders>
                  <w:noWrap/>
                  <w:vAlign w:val="center"/>
                </w:tcPr>
                <w:p w14:paraId="33A6B1B9">
                  <w:pPr>
                    <w:jc w:val="center"/>
                  </w:pPr>
                  <w:r>
                    <w:rPr>
                      <w:rFonts w:hint="eastAsia"/>
                    </w:rPr>
                    <w:t>10.964</w:t>
                  </w:r>
                </w:p>
              </w:tc>
              <w:tc>
                <w:tcPr>
                  <w:tcW w:w="1674" w:type="pct"/>
                  <w:tcBorders>
                    <w:tl2br w:val="nil"/>
                    <w:tr2bl w:val="nil"/>
                  </w:tcBorders>
                  <w:noWrap/>
                  <w:vAlign w:val="center"/>
                </w:tcPr>
                <w:p w14:paraId="0AAEB43B">
                  <w:pPr>
                    <w:jc w:val="center"/>
                  </w:pPr>
                  <w:r>
                    <w:rPr>
                      <w:rFonts w:hint="eastAsia"/>
                    </w:rPr>
                    <w:t>4.06%</w:t>
                  </w:r>
                </w:p>
              </w:tc>
            </w:tr>
            <w:tr w14:paraId="0B3B0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62" w:type="pct"/>
                  <w:tcBorders>
                    <w:tl2br w:val="nil"/>
                    <w:tr2bl w:val="nil"/>
                  </w:tcBorders>
                  <w:noWrap/>
                  <w:vAlign w:val="center"/>
                </w:tcPr>
                <w:p w14:paraId="119F1C4A">
                  <w:pPr>
                    <w:jc w:val="center"/>
                  </w:pPr>
                  <w:r>
                    <w:rPr>
                      <w:rFonts w:hint="eastAsia"/>
                    </w:rPr>
                    <w:t>沙棘灌丛</w:t>
                  </w:r>
                </w:p>
              </w:tc>
              <w:tc>
                <w:tcPr>
                  <w:tcW w:w="1662" w:type="pct"/>
                  <w:tcBorders>
                    <w:tl2br w:val="nil"/>
                    <w:tr2bl w:val="nil"/>
                  </w:tcBorders>
                  <w:noWrap/>
                  <w:vAlign w:val="center"/>
                </w:tcPr>
                <w:p w14:paraId="28F25E45">
                  <w:pPr>
                    <w:jc w:val="center"/>
                  </w:pPr>
                  <w:r>
                    <w:rPr>
                      <w:rFonts w:hint="eastAsia"/>
                    </w:rPr>
                    <w:t>53.2909</w:t>
                  </w:r>
                </w:p>
              </w:tc>
              <w:tc>
                <w:tcPr>
                  <w:tcW w:w="1674" w:type="pct"/>
                  <w:tcBorders>
                    <w:tl2br w:val="nil"/>
                    <w:tr2bl w:val="nil"/>
                  </w:tcBorders>
                  <w:noWrap/>
                  <w:vAlign w:val="center"/>
                </w:tcPr>
                <w:p w14:paraId="0815422A">
                  <w:pPr>
                    <w:jc w:val="center"/>
                  </w:pPr>
                  <w:r>
                    <w:rPr>
                      <w:rFonts w:hint="eastAsia"/>
                    </w:rPr>
                    <w:t>19.73%</w:t>
                  </w:r>
                </w:p>
              </w:tc>
            </w:tr>
            <w:tr w14:paraId="4C9CD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62" w:type="pct"/>
                  <w:tcBorders>
                    <w:tl2br w:val="nil"/>
                    <w:tr2bl w:val="nil"/>
                  </w:tcBorders>
                  <w:noWrap/>
                  <w:vAlign w:val="center"/>
                </w:tcPr>
                <w:p w14:paraId="07727A04">
                  <w:pPr>
                    <w:jc w:val="center"/>
                  </w:pPr>
                  <w:r>
                    <w:rPr>
                      <w:rFonts w:hint="eastAsia"/>
                    </w:rPr>
                    <w:t>草丛</w:t>
                  </w:r>
                </w:p>
              </w:tc>
              <w:tc>
                <w:tcPr>
                  <w:tcW w:w="1662" w:type="pct"/>
                  <w:tcBorders>
                    <w:tl2br w:val="nil"/>
                    <w:tr2bl w:val="nil"/>
                  </w:tcBorders>
                  <w:noWrap/>
                  <w:vAlign w:val="center"/>
                </w:tcPr>
                <w:p w14:paraId="175D4D58">
                  <w:pPr>
                    <w:jc w:val="center"/>
                  </w:pPr>
                  <w:r>
                    <w:rPr>
                      <w:rFonts w:hint="eastAsia"/>
                    </w:rPr>
                    <w:t>52.4861</w:t>
                  </w:r>
                </w:p>
              </w:tc>
              <w:tc>
                <w:tcPr>
                  <w:tcW w:w="1674" w:type="pct"/>
                  <w:tcBorders>
                    <w:tl2br w:val="nil"/>
                    <w:tr2bl w:val="nil"/>
                  </w:tcBorders>
                  <w:noWrap/>
                  <w:vAlign w:val="center"/>
                </w:tcPr>
                <w:p w14:paraId="6116FF59">
                  <w:pPr>
                    <w:jc w:val="center"/>
                  </w:pPr>
                  <w:r>
                    <w:rPr>
                      <w:rFonts w:hint="eastAsia"/>
                    </w:rPr>
                    <w:t>19.43%</w:t>
                  </w:r>
                </w:p>
              </w:tc>
            </w:tr>
            <w:tr w14:paraId="7DAD6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62" w:type="pct"/>
                  <w:tcBorders>
                    <w:tl2br w:val="nil"/>
                    <w:tr2bl w:val="nil"/>
                  </w:tcBorders>
                  <w:noWrap/>
                  <w:vAlign w:val="center"/>
                </w:tcPr>
                <w:p w14:paraId="2C68DD0E">
                  <w:pPr>
                    <w:jc w:val="center"/>
                  </w:pPr>
                  <w:r>
                    <w:rPr>
                      <w:rFonts w:hint="eastAsia"/>
                    </w:rPr>
                    <w:t>无植被区</w:t>
                  </w:r>
                </w:p>
              </w:tc>
              <w:tc>
                <w:tcPr>
                  <w:tcW w:w="1662" w:type="pct"/>
                  <w:tcBorders>
                    <w:tl2br w:val="nil"/>
                    <w:tr2bl w:val="nil"/>
                  </w:tcBorders>
                  <w:noWrap/>
                  <w:vAlign w:val="center"/>
                </w:tcPr>
                <w:p w14:paraId="678CE10C">
                  <w:pPr>
                    <w:jc w:val="center"/>
                  </w:pPr>
                  <w:r>
                    <w:rPr>
                      <w:rFonts w:hint="eastAsia"/>
                    </w:rPr>
                    <w:t>103.0063</w:t>
                  </w:r>
                </w:p>
              </w:tc>
              <w:tc>
                <w:tcPr>
                  <w:tcW w:w="1674" w:type="pct"/>
                  <w:tcBorders>
                    <w:tl2br w:val="nil"/>
                    <w:tr2bl w:val="nil"/>
                  </w:tcBorders>
                  <w:noWrap/>
                  <w:vAlign w:val="center"/>
                </w:tcPr>
                <w:p w14:paraId="1779A586">
                  <w:pPr>
                    <w:jc w:val="center"/>
                  </w:pPr>
                  <w:r>
                    <w:rPr>
                      <w:rFonts w:hint="eastAsia"/>
                    </w:rPr>
                    <w:t>38.14%</w:t>
                  </w:r>
                </w:p>
              </w:tc>
            </w:tr>
            <w:tr w14:paraId="1DFE1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62" w:type="pct"/>
                  <w:tcBorders>
                    <w:tl2br w:val="nil"/>
                    <w:tr2bl w:val="nil"/>
                  </w:tcBorders>
                  <w:noWrap/>
                  <w:vAlign w:val="center"/>
                </w:tcPr>
                <w:p w14:paraId="092BC0E9">
                  <w:pPr>
                    <w:jc w:val="center"/>
                  </w:pPr>
                  <w:r>
                    <w:rPr>
                      <w:rFonts w:hint="eastAsia"/>
                    </w:rPr>
                    <w:t>总计</w:t>
                  </w:r>
                </w:p>
              </w:tc>
              <w:tc>
                <w:tcPr>
                  <w:tcW w:w="1662" w:type="pct"/>
                  <w:tcBorders>
                    <w:tl2br w:val="nil"/>
                    <w:tr2bl w:val="nil"/>
                  </w:tcBorders>
                  <w:noWrap/>
                  <w:vAlign w:val="center"/>
                </w:tcPr>
                <w:p w14:paraId="57C76122">
                  <w:pPr>
                    <w:jc w:val="center"/>
                  </w:pPr>
                  <w:r>
                    <w:rPr>
                      <w:rFonts w:hint="eastAsia"/>
                    </w:rPr>
                    <w:t>270.1093</w:t>
                  </w:r>
                </w:p>
              </w:tc>
              <w:tc>
                <w:tcPr>
                  <w:tcW w:w="1674" w:type="pct"/>
                  <w:tcBorders>
                    <w:tl2br w:val="nil"/>
                    <w:tr2bl w:val="nil"/>
                  </w:tcBorders>
                  <w:noWrap/>
                  <w:vAlign w:val="center"/>
                </w:tcPr>
                <w:p w14:paraId="313235C0">
                  <w:pPr>
                    <w:jc w:val="center"/>
                  </w:pPr>
                  <w:r>
                    <w:rPr>
                      <w:rFonts w:hint="eastAsia"/>
                    </w:rPr>
                    <w:t>100.00%</w:t>
                  </w:r>
                </w:p>
              </w:tc>
            </w:tr>
            <w:tr w14:paraId="663E6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00" w:type="pct"/>
                  <w:gridSpan w:val="3"/>
                  <w:tcBorders>
                    <w:tl2br w:val="nil"/>
                    <w:tr2bl w:val="nil"/>
                  </w:tcBorders>
                  <w:noWrap/>
                  <w:vAlign w:val="center"/>
                </w:tcPr>
                <w:p w14:paraId="19D8BB9E">
                  <w:pPr>
                    <w:widowControl/>
                    <w:tabs>
                      <w:tab w:val="center" w:pos="1691"/>
                      <w:tab w:val="right" w:pos="3262"/>
                    </w:tabs>
                    <w:jc w:val="center"/>
                    <w:textAlignment w:val="center"/>
                    <w:rPr>
                      <w:kern w:val="0"/>
                      <w:szCs w:val="21"/>
                      <w:lang w:bidi="ar"/>
                    </w:rPr>
                  </w:pPr>
                  <w:r>
                    <w:rPr>
                      <w:kern w:val="0"/>
                      <w:szCs w:val="21"/>
                      <w:lang w:bidi="ar"/>
                    </w:rPr>
                    <w:t>矿区范围</w:t>
                  </w:r>
                </w:p>
              </w:tc>
            </w:tr>
            <w:tr w14:paraId="2E396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62" w:type="pct"/>
                  <w:tcBorders>
                    <w:tl2br w:val="nil"/>
                    <w:tr2bl w:val="nil"/>
                  </w:tcBorders>
                  <w:noWrap/>
                  <w:vAlign w:val="center"/>
                </w:tcPr>
                <w:p w14:paraId="2F6200D2">
                  <w:pPr>
                    <w:jc w:val="center"/>
                  </w:pPr>
                  <w:r>
                    <w:rPr>
                      <w:rFonts w:hint="eastAsia"/>
                    </w:rPr>
                    <w:t>无植被区</w:t>
                  </w:r>
                </w:p>
              </w:tc>
              <w:tc>
                <w:tcPr>
                  <w:tcW w:w="1662" w:type="pct"/>
                  <w:tcBorders>
                    <w:tl2br w:val="nil"/>
                    <w:tr2bl w:val="nil"/>
                  </w:tcBorders>
                  <w:noWrap/>
                  <w:vAlign w:val="center"/>
                </w:tcPr>
                <w:p w14:paraId="4F05FD6F">
                  <w:pPr>
                    <w:jc w:val="center"/>
                  </w:pPr>
                  <w:r>
                    <w:rPr>
                      <w:rFonts w:hint="eastAsia"/>
                    </w:rPr>
                    <w:t>20.46</w:t>
                  </w:r>
                </w:p>
              </w:tc>
              <w:tc>
                <w:tcPr>
                  <w:tcW w:w="1674" w:type="pct"/>
                  <w:tcBorders>
                    <w:tl2br w:val="nil"/>
                    <w:tr2bl w:val="nil"/>
                  </w:tcBorders>
                  <w:noWrap/>
                  <w:vAlign w:val="center"/>
                </w:tcPr>
                <w:p w14:paraId="7CB93AAC">
                  <w:pPr>
                    <w:jc w:val="center"/>
                  </w:pPr>
                  <w:r>
                    <w:rPr>
                      <w:rFonts w:hint="eastAsia"/>
                    </w:rPr>
                    <w:t>100.00%</w:t>
                  </w:r>
                </w:p>
              </w:tc>
            </w:tr>
            <w:tr w14:paraId="7D025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62" w:type="pct"/>
                  <w:tcBorders>
                    <w:tl2br w:val="nil"/>
                    <w:tr2bl w:val="nil"/>
                  </w:tcBorders>
                  <w:noWrap/>
                  <w:vAlign w:val="center"/>
                </w:tcPr>
                <w:p w14:paraId="6E229721">
                  <w:pPr>
                    <w:jc w:val="center"/>
                  </w:pPr>
                  <w:r>
                    <w:rPr>
                      <w:rFonts w:hint="eastAsia"/>
                    </w:rPr>
                    <w:t>总计</w:t>
                  </w:r>
                </w:p>
              </w:tc>
              <w:tc>
                <w:tcPr>
                  <w:tcW w:w="1662" w:type="pct"/>
                  <w:tcBorders>
                    <w:tl2br w:val="nil"/>
                    <w:tr2bl w:val="nil"/>
                  </w:tcBorders>
                  <w:noWrap/>
                  <w:vAlign w:val="center"/>
                </w:tcPr>
                <w:p w14:paraId="15C13C42">
                  <w:pPr>
                    <w:jc w:val="center"/>
                  </w:pPr>
                  <w:r>
                    <w:rPr>
                      <w:rFonts w:hint="eastAsia"/>
                    </w:rPr>
                    <w:t>20.46</w:t>
                  </w:r>
                </w:p>
              </w:tc>
              <w:tc>
                <w:tcPr>
                  <w:tcW w:w="1674" w:type="pct"/>
                  <w:tcBorders>
                    <w:tl2br w:val="nil"/>
                    <w:tr2bl w:val="nil"/>
                  </w:tcBorders>
                  <w:noWrap/>
                  <w:vAlign w:val="center"/>
                </w:tcPr>
                <w:p w14:paraId="12476C56">
                  <w:pPr>
                    <w:jc w:val="center"/>
                  </w:pPr>
                  <w:r>
                    <w:rPr>
                      <w:rFonts w:hint="eastAsia"/>
                    </w:rPr>
                    <w:t>100.00%</w:t>
                  </w:r>
                </w:p>
              </w:tc>
            </w:tr>
            <w:tr w14:paraId="0C267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00" w:type="pct"/>
                  <w:gridSpan w:val="3"/>
                  <w:tcBorders>
                    <w:tl2br w:val="nil"/>
                    <w:tr2bl w:val="nil"/>
                  </w:tcBorders>
                  <w:noWrap/>
                  <w:vAlign w:val="center"/>
                </w:tcPr>
                <w:p w14:paraId="6F9B9A2E">
                  <w:pPr>
                    <w:widowControl/>
                    <w:tabs>
                      <w:tab w:val="center" w:pos="1691"/>
                      <w:tab w:val="right" w:pos="3262"/>
                    </w:tabs>
                    <w:jc w:val="center"/>
                    <w:textAlignment w:val="center"/>
                    <w:rPr>
                      <w:kern w:val="0"/>
                      <w:szCs w:val="21"/>
                      <w:highlight w:val="black"/>
                      <w:lang w:bidi="ar"/>
                    </w:rPr>
                  </w:pPr>
                  <w:r>
                    <w:rPr>
                      <w:kern w:val="0"/>
                      <w:szCs w:val="21"/>
                      <w:lang w:bidi="ar"/>
                    </w:rPr>
                    <w:t>排土场</w:t>
                  </w:r>
                </w:p>
              </w:tc>
            </w:tr>
            <w:tr w14:paraId="20EE0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62" w:type="pct"/>
                  <w:tcBorders>
                    <w:tl2br w:val="nil"/>
                    <w:tr2bl w:val="nil"/>
                  </w:tcBorders>
                  <w:noWrap/>
                  <w:vAlign w:val="center"/>
                </w:tcPr>
                <w:p w14:paraId="7ACA610D">
                  <w:pPr>
                    <w:jc w:val="center"/>
                  </w:pPr>
                  <w:r>
                    <w:rPr>
                      <w:rFonts w:hint="eastAsia"/>
                    </w:rPr>
                    <w:t>无植被区</w:t>
                  </w:r>
                </w:p>
              </w:tc>
              <w:tc>
                <w:tcPr>
                  <w:tcW w:w="1662" w:type="pct"/>
                  <w:tcBorders>
                    <w:tl2br w:val="nil"/>
                    <w:tr2bl w:val="nil"/>
                  </w:tcBorders>
                  <w:noWrap/>
                  <w:vAlign w:val="center"/>
                </w:tcPr>
                <w:p w14:paraId="26BE1AC1">
                  <w:pPr>
                    <w:jc w:val="center"/>
                  </w:pPr>
                  <w:r>
                    <w:rPr>
                      <w:rFonts w:hint="eastAsia"/>
                    </w:rPr>
                    <w:t>5.9595</w:t>
                  </w:r>
                </w:p>
              </w:tc>
              <w:tc>
                <w:tcPr>
                  <w:tcW w:w="1674" w:type="pct"/>
                  <w:tcBorders>
                    <w:tl2br w:val="nil"/>
                    <w:tr2bl w:val="nil"/>
                  </w:tcBorders>
                  <w:noWrap/>
                  <w:vAlign w:val="center"/>
                </w:tcPr>
                <w:p w14:paraId="2248BA3B">
                  <w:pPr>
                    <w:jc w:val="center"/>
                  </w:pPr>
                  <w:r>
                    <w:rPr>
                      <w:rFonts w:hint="eastAsia"/>
                    </w:rPr>
                    <w:t>100.00%</w:t>
                  </w:r>
                </w:p>
              </w:tc>
            </w:tr>
            <w:tr w14:paraId="4B0B7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62" w:type="pct"/>
                  <w:tcBorders>
                    <w:tl2br w:val="nil"/>
                    <w:tr2bl w:val="nil"/>
                  </w:tcBorders>
                  <w:noWrap/>
                  <w:vAlign w:val="center"/>
                </w:tcPr>
                <w:p w14:paraId="16037702">
                  <w:pPr>
                    <w:jc w:val="center"/>
                  </w:pPr>
                  <w:r>
                    <w:rPr>
                      <w:rFonts w:hint="eastAsia"/>
                    </w:rPr>
                    <w:t>总计</w:t>
                  </w:r>
                </w:p>
              </w:tc>
              <w:tc>
                <w:tcPr>
                  <w:tcW w:w="1662" w:type="pct"/>
                  <w:tcBorders>
                    <w:tl2br w:val="nil"/>
                    <w:tr2bl w:val="nil"/>
                  </w:tcBorders>
                  <w:noWrap/>
                  <w:vAlign w:val="center"/>
                </w:tcPr>
                <w:p w14:paraId="18BFE150">
                  <w:pPr>
                    <w:jc w:val="center"/>
                  </w:pPr>
                  <w:r>
                    <w:rPr>
                      <w:rFonts w:hint="eastAsia"/>
                    </w:rPr>
                    <w:t>5.9595</w:t>
                  </w:r>
                </w:p>
              </w:tc>
              <w:tc>
                <w:tcPr>
                  <w:tcW w:w="1674" w:type="pct"/>
                  <w:tcBorders>
                    <w:tl2br w:val="nil"/>
                    <w:tr2bl w:val="nil"/>
                  </w:tcBorders>
                  <w:noWrap/>
                  <w:vAlign w:val="center"/>
                </w:tcPr>
                <w:p w14:paraId="39EC26F7">
                  <w:pPr>
                    <w:jc w:val="center"/>
                  </w:pPr>
                  <w:r>
                    <w:rPr>
                      <w:rFonts w:hint="eastAsia"/>
                    </w:rPr>
                    <w:t>100.00%</w:t>
                  </w:r>
                </w:p>
              </w:tc>
            </w:tr>
            <w:tr w14:paraId="0C705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00" w:type="pct"/>
                  <w:gridSpan w:val="3"/>
                  <w:tcBorders>
                    <w:tl2br w:val="nil"/>
                    <w:tr2bl w:val="nil"/>
                  </w:tcBorders>
                  <w:noWrap/>
                  <w:vAlign w:val="center"/>
                </w:tcPr>
                <w:p w14:paraId="78FCDAE4">
                  <w:pPr>
                    <w:widowControl/>
                    <w:tabs>
                      <w:tab w:val="center" w:pos="1691"/>
                      <w:tab w:val="right" w:pos="3262"/>
                    </w:tabs>
                    <w:jc w:val="center"/>
                    <w:textAlignment w:val="center"/>
                    <w:rPr>
                      <w:kern w:val="0"/>
                      <w:szCs w:val="21"/>
                      <w:lang w:bidi="ar"/>
                    </w:rPr>
                  </w:pPr>
                  <w:r>
                    <w:rPr>
                      <w:kern w:val="0"/>
                      <w:szCs w:val="21"/>
                      <w:lang w:bidi="ar"/>
                    </w:rPr>
                    <w:t>新建运矿道路</w:t>
                  </w:r>
                </w:p>
              </w:tc>
            </w:tr>
            <w:tr w14:paraId="177F8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62" w:type="pct"/>
                  <w:tcBorders>
                    <w:tl2br w:val="nil"/>
                    <w:tr2bl w:val="nil"/>
                  </w:tcBorders>
                  <w:noWrap/>
                  <w:vAlign w:val="center"/>
                </w:tcPr>
                <w:p w14:paraId="7E2EE11E">
                  <w:pPr>
                    <w:jc w:val="center"/>
                  </w:pPr>
                  <w:r>
                    <w:rPr>
                      <w:rFonts w:hint="eastAsia"/>
                    </w:rPr>
                    <w:t>无植被区</w:t>
                  </w:r>
                </w:p>
              </w:tc>
              <w:tc>
                <w:tcPr>
                  <w:tcW w:w="1662" w:type="pct"/>
                  <w:tcBorders>
                    <w:tl2br w:val="nil"/>
                    <w:tr2bl w:val="nil"/>
                  </w:tcBorders>
                  <w:noWrap/>
                  <w:vAlign w:val="center"/>
                </w:tcPr>
                <w:p w14:paraId="7FD6DD07">
                  <w:pPr>
                    <w:jc w:val="center"/>
                  </w:pPr>
                  <w:r>
                    <w:rPr>
                      <w:rFonts w:hint="eastAsia"/>
                    </w:rPr>
                    <w:t>0.15</w:t>
                  </w:r>
                </w:p>
              </w:tc>
              <w:tc>
                <w:tcPr>
                  <w:tcW w:w="1674" w:type="pct"/>
                  <w:tcBorders>
                    <w:tl2br w:val="nil"/>
                    <w:tr2bl w:val="nil"/>
                  </w:tcBorders>
                  <w:noWrap/>
                  <w:vAlign w:val="center"/>
                </w:tcPr>
                <w:p w14:paraId="01A46F4B">
                  <w:pPr>
                    <w:jc w:val="center"/>
                  </w:pPr>
                  <w:r>
                    <w:rPr>
                      <w:rFonts w:hint="eastAsia"/>
                    </w:rPr>
                    <w:t>100.00%</w:t>
                  </w:r>
                </w:p>
              </w:tc>
            </w:tr>
            <w:tr w14:paraId="1CDFB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62" w:type="pct"/>
                  <w:tcBorders>
                    <w:tl2br w:val="nil"/>
                    <w:tr2bl w:val="nil"/>
                  </w:tcBorders>
                  <w:noWrap/>
                  <w:vAlign w:val="center"/>
                </w:tcPr>
                <w:p w14:paraId="0BEB0603">
                  <w:pPr>
                    <w:jc w:val="center"/>
                  </w:pPr>
                  <w:r>
                    <w:rPr>
                      <w:rFonts w:hint="eastAsia"/>
                    </w:rPr>
                    <w:t>总计</w:t>
                  </w:r>
                </w:p>
              </w:tc>
              <w:tc>
                <w:tcPr>
                  <w:tcW w:w="1662" w:type="pct"/>
                  <w:tcBorders>
                    <w:tl2br w:val="nil"/>
                    <w:tr2bl w:val="nil"/>
                  </w:tcBorders>
                  <w:noWrap/>
                  <w:vAlign w:val="center"/>
                </w:tcPr>
                <w:p w14:paraId="607C73AA">
                  <w:pPr>
                    <w:jc w:val="center"/>
                  </w:pPr>
                  <w:r>
                    <w:rPr>
                      <w:rFonts w:hint="eastAsia"/>
                    </w:rPr>
                    <w:t>0.15</w:t>
                  </w:r>
                </w:p>
              </w:tc>
              <w:tc>
                <w:tcPr>
                  <w:tcW w:w="1674" w:type="pct"/>
                  <w:tcBorders>
                    <w:tl2br w:val="nil"/>
                    <w:tr2bl w:val="nil"/>
                  </w:tcBorders>
                  <w:noWrap/>
                  <w:vAlign w:val="center"/>
                </w:tcPr>
                <w:p w14:paraId="1173FD54">
                  <w:pPr>
                    <w:jc w:val="center"/>
                  </w:pPr>
                  <w:r>
                    <w:rPr>
                      <w:rFonts w:hint="eastAsia"/>
                    </w:rPr>
                    <w:t>100.00%</w:t>
                  </w:r>
                </w:p>
              </w:tc>
            </w:tr>
            <w:tr w14:paraId="794E1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00" w:type="pct"/>
                  <w:gridSpan w:val="3"/>
                  <w:tcBorders>
                    <w:tl2br w:val="nil"/>
                    <w:tr2bl w:val="nil"/>
                  </w:tcBorders>
                  <w:noWrap/>
                  <w:vAlign w:val="center"/>
                </w:tcPr>
                <w:p w14:paraId="592ED656">
                  <w:pPr>
                    <w:widowControl/>
                    <w:tabs>
                      <w:tab w:val="center" w:pos="1691"/>
                      <w:tab w:val="right" w:pos="3262"/>
                    </w:tabs>
                    <w:jc w:val="center"/>
                    <w:textAlignment w:val="center"/>
                    <w:rPr>
                      <w:kern w:val="0"/>
                      <w:szCs w:val="21"/>
                      <w:lang w:bidi="ar"/>
                    </w:rPr>
                  </w:pPr>
                  <w:r>
                    <w:rPr>
                      <w:rFonts w:hint="eastAsia"/>
                      <w:kern w:val="0"/>
                      <w:szCs w:val="21"/>
                      <w:lang w:bidi="ar"/>
                    </w:rPr>
                    <w:t>1号办公生活区</w:t>
                  </w:r>
                </w:p>
              </w:tc>
            </w:tr>
            <w:tr w14:paraId="749D5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62" w:type="pct"/>
                  <w:tcBorders>
                    <w:tl2br w:val="nil"/>
                    <w:tr2bl w:val="nil"/>
                  </w:tcBorders>
                  <w:noWrap/>
                  <w:vAlign w:val="center"/>
                </w:tcPr>
                <w:p w14:paraId="1CFED3D1">
                  <w:pPr>
                    <w:jc w:val="center"/>
                  </w:pPr>
                  <w:r>
                    <w:rPr>
                      <w:rFonts w:hint="eastAsia"/>
                    </w:rPr>
                    <w:t>无植被区</w:t>
                  </w:r>
                </w:p>
              </w:tc>
              <w:tc>
                <w:tcPr>
                  <w:tcW w:w="1662" w:type="pct"/>
                  <w:tcBorders>
                    <w:tl2br w:val="nil"/>
                    <w:tr2bl w:val="nil"/>
                  </w:tcBorders>
                  <w:noWrap/>
                  <w:vAlign w:val="center"/>
                </w:tcPr>
                <w:p w14:paraId="3C7B852C">
                  <w:pPr>
                    <w:jc w:val="center"/>
                  </w:pPr>
                  <w:r>
                    <w:rPr>
                      <w:rFonts w:hint="eastAsia"/>
                    </w:rPr>
                    <w:t>0.1782</w:t>
                  </w:r>
                </w:p>
              </w:tc>
              <w:tc>
                <w:tcPr>
                  <w:tcW w:w="1674" w:type="pct"/>
                  <w:tcBorders>
                    <w:tl2br w:val="nil"/>
                    <w:tr2bl w:val="nil"/>
                  </w:tcBorders>
                  <w:noWrap/>
                  <w:vAlign w:val="center"/>
                </w:tcPr>
                <w:p w14:paraId="654A0415">
                  <w:pPr>
                    <w:jc w:val="center"/>
                  </w:pPr>
                  <w:r>
                    <w:rPr>
                      <w:rFonts w:hint="eastAsia"/>
                    </w:rPr>
                    <w:t>100.00%</w:t>
                  </w:r>
                </w:p>
              </w:tc>
            </w:tr>
            <w:tr w14:paraId="36FF2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62" w:type="pct"/>
                  <w:tcBorders>
                    <w:tl2br w:val="nil"/>
                    <w:tr2bl w:val="nil"/>
                  </w:tcBorders>
                  <w:noWrap/>
                  <w:vAlign w:val="center"/>
                </w:tcPr>
                <w:p w14:paraId="54025E6A">
                  <w:pPr>
                    <w:jc w:val="center"/>
                  </w:pPr>
                  <w:r>
                    <w:rPr>
                      <w:rFonts w:hint="eastAsia"/>
                    </w:rPr>
                    <w:t>总计</w:t>
                  </w:r>
                </w:p>
              </w:tc>
              <w:tc>
                <w:tcPr>
                  <w:tcW w:w="1662" w:type="pct"/>
                  <w:tcBorders>
                    <w:tl2br w:val="nil"/>
                    <w:tr2bl w:val="nil"/>
                  </w:tcBorders>
                  <w:noWrap/>
                  <w:vAlign w:val="center"/>
                </w:tcPr>
                <w:p w14:paraId="28B27BB4">
                  <w:pPr>
                    <w:jc w:val="center"/>
                  </w:pPr>
                  <w:r>
                    <w:rPr>
                      <w:rFonts w:hint="eastAsia"/>
                    </w:rPr>
                    <w:t>0.1782</w:t>
                  </w:r>
                </w:p>
              </w:tc>
              <w:tc>
                <w:tcPr>
                  <w:tcW w:w="1674" w:type="pct"/>
                  <w:tcBorders>
                    <w:tl2br w:val="nil"/>
                    <w:tr2bl w:val="nil"/>
                  </w:tcBorders>
                  <w:noWrap/>
                  <w:vAlign w:val="center"/>
                </w:tcPr>
                <w:p w14:paraId="27EC75FC">
                  <w:pPr>
                    <w:jc w:val="center"/>
                  </w:pPr>
                  <w:r>
                    <w:rPr>
                      <w:rFonts w:hint="eastAsia"/>
                    </w:rPr>
                    <w:t>100.00%</w:t>
                  </w:r>
                </w:p>
              </w:tc>
            </w:tr>
            <w:tr w14:paraId="0F1CF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00" w:type="pct"/>
                  <w:gridSpan w:val="3"/>
                  <w:tcBorders>
                    <w:tl2br w:val="nil"/>
                    <w:tr2bl w:val="nil"/>
                  </w:tcBorders>
                  <w:noWrap/>
                  <w:vAlign w:val="center"/>
                </w:tcPr>
                <w:p w14:paraId="3CBC561A">
                  <w:pPr>
                    <w:widowControl/>
                    <w:jc w:val="center"/>
                    <w:textAlignment w:val="center"/>
                    <w:rPr>
                      <w:kern w:val="0"/>
                      <w:szCs w:val="21"/>
                      <w:lang w:bidi="ar"/>
                    </w:rPr>
                  </w:pPr>
                  <w:r>
                    <w:rPr>
                      <w:kern w:val="0"/>
                      <w:szCs w:val="21"/>
                      <w:lang w:bidi="ar"/>
                    </w:rPr>
                    <w:t>2</w:t>
                  </w:r>
                  <w:r>
                    <w:rPr>
                      <w:rFonts w:hint="eastAsia"/>
                      <w:kern w:val="0"/>
                      <w:szCs w:val="21"/>
                      <w:lang w:bidi="ar"/>
                    </w:rPr>
                    <w:t>号办公生活区</w:t>
                  </w:r>
                </w:p>
              </w:tc>
            </w:tr>
            <w:tr w14:paraId="325EE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62" w:type="pct"/>
                  <w:tcBorders>
                    <w:tl2br w:val="nil"/>
                    <w:tr2bl w:val="nil"/>
                  </w:tcBorders>
                  <w:noWrap/>
                  <w:vAlign w:val="center"/>
                </w:tcPr>
                <w:p w14:paraId="0770721C">
                  <w:pPr>
                    <w:jc w:val="center"/>
                  </w:pPr>
                  <w:r>
                    <w:rPr>
                      <w:rFonts w:hint="eastAsia"/>
                    </w:rPr>
                    <w:t>无植被区</w:t>
                  </w:r>
                </w:p>
              </w:tc>
              <w:tc>
                <w:tcPr>
                  <w:tcW w:w="1662" w:type="pct"/>
                  <w:tcBorders>
                    <w:tl2br w:val="nil"/>
                    <w:tr2bl w:val="nil"/>
                  </w:tcBorders>
                  <w:noWrap/>
                  <w:vAlign w:val="center"/>
                </w:tcPr>
                <w:p w14:paraId="060448A8">
                  <w:pPr>
                    <w:jc w:val="center"/>
                  </w:pPr>
                  <w:r>
                    <w:rPr>
                      <w:rFonts w:hint="eastAsia"/>
                    </w:rPr>
                    <w:t>0.1180</w:t>
                  </w:r>
                </w:p>
              </w:tc>
              <w:tc>
                <w:tcPr>
                  <w:tcW w:w="1674" w:type="pct"/>
                  <w:tcBorders>
                    <w:tl2br w:val="nil"/>
                    <w:tr2bl w:val="nil"/>
                  </w:tcBorders>
                  <w:noWrap/>
                  <w:vAlign w:val="center"/>
                </w:tcPr>
                <w:p w14:paraId="4C861358">
                  <w:pPr>
                    <w:jc w:val="center"/>
                  </w:pPr>
                  <w:r>
                    <w:rPr>
                      <w:rFonts w:hint="eastAsia"/>
                    </w:rPr>
                    <w:t>100.00%</w:t>
                  </w:r>
                </w:p>
              </w:tc>
            </w:tr>
            <w:tr w14:paraId="0957C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62" w:type="pct"/>
                  <w:tcBorders>
                    <w:tl2br w:val="nil"/>
                    <w:tr2bl w:val="nil"/>
                  </w:tcBorders>
                  <w:noWrap/>
                  <w:vAlign w:val="center"/>
                </w:tcPr>
                <w:p w14:paraId="728D24D5">
                  <w:pPr>
                    <w:jc w:val="center"/>
                  </w:pPr>
                  <w:r>
                    <w:rPr>
                      <w:rFonts w:hint="eastAsia"/>
                    </w:rPr>
                    <w:t>总计</w:t>
                  </w:r>
                </w:p>
              </w:tc>
              <w:tc>
                <w:tcPr>
                  <w:tcW w:w="1662" w:type="pct"/>
                  <w:tcBorders>
                    <w:tl2br w:val="nil"/>
                    <w:tr2bl w:val="nil"/>
                  </w:tcBorders>
                  <w:noWrap/>
                  <w:vAlign w:val="center"/>
                </w:tcPr>
                <w:p w14:paraId="6DA57BF3">
                  <w:pPr>
                    <w:jc w:val="center"/>
                  </w:pPr>
                  <w:r>
                    <w:rPr>
                      <w:rFonts w:hint="eastAsia"/>
                    </w:rPr>
                    <w:t>0.1180</w:t>
                  </w:r>
                </w:p>
              </w:tc>
              <w:tc>
                <w:tcPr>
                  <w:tcW w:w="1674" w:type="pct"/>
                  <w:tcBorders>
                    <w:tl2br w:val="nil"/>
                    <w:tr2bl w:val="nil"/>
                  </w:tcBorders>
                  <w:noWrap/>
                  <w:vAlign w:val="center"/>
                </w:tcPr>
                <w:p w14:paraId="311FC321">
                  <w:pPr>
                    <w:jc w:val="center"/>
                  </w:pPr>
                  <w:r>
                    <w:rPr>
                      <w:rFonts w:hint="eastAsia"/>
                    </w:rPr>
                    <w:t>100.00%</w:t>
                  </w:r>
                </w:p>
              </w:tc>
            </w:tr>
          </w:tbl>
          <w:p w14:paraId="6A5FC249">
            <w:pPr>
              <w:pStyle w:val="27"/>
              <w:spacing w:line="480" w:lineRule="exact"/>
              <w:ind w:firstLine="480"/>
              <w:rPr>
                <w:bCs/>
                <w:color w:val="auto"/>
              </w:rPr>
            </w:pPr>
            <w:r>
              <w:rPr>
                <w:bCs/>
                <w:color w:val="auto"/>
              </w:rPr>
              <w:t>根据植被分布现状统计结果，评价范围内</w:t>
            </w:r>
            <w:r>
              <w:rPr>
                <w:rFonts w:hint="eastAsia"/>
                <w:bCs/>
                <w:color w:val="auto"/>
              </w:rPr>
              <w:t>除无植被区外，</w:t>
            </w:r>
            <w:r>
              <w:rPr>
                <w:bCs/>
                <w:color w:val="auto"/>
              </w:rPr>
              <w:t>以</w:t>
            </w:r>
            <w:r>
              <w:rPr>
                <w:rFonts w:hint="eastAsia"/>
              </w:rPr>
              <w:t>沙棘灌丛</w:t>
            </w:r>
            <w:r>
              <w:rPr>
                <w:bCs/>
                <w:color w:val="auto"/>
              </w:rPr>
              <w:t>占比最大，为</w:t>
            </w:r>
            <w:r>
              <w:rPr>
                <w:rFonts w:hint="eastAsia"/>
              </w:rPr>
              <w:t>19.73</w:t>
            </w:r>
            <w:r>
              <w:rPr>
                <w:bCs/>
                <w:color w:val="auto"/>
              </w:rPr>
              <w:t>%</w:t>
            </w:r>
            <w:r>
              <w:rPr>
                <w:rFonts w:hint="eastAsia"/>
                <w:bCs/>
                <w:color w:val="auto"/>
              </w:rPr>
              <w:t>，植被分布类型图详见</w:t>
            </w:r>
            <w:r>
              <w:rPr>
                <w:rFonts w:hint="eastAsia"/>
                <w:bCs/>
                <w:color w:val="auto"/>
                <w:highlight w:val="none"/>
              </w:rPr>
              <w:t>附图1</w:t>
            </w:r>
            <w:r>
              <w:rPr>
                <w:rFonts w:hint="eastAsia"/>
                <w:bCs/>
                <w:color w:val="auto"/>
                <w:highlight w:val="none"/>
                <w:lang w:val="en-US" w:eastAsia="zh-CN"/>
              </w:rPr>
              <w:t>3</w:t>
            </w:r>
            <w:r>
              <w:rPr>
                <w:rFonts w:hint="eastAsia"/>
                <w:bCs/>
                <w:color w:val="auto"/>
              </w:rPr>
              <w:t>。</w:t>
            </w:r>
          </w:p>
          <w:p w14:paraId="3B057B23">
            <w:pPr>
              <w:pStyle w:val="27"/>
              <w:spacing w:line="480" w:lineRule="exact"/>
              <w:ind w:firstLine="480"/>
              <w:rPr>
                <w:bCs/>
                <w:color w:val="auto"/>
              </w:rPr>
            </w:pPr>
            <w:r>
              <w:rPr>
                <w:rFonts w:hint="eastAsia"/>
                <w:bCs/>
                <w:color w:val="auto"/>
              </w:rPr>
              <w:t>（3）生态系统现状</w:t>
            </w:r>
          </w:p>
          <w:p w14:paraId="3653FB14">
            <w:pPr>
              <w:pStyle w:val="27"/>
              <w:spacing w:line="480" w:lineRule="exact"/>
              <w:ind w:firstLine="480"/>
              <w:rPr>
                <w:bCs/>
                <w:color w:val="auto"/>
              </w:rPr>
            </w:pPr>
            <w:r>
              <w:rPr>
                <w:rFonts w:hint="eastAsia"/>
                <w:bCs/>
                <w:color w:val="auto"/>
              </w:rPr>
              <w:t>评价范围内生态系统现状见下表。</w:t>
            </w:r>
          </w:p>
          <w:p w14:paraId="033B3FCD">
            <w:pPr>
              <w:pStyle w:val="15"/>
              <w:tabs>
                <w:tab w:val="left" w:pos="2340"/>
              </w:tabs>
              <w:spacing w:line="480" w:lineRule="exact"/>
              <w:rPr>
                <w:b/>
                <w:bCs/>
                <w:sz w:val="21"/>
                <w:szCs w:val="21"/>
              </w:rPr>
            </w:pPr>
            <w:r>
              <w:rPr>
                <w:rFonts w:ascii="宋体" w:hAnsi="宋体" w:eastAsia="宋体" w:cs="宋体"/>
                <w:sz w:val="21"/>
                <w:szCs w:val="21"/>
                <w:lang w:bidi="ar"/>
              </w:rPr>
              <w:t>表</w:t>
            </w:r>
            <w:r>
              <w:rPr>
                <w:rFonts w:eastAsia="宋体"/>
                <w:sz w:val="21"/>
                <w:szCs w:val="21"/>
                <w:lang w:bidi="ar"/>
              </w:rPr>
              <w:t xml:space="preserve">3-3 </w:t>
            </w:r>
            <w:r>
              <w:rPr>
                <w:rFonts w:hint="eastAsia" w:ascii="宋体" w:hAnsi="宋体" w:eastAsia="宋体" w:cs="宋体"/>
                <w:sz w:val="21"/>
                <w:szCs w:val="21"/>
                <w:lang w:bidi="ar"/>
              </w:rPr>
              <w:t xml:space="preserve"> 生态系统现状统计表</w:t>
            </w:r>
          </w:p>
          <w:tbl>
            <w:tblPr>
              <w:tblStyle w:val="29"/>
              <w:tblW w:w="4986"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3008"/>
              <w:gridCol w:w="3013"/>
              <w:gridCol w:w="3027"/>
            </w:tblGrid>
            <w:tr w14:paraId="6723436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5000" w:type="pct"/>
                  <w:gridSpan w:val="3"/>
                  <w:tcBorders>
                    <w:top w:val="single" w:color="auto" w:sz="4" w:space="0"/>
                    <w:left w:val="single" w:color="auto" w:sz="4" w:space="0"/>
                    <w:bottom w:val="single" w:color="auto" w:sz="4" w:space="0"/>
                    <w:right w:val="single" w:color="auto" w:sz="4" w:space="0"/>
                    <w:tl2br w:val="nil"/>
                    <w:tr2bl w:val="nil"/>
                  </w:tcBorders>
                  <w:noWrap/>
                  <w:vAlign w:val="center"/>
                </w:tcPr>
                <w:p w14:paraId="303B6AF7">
                  <w:pPr>
                    <w:widowControl/>
                    <w:tabs>
                      <w:tab w:val="center" w:pos="1691"/>
                      <w:tab w:val="right" w:pos="3262"/>
                    </w:tabs>
                    <w:jc w:val="center"/>
                    <w:textAlignment w:val="center"/>
                    <w:rPr>
                      <w:kern w:val="0"/>
                      <w:szCs w:val="21"/>
                      <w:lang w:bidi="ar"/>
                    </w:rPr>
                  </w:pPr>
                  <w:r>
                    <w:rPr>
                      <w:kern w:val="0"/>
                      <w:szCs w:val="21"/>
                      <w:lang w:bidi="ar"/>
                    </w:rPr>
                    <w:t>评价范围（</w:t>
                  </w:r>
                  <w:r>
                    <w:rPr>
                      <w:rFonts w:hint="eastAsia"/>
                      <w:kern w:val="0"/>
                      <w:szCs w:val="21"/>
                      <w:lang w:bidi="ar"/>
                    </w:rPr>
                    <w:t>矿</w:t>
                  </w:r>
                  <w:r>
                    <w:rPr>
                      <w:kern w:val="0"/>
                      <w:szCs w:val="21"/>
                      <w:lang w:bidi="ar"/>
                    </w:rPr>
                    <w:t>界范围外500m）</w:t>
                  </w:r>
                </w:p>
              </w:tc>
            </w:tr>
            <w:tr w14:paraId="40708A2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662" w:type="pct"/>
                  <w:tcBorders>
                    <w:top w:val="single" w:color="auto" w:sz="4" w:space="0"/>
                    <w:left w:val="single" w:color="auto" w:sz="4" w:space="0"/>
                    <w:bottom w:val="single" w:color="auto" w:sz="4" w:space="0"/>
                    <w:right w:val="single" w:color="auto" w:sz="4" w:space="0"/>
                    <w:tl2br w:val="nil"/>
                    <w:tr2bl w:val="nil"/>
                  </w:tcBorders>
                  <w:noWrap/>
                  <w:vAlign w:val="center"/>
                </w:tcPr>
                <w:p w14:paraId="3062E7A8">
                  <w:pPr>
                    <w:widowControl/>
                    <w:tabs>
                      <w:tab w:val="center" w:pos="1691"/>
                      <w:tab w:val="right" w:pos="3262"/>
                    </w:tabs>
                    <w:jc w:val="center"/>
                    <w:textAlignment w:val="center"/>
                    <w:rPr>
                      <w:kern w:val="0"/>
                      <w:szCs w:val="21"/>
                      <w:lang w:bidi="ar"/>
                    </w:rPr>
                  </w:pPr>
                  <w:r>
                    <w:rPr>
                      <w:kern w:val="0"/>
                      <w:szCs w:val="21"/>
                      <w:lang w:bidi="ar"/>
                    </w:rPr>
                    <w:t>生态系统</w:t>
                  </w:r>
                </w:p>
              </w:tc>
              <w:tc>
                <w:tcPr>
                  <w:tcW w:w="1665" w:type="pct"/>
                  <w:tcBorders>
                    <w:top w:val="single" w:color="auto" w:sz="4" w:space="0"/>
                    <w:left w:val="single" w:color="auto" w:sz="4" w:space="0"/>
                    <w:bottom w:val="single" w:color="auto" w:sz="4" w:space="0"/>
                    <w:right w:val="single" w:color="auto" w:sz="4" w:space="0"/>
                    <w:tl2br w:val="nil"/>
                    <w:tr2bl w:val="nil"/>
                  </w:tcBorders>
                  <w:noWrap/>
                  <w:vAlign w:val="center"/>
                </w:tcPr>
                <w:p w14:paraId="1EA93E24">
                  <w:pPr>
                    <w:widowControl/>
                    <w:tabs>
                      <w:tab w:val="center" w:pos="1691"/>
                      <w:tab w:val="right" w:pos="3262"/>
                    </w:tabs>
                    <w:jc w:val="center"/>
                    <w:textAlignment w:val="center"/>
                    <w:rPr>
                      <w:kern w:val="0"/>
                      <w:szCs w:val="21"/>
                      <w:lang w:bidi="ar"/>
                    </w:rPr>
                  </w:pPr>
                  <w:r>
                    <w:rPr>
                      <w:kern w:val="0"/>
                      <w:szCs w:val="21"/>
                      <w:lang w:bidi="ar"/>
                    </w:rPr>
                    <w:t>面积（公顷）</w:t>
                  </w:r>
                </w:p>
              </w:tc>
              <w:tc>
                <w:tcPr>
                  <w:tcW w:w="1672" w:type="pct"/>
                  <w:tcBorders>
                    <w:top w:val="single" w:color="auto" w:sz="4" w:space="0"/>
                    <w:left w:val="single" w:color="auto" w:sz="4" w:space="0"/>
                    <w:bottom w:val="single" w:color="auto" w:sz="4" w:space="0"/>
                    <w:right w:val="single" w:color="auto" w:sz="4" w:space="0"/>
                    <w:tl2br w:val="nil"/>
                    <w:tr2bl w:val="nil"/>
                  </w:tcBorders>
                  <w:noWrap/>
                  <w:vAlign w:val="center"/>
                </w:tcPr>
                <w:p w14:paraId="612F55D5">
                  <w:pPr>
                    <w:widowControl/>
                    <w:tabs>
                      <w:tab w:val="center" w:pos="1691"/>
                      <w:tab w:val="right" w:pos="3262"/>
                    </w:tabs>
                    <w:jc w:val="center"/>
                    <w:textAlignment w:val="center"/>
                    <w:rPr>
                      <w:kern w:val="0"/>
                      <w:szCs w:val="21"/>
                      <w:lang w:bidi="ar"/>
                    </w:rPr>
                  </w:pPr>
                  <w:r>
                    <w:rPr>
                      <w:kern w:val="0"/>
                      <w:szCs w:val="21"/>
                      <w:lang w:bidi="ar"/>
                    </w:rPr>
                    <w:t>百分比</w:t>
                  </w:r>
                </w:p>
              </w:tc>
            </w:tr>
            <w:tr w14:paraId="7023E33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662" w:type="pct"/>
                  <w:tcBorders>
                    <w:top w:val="single" w:color="auto" w:sz="4" w:space="0"/>
                    <w:left w:val="single" w:color="auto" w:sz="4" w:space="0"/>
                    <w:bottom w:val="single" w:color="auto" w:sz="4" w:space="0"/>
                    <w:right w:val="single" w:color="auto" w:sz="4" w:space="0"/>
                    <w:tl2br w:val="nil"/>
                    <w:tr2bl w:val="nil"/>
                  </w:tcBorders>
                  <w:noWrap/>
                  <w:vAlign w:val="center"/>
                </w:tcPr>
                <w:p w14:paraId="0AA53089">
                  <w:pPr>
                    <w:jc w:val="center"/>
                  </w:pPr>
                  <w:r>
                    <w:rPr>
                      <w:rFonts w:hint="eastAsia"/>
                    </w:rPr>
                    <w:t>针叶林</w:t>
                  </w:r>
                  <w:r>
                    <w:rPr>
                      <w:kern w:val="0"/>
                      <w:szCs w:val="21"/>
                      <w:lang w:bidi="ar"/>
                    </w:rPr>
                    <w:t>生态系统</w:t>
                  </w:r>
                </w:p>
              </w:tc>
              <w:tc>
                <w:tcPr>
                  <w:tcW w:w="1665" w:type="pct"/>
                  <w:tcBorders>
                    <w:top w:val="single" w:color="auto" w:sz="4" w:space="0"/>
                    <w:left w:val="single" w:color="auto" w:sz="4" w:space="0"/>
                    <w:bottom w:val="single" w:color="auto" w:sz="4" w:space="0"/>
                    <w:right w:val="single" w:color="auto" w:sz="4" w:space="0"/>
                    <w:tl2br w:val="nil"/>
                    <w:tr2bl w:val="nil"/>
                  </w:tcBorders>
                  <w:noWrap/>
                  <w:vAlign w:val="center"/>
                </w:tcPr>
                <w:p w14:paraId="75E91B63">
                  <w:pPr>
                    <w:jc w:val="center"/>
                  </w:pPr>
                  <w:r>
                    <w:rPr>
                      <w:rFonts w:hint="eastAsia"/>
                    </w:rPr>
                    <w:t>10.964</w:t>
                  </w:r>
                </w:p>
              </w:tc>
              <w:tc>
                <w:tcPr>
                  <w:tcW w:w="1672" w:type="pct"/>
                  <w:tcBorders>
                    <w:top w:val="single" w:color="auto" w:sz="4" w:space="0"/>
                    <w:left w:val="single" w:color="auto" w:sz="4" w:space="0"/>
                    <w:bottom w:val="single" w:color="auto" w:sz="4" w:space="0"/>
                    <w:right w:val="single" w:color="auto" w:sz="4" w:space="0"/>
                    <w:tl2br w:val="nil"/>
                    <w:tr2bl w:val="nil"/>
                  </w:tcBorders>
                  <w:noWrap/>
                  <w:vAlign w:val="center"/>
                </w:tcPr>
                <w:p w14:paraId="609DB9D2">
                  <w:pPr>
                    <w:jc w:val="center"/>
                  </w:pPr>
                  <w:r>
                    <w:rPr>
                      <w:rFonts w:hint="eastAsia"/>
                    </w:rPr>
                    <w:t>4.06%</w:t>
                  </w:r>
                </w:p>
              </w:tc>
            </w:tr>
            <w:tr w14:paraId="530380E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662" w:type="pct"/>
                  <w:tcBorders>
                    <w:top w:val="single" w:color="auto" w:sz="4" w:space="0"/>
                    <w:left w:val="single" w:color="auto" w:sz="4" w:space="0"/>
                    <w:bottom w:val="single" w:color="auto" w:sz="4" w:space="0"/>
                    <w:right w:val="single" w:color="auto" w:sz="4" w:space="0"/>
                    <w:tl2br w:val="nil"/>
                    <w:tr2bl w:val="nil"/>
                  </w:tcBorders>
                  <w:noWrap/>
                  <w:vAlign w:val="center"/>
                </w:tcPr>
                <w:p w14:paraId="74B7BCCF">
                  <w:pPr>
                    <w:jc w:val="center"/>
                  </w:pPr>
                  <w:r>
                    <w:rPr>
                      <w:rFonts w:hint="eastAsia"/>
                    </w:rPr>
                    <w:t>阔叶灌丛</w:t>
                  </w:r>
                  <w:r>
                    <w:rPr>
                      <w:kern w:val="0"/>
                      <w:szCs w:val="21"/>
                      <w:lang w:bidi="ar"/>
                    </w:rPr>
                    <w:t>生态系统</w:t>
                  </w:r>
                </w:p>
              </w:tc>
              <w:tc>
                <w:tcPr>
                  <w:tcW w:w="1665" w:type="pct"/>
                  <w:tcBorders>
                    <w:top w:val="single" w:color="auto" w:sz="4" w:space="0"/>
                    <w:left w:val="single" w:color="auto" w:sz="4" w:space="0"/>
                    <w:bottom w:val="single" w:color="auto" w:sz="4" w:space="0"/>
                    <w:right w:val="single" w:color="auto" w:sz="4" w:space="0"/>
                    <w:tl2br w:val="nil"/>
                    <w:tr2bl w:val="nil"/>
                  </w:tcBorders>
                  <w:noWrap/>
                  <w:vAlign w:val="center"/>
                </w:tcPr>
                <w:p w14:paraId="2AC263B1">
                  <w:pPr>
                    <w:jc w:val="center"/>
                  </w:pPr>
                  <w:r>
                    <w:rPr>
                      <w:rFonts w:hint="eastAsia"/>
                    </w:rPr>
                    <w:t>53.2909</w:t>
                  </w:r>
                </w:p>
              </w:tc>
              <w:tc>
                <w:tcPr>
                  <w:tcW w:w="1672" w:type="pct"/>
                  <w:tcBorders>
                    <w:top w:val="single" w:color="auto" w:sz="4" w:space="0"/>
                    <w:left w:val="single" w:color="auto" w:sz="4" w:space="0"/>
                    <w:bottom w:val="single" w:color="auto" w:sz="4" w:space="0"/>
                    <w:right w:val="single" w:color="auto" w:sz="4" w:space="0"/>
                    <w:tl2br w:val="nil"/>
                    <w:tr2bl w:val="nil"/>
                  </w:tcBorders>
                  <w:noWrap/>
                  <w:vAlign w:val="center"/>
                </w:tcPr>
                <w:p w14:paraId="13A7BC19">
                  <w:pPr>
                    <w:jc w:val="center"/>
                  </w:pPr>
                  <w:r>
                    <w:rPr>
                      <w:rFonts w:hint="eastAsia"/>
                    </w:rPr>
                    <w:t>19.73%</w:t>
                  </w:r>
                </w:p>
              </w:tc>
            </w:tr>
            <w:tr w14:paraId="1BD2E11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662" w:type="pct"/>
                  <w:tcBorders>
                    <w:top w:val="single" w:color="auto" w:sz="4" w:space="0"/>
                    <w:left w:val="single" w:color="auto" w:sz="4" w:space="0"/>
                    <w:bottom w:val="single" w:color="auto" w:sz="4" w:space="0"/>
                    <w:right w:val="single" w:color="auto" w:sz="4" w:space="0"/>
                    <w:tl2br w:val="nil"/>
                    <w:tr2bl w:val="nil"/>
                  </w:tcBorders>
                  <w:noWrap/>
                  <w:vAlign w:val="center"/>
                </w:tcPr>
                <w:p w14:paraId="799EC4CD">
                  <w:pPr>
                    <w:jc w:val="center"/>
                  </w:pPr>
                  <w:r>
                    <w:rPr>
                      <w:rFonts w:hint="eastAsia"/>
                    </w:rPr>
                    <w:t>草丛</w:t>
                  </w:r>
                  <w:r>
                    <w:rPr>
                      <w:kern w:val="0"/>
                      <w:szCs w:val="21"/>
                      <w:lang w:bidi="ar"/>
                    </w:rPr>
                    <w:t>生态系统</w:t>
                  </w:r>
                </w:p>
              </w:tc>
              <w:tc>
                <w:tcPr>
                  <w:tcW w:w="1665" w:type="pct"/>
                  <w:tcBorders>
                    <w:top w:val="single" w:color="auto" w:sz="4" w:space="0"/>
                    <w:left w:val="single" w:color="auto" w:sz="4" w:space="0"/>
                    <w:bottom w:val="single" w:color="auto" w:sz="4" w:space="0"/>
                    <w:right w:val="single" w:color="auto" w:sz="4" w:space="0"/>
                    <w:tl2br w:val="nil"/>
                    <w:tr2bl w:val="nil"/>
                  </w:tcBorders>
                  <w:noWrap/>
                  <w:vAlign w:val="center"/>
                </w:tcPr>
                <w:p w14:paraId="53AC98EC">
                  <w:pPr>
                    <w:jc w:val="center"/>
                  </w:pPr>
                  <w:r>
                    <w:rPr>
                      <w:rFonts w:hint="eastAsia"/>
                    </w:rPr>
                    <w:t>52.4861</w:t>
                  </w:r>
                </w:p>
              </w:tc>
              <w:tc>
                <w:tcPr>
                  <w:tcW w:w="1672" w:type="pct"/>
                  <w:tcBorders>
                    <w:top w:val="single" w:color="auto" w:sz="4" w:space="0"/>
                    <w:left w:val="single" w:color="auto" w:sz="4" w:space="0"/>
                    <w:bottom w:val="single" w:color="auto" w:sz="4" w:space="0"/>
                    <w:right w:val="single" w:color="auto" w:sz="4" w:space="0"/>
                    <w:tl2br w:val="nil"/>
                    <w:tr2bl w:val="nil"/>
                  </w:tcBorders>
                  <w:noWrap/>
                  <w:vAlign w:val="center"/>
                </w:tcPr>
                <w:p w14:paraId="014282CE">
                  <w:pPr>
                    <w:jc w:val="center"/>
                  </w:pPr>
                  <w:r>
                    <w:rPr>
                      <w:rFonts w:hint="eastAsia"/>
                    </w:rPr>
                    <w:t>19.43%</w:t>
                  </w:r>
                </w:p>
              </w:tc>
            </w:tr>
            <w:tr w14:paraId="7C33C1D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662" w:type="pct"/>
                  <w:tcBorders>
                    <w:top w:val="single" w:color="auto" w:sz="4" w:space="0"/>
                    <w:left w:val="single" w:color="auto" w:sz="4" w:space="0"/>
                    <w:bottom w:val="single" w:color="auto" w:sz="4" w:space="0"/>
                    <w:right w:val="single" w:color="auto" w:sz="4" w:space="0"/>
                    <w:tl2br w:val="nil"/>
                    <w:tr2bl w:val="nil"/>
                  </w:tcBorders>
                  <w:noWrap/>
                  <w:vAlign w:val="center"/>
                </w:tcPr>
                <w:p w14:paraId="15B1FAAC">
                  <w:pPr>
                    <w:jc w:val="center"/>
                  </w:pPr>
                  <w:r>
                    <w:rPr>
                      <w:rFonts w:hint="eastAsia"/>
                    </w:rPr>
                    <w:t>河流</w:t>
                  </w:r>
                  <w:r>
                    <w:rPr>
                      <w:kern w:val="0"/>
                      <w:szCs w:val="21"/>
                      <w:lang w:bidi="ar"/>
                    </w:rPr>
                    <w:t>生态系统</w:t>
                  </w:r>
                </w:p>
              </w:tc>
              <w:tc>
                <w:tcPr>
                  <w:tcW w:w="1665" w:type="pct"/>
                  <w:tcBorders>
                    <w:top w:val="single" w:color="auto" w:sz="4" w:space="0"/>
                    <w:left w:val="single" w:color="auto" w:sz="4" w:space="0"/>
                    <w:bottom w:val="single" w:color="auto" w:sz="4" w:space="0"/>
                    <w:right w:val="single" w:color="auto" w:sz="4" w:space="0"/>
                    <w:tl2br w:val="nil"/>
                    <w:tr2bl w:val="nil"/>
                  </w:tcBorders>
                  <w:noWrap/>
                  <w:vAlign w:val="center"/>
                </w:tcPr>
                <w:p w14:paraId="54F09CB7">
                  <w:pPr>
                    <w:jc w:val="center"/>
                  </w:pPr>
                  <w:r>
                    <w:rPr>
                      <w:rFonts w:hint="eastAsia"/>
                    </w:rPr>
                    <w:t>1.2661</w:t>
                  </w:r>
                </w:p>
              </w:tc>
              <w:tc>
                <w:tcPr>
                  <w:tcW w:w="1672" w:type="pct"/>
                  <w:tcBorders>
                    <w:top w:val="single" w:color="auto" w:sz="4" w:space="0"/>
                    <w:left w:val="single" w:color="auto" w:sz="4" w:space="0"/>
                    <w:bottom w:val="single" w:color="auto" w:sz="4" w:space="0"/>
                    <w:right w:val="single" w:color="auto" w:sz="4" w:space="0"/>
                    <w:tl2br w:val="nil"/>
                    <w:tr2bl w:val="nil"/>
                  </w:tcBorders>
                  <w:noWrap/>
                  <w:vAlign w:val="center"/>
                </w:tcPr>
                <w:p w14:paraId="292E9D2F">
                  <w:pPr>
                    <w:jc w:val="center"/>
                  </w:pPr>
                  <w:r>
                    <w:rPr>
                      <w:rFonts w:hint="eastAsia"/>
                    </w:rPr>
                    <w:t>0.47%</w:t>
                  </w:r>
                </w:p>
              </w:tc>
            </w:tr>
            <w:tr w14:paraId="295A898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662" w:type="pct"/>
                  <w:tcBorders>
                    <w:top w:val="single" w:color="auto" w:sz="4" w:space="0"/>
                    <w:left w:val="single" w:color="auto" w:sz="4" w:space="0"/>
                    <w:bottom w:val="single" w:color="auto" w:sz="4" w:space="0"/>
                    <w:right w:val="single" w:color="auto" w:sz="4" w:space="0"/>
                    <w:tl2br w:val="nil"/>
                    <w:tr2bl w:val="nil"/>
                  </w:tcBorders>
                  <w:noWrap/>
                  <w:vAlign w:val="center"/>
                </w:tcPr>
                <w:p w14:paraId="0FE755E7">
                  <w:pPr>
                    <w:jc w:val="center"/>
                  </w:pPr>
                  <w:r>
                    <w:rPr>
                      <w:rFonts w:hint="eastAsia"/>
                    </w:rPr>
                    <w:t>耕地</w:t>
                  </w:r>
                  <w:r>
                    <w:rPr>
                      <w:kern w:val="0"/>
                      <w:szCs w:val="21"/>
                      <w:lang w:bidi="ar"/>
                    </w:rPr>
                    <w:t>生态系统</w:t>
                  </w:r>
                </w:p>
              </w:tc>
              <w:tc>
                <w:tcPr>
                  <w:tcW w:w="1665" w:type="pct"/>
                  <w:tcBorders>
                    <w:top w:val="single" w:color="auto" w:sz="4" w:space="0"/>
                    <w:left w:val="single" w:color="auto" w:sz="4" w:space="0"/>
                    <w:bottom w:val="single" w:color="auto" w:sz="4" w:space="0"/>
                    <w:right w:val="single" w:color="auto" w:sz="4" w:space="0"/>
                    <w:tl2br w:val="nil"/>
                    <w:tr2bl w:val="nil"/>
                  </w:tcBorders>
                  <w:noWrap/>
                  <w:vAlign w:val="center"/>
                </w:tcPr>
                <w:p w14:paraId="52793001">
                  <w:pPr>
                    <w:jc w:val="center"/>
                  </w:pPr>
                  <w:r>
                    <w:rPr>
                      <w:rFonts w:hint="eastAsia"/>
                    </w:rPr>
                    <w:t>49.925</w:t>
                  </w:r>
                </w:p>
              </w:tc>
              <w:tc>
                <w:tcPr>
                  <w:tcW w:w="1672" w:type="pct"/>
                  <w:tcBorders>
                    <w:top w:val="single" w:color="auto" w:sz="4" w:space="0"/>
                    <w:left w:val="single" w:color="auto" w:sz="4" w:space="0"/>
                    <w:bottom w:val="single" w:color="auto" w:sz="4" w:space="0"/>
                    <w:right w:val="single" w:color="auto" w:sz="4" w:space="0"/>
                    <w:tl2br w:val="nil"/>
                    <w:tr2bl w:val="nil"/>
                  </w:tcBorders>
                  <w:noWrap/>
                  <w:vAlign w:val="center"/>
                </w:tcPr>
                <w:p w14:paraId="39AFFE48">
                  <w:pPr>
                    <w:jc w:val="center"/>
                  </w:pPr>
                  <w:r>
                    <w:rPr>
                      <w:rFonts w:hint="eastAsia"/>
                    </w:rPr>
                    <w:t>18.48%</w:t>
                  </w:r>
                </w:p>
              </w:tc>
            </w:tr>
            <w:tr w14:paraId="7EDB5BA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662" w:type="pct"/>
                  <w:tcBorders>
                    <w:top w:val="single" w:color="auto" w:sz="4" w:space="0"/>
                    <w:left w:val="single" w:color="auto" w:sz="4" w:space="0"/>
                    <w:bottom w:val="single" w:color="auto" w:sz="4" w:space="0"/>
                    <w:right w:val="single" w:color="auto" w:sz="4" w:space="0"/>
                    <w:tl2br w:val="nil"/>
                    <w:tr2bl w:val="nil"/>
                  </w:tcBorders>
                  <w:noWrap/>
                  <w:vAlign w:val="center"/>
                </w:tcPr>
                <w:p w14:paraId="1DD8706E">
                  <w:pPr>
                    <w:jc w:val="center"/>
                  </w:pPr>
                  <w:r>
                    <w:rPr>
                      <w:rFonts w:hint="eastAsia"/>
                    </w:rPr>
                    <w:t>园地</w:t>
                  </w:r>
                  <w:r>
                    <w:rPr>
                      <w:kern w:val="0"/>
                      <w:szCs w:val="21"/>
                      <w:lang w:bidi="ar"/>
                    </w:rPr>
                    <w:t>生态系统</w:t>
                  </w:r>
                </w:p>
              </w:tc>
              <w:tc>
                <w:tcPr>
                  <w:tcW w:w="1665" w:type="pct"/>
                  <w:tcBorders>
                    <w:top w:val="single" w:color="auto" w:sz="4" w:space="0"/>
                    <w:left w:val="single" w:color="auto" w:sz="4" w:space="0"/>
                    <w:bottom w:val="single" w:color="auto" w:sz="4" w:space="0"/>
                    <w:right w:val="single" w:color="auto" w:sz="4" w:space="0"/>
                    <w:tl2br w:val="nil"/>
                    <w:tr2bl w:val="nil"/>
                  </w:tcBorders>
                  <w:noWrap/>
                  <w:vAlign w:val="center"/>
                </w:tcPr>
                <w:p w14:paraId="3798158F">
                  <w:pPr>
                    <w:jc w:val="center"/>
                  </w:pPr>
                  <w:r>
                    <w:rPr>
                      <w:rFonts w:hint="eastAsia"/>
                    </w:rPr>
                    <w:t>0.437</w:t>
                  </w:r>
                </w:p>
              </w:tc>
              <w:tc>
                <w:tcPr>
                  <w:tcW w:w="1672" w:type="pct"/>
                  <w:tcBorders>
                    <w:top w:val="single" w:color="auto" w:sz="4" w:space="0"/>
                    <w:left w:val="single" w:color="auto" w:sz="4" w:space="0"/>
                    <w:bottom w:val="single" w:color="auto" w:sz="4" w:space="0"/>
                    <w:right w:val="single" w:color="auto" w:sz="4" w:space="0"/>
                    <w:tl2br w:val="nil"/>
                    <w:tr2bl w:val="nil"/>
                  </w:tcBorders>
                  <w:noWrap/>
                  <w:vAlign w:val="center"/>
                </w:tcPr>
                <w:p w14:paraId="4312CF0D">
                  <w:pPr>
                    <w:jc w:val="center"/>
                  </w:pPr>
                  <w:r>
                    <w:rPr>
                      <w:rFonts w:hint="eastAsia"/>
                    </w:rPr>
                    <w:t>0.16%</w:t>
                  </w:r>
                </w:p>
              </w:tc>
            </w:tr>
            <w:tr w14:paraId="1208A6D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662" w:type="pct"/>
                  <w:tcBorders>
                    <w:top w:val="single" w:color="auto" w:sz="4" w:space="0"/>
                    <w:left w:val="single" w:color="auto" w:sz="4" w:space="0"/>
                    <w:bottom w:val="single" w:color="auto" w:sz="4" w:space="0"/>
                    <w:right w:val="single" w:color="auto" w:sz="4" w:space="0"/>
                    <w:tl2br w:val="nil"/>
                    <w:tr2bl w:val="nil"/>
                  </w:tcBorders>
                  <w:noWrap/>
                  <w:vAlign w:val="center"/>
                </w:tcPr>
                <w:p w14:paraId="19AEE82B">
                  <w:pPr>
                    <w:jc w:val="center"/>
                  </w:pPr>
                  <w:r>
                    <w:rPr>
                      <w:rFonts w:hint="eastAsia"/>
                    </w:rPr>
                    <w:t>居住地</w:t>
                  </w:r>
                  <w:r>
                    <w:rPr>
                      <w:kern w:val="0"/>
                      <w:szCs w:val="21"/>
                      <w:lang w:bidi="ar"/>
                    </w:rPr>
                    <w:t>生态系统</w:t>
                  </w:r>
                </w:p>
              </w:tc>
              <w:tc>
                <w:tcPr>
                  <w:tcW w:w="1665" w:type="pct"/>
                  <w:tcBorders>
                    <w:top w:val="single" w:color="auto" w:sz="4" w:space="0"/>
                    <w:left w:val="single" w:color="auto" w:sz="4" w:space="0"/>
                    <w:bottom w:val="single" w:color="auto" w:sz="4" w:space="0"/>
                    <w:right w:val="single" w:color="auto" w:sz="4" w:space="0"/>
                    <w:tl2br w:val="nil"/>
                    <w:tr2bl w:val="nil"/>
                  </w:tcBorders>
                  <w:noWrap/>
                  <w:vAlign w:val="center"/>
                </w:tcPr>
                <w:p w14:paraId="12FF7782">
                  <w:pPr>
                    <w:jc w:val="center"/>
                  </w:pPr>
                  <w:r>
                    <w:rPr>
                      <w:rFonts w:hint="eastAsia"/>
                    </w:rPr>
                    <w:t>0.0522</w:t>
                  </w:r>
                </w:p>
              </w:tc>
              <w:tc>
                <w:tcPr>
                  <w:tcW w:w="1672" w:type="pct"/>
                  <w:tcBorders>
                    <w:top w:val="single" w:color="auto" w:sz="4" w:space="0"/>
                    <w:left w:val="single" w:color="auto" w:sz="4" w:space="0"/>
                    <w:bottom w:val="single" w:color="auto" w:sz="4" w:space="0"/>
                    <w:right w:val="single" w:color="auto" w:sz="4" w:space="0"/>
                    <w:tl2br w:val="nil"/>
                    <w:tr2bl w:val="nil"/>
                  </w:tcBorders>
                  <w:noWrap/>
                  <w:vAlign w:val="center"/>
                </w:tcPr>
                <w:p w14:paraId="0E9D7D62">
                  <w:pPr>
                    <w:jc w:val="center"/>
                  </w:pPr>
                  <w:r>
                    <w:rPr>
                      <w:rFonts w:hint="eastAsia"/>
                    </w:rPr>
                    <w:t>0.02%</w:t>
                  </w:r>
                </w:p>
              </w:tc>
            </w:tr>
            <w:tr w14:paraId="2354A71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662" w:type="pct"/>
                  <w:tcBorders>
                    <w:top w:val="single" w:color="auto" w:sz="4" w:space="0"/>
                    <w:left w:val="single" w:color="auto" w:sz="4" w:space="0"/>
                    <w:bottom w:val="single" w:color="auto" w:sz="4" w:space="0"/>
                    <w:right w:val="single" w:color="auto" w:sz="4" w:space="0"/>
                    <w:tl2br w:val="nil"/>
                    <w:tr2bl w:val="nil"/>
                  </w:tcBorders>
                  <w:noWrap/>
                  <w:vAlign w:val="center"/>
                </w:tcPr>
                <w:p w14:paraId="6363E947">
                  <w:pPr>
                    <w:jc w:val="center"/>
                  </w:pPr>
                  <w:r>
                    <w:rPr>
                      <w:rFonts w:hint="eastAsia"/>
                    </w:rPr>
                    <w:t>工矿交通</w:t>
                  </w:r>
                  <w:r>
                    <w:rPr>
                      <w:kern w:val="0"/>
                      <w:szCs w:val="21"/>
                      <w:lang w:bidi="ar"/>
                    </w:rPr>
                    <w:t>生态系统</w:t>
                  </w:r>
                </w:p>
              </w:tc>
              <w:tc>
                <w:tcPr>
                  <w:tcW w:w="1665" w:type="pct"/>
                  <w:tcBorders>
                    <w:top w:val="single" w:color="auto" w:sz="4" w:space="0"/>
                    <w:left w:val="single" w:color="auto" w:sz="4" w:space="0"/>
                    <w:bottom w:val="single" w:color="auto" w:sz="4" w:space="0"/>
                    <w:right w:val="single" w:color="auto" w:sz="4" w:space="0"/>
                    <w:tl2br w:val="nil"/>
                    <w:tr2bl w:val="nil"/>
                  </w:tcBorders>
                  <w:noWrap/>
                  <w:vAlign w:val="center"/>
                </w:tcPr>
                <w:p w14:paraId="3039DDDF">
                  <w:pPr>
                    <w:jc w:val="center"/>
                  </w:pPr>
                  <w:r>
                    <w:rPr>
                      <w:rFonts w:hint="eastAsia"/>
                    </w:rPr>
                    <w:t>98.7262</w:t>
                  </w:r>
                </w:p>
              </w:tc>
              <w:tc>
                <w:tcPr>
                  <w:tcW w:w="1672" w:type="pct"/>
                  <w:tcBorders>
                    <w:top w:val="single" w:color="auto" w:sz="4" w:space="0"/>
                    <w:left w:val="single" w:color="auto" w:sz="4" w:space="0"/>
                    <w:bottom w:val="single" w:color="auto" w:sz="4" w:space="0"/>
                    <w:right w:val="single" w:color="auto" w:sz="4" w:space="0"/>
                    <w:tl2br w:val="nil"/>
                    <w:tr2bl w:val="nil"/>
                  </w:tcBorders>
                  <w:noWrap/>
                  <w:vAlign w:val="center"/>
                </w:tcPr>
                <w:p w14:paraId="114451E5">
                  <w:pPr>
                    <w:jc w:val="center"/>
                  </w:pPr>
                  <w:r>
                    <w:rPr>
                      <w:rFonts w:hint="eastAsia"/>
                    </w:rPr>
                    <w:t>36.55%</w:t>
                  </w:r>
                </w:p>
              </w:tc>
            </w:tr>
            <w:tr w14:paraId="3EC48FC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662" w:type="pct"/>
                  <w:tcBorders>
                    <w:top w:val="single" w:color="auto" w:sz="4" w:space="0"/>
                    <w:left w:val="single" w:color="auto" w:sz="4" w:space="0"/>
                    <w:bottom w:val="single" w:color="auto" w:sz="4" w:space="0"/>
                    <w:right w:val="single" w:color="auto" w:sz="4" w:space="0"/>
                    <w:tl2br w:val="nil"/>
                    <w:tr2bl w:val="nil"/>
                  </w:tcBorders>
                  <w:noWrap/>
                  <w:vAlign w:val="center"/>
                </w:tcPr>
                <w:p w14:paraId="7202BE99">
                  <w:pPr>
                    <w:jc w:val="center"/>
                  </w:pPr>
                  <w:r>
                    <w:rPr>
                      <w:rFonts w:hint="eastAsia"/>
                    </w:rPr>
                    <w:t>裸地</w:t>
                  </w:r>
                  <w:r>
                    <w:rPr>
                      <w:kern w:val="0"/>
                      <w:szCs w:val="21"/>
                      <w:lang w:bidi="ar"/>
                    </w:rPr>
                    <w:t>生态系统</w:t>
                  </w:r>
                </w:p>
              </w:tc>
              <w:tc>
                <w:tcPr>
                  <w:tcW w:w="1665" w:type="pct"/>
                  <w:tcBorders>
                    <w:top w:val="single" w:color="auto" w:sz="4" w:space="0"/>
                    <w:left w:val="single" w:color="auto" w:sz="4" w:space="0"/>
                    <w:bottom w:val="single" w:color="auto" w:sz="4" w:space="0"/>
                    <w:right w:val="single" w:color="auto" w:sz="4" w:space="0"/>
                    <w:tl2br w:val="nil"/>
                    <w:tr2bl w:val="nil"/>
                  </w:tcBorders>
                  <w:noWrap/>
                  <w:vAlign w:val="center"/>
                </w:tcPr>
                <w:p w14:paraId="26A25C5E">
                  <w:pPr>
                    <w:jc w:val="center"/>
                  </w:pPr>
                  <w:r>
                    <w:rPr>
                      <w:rFonts w:hint="eastAsia"/>
                    </w:rPr>
                    <w:t>2.9618</w:t>
                  </w:r>
                </w:p>
              </w:tc>
              <w:tc>
                <w:tcPr>
                  <w:tcW w:w="1672" w:type="pct"/>
                  <w:tcBorders>
                    <w:top w:val="single" w:color="auto" w:sz="4" w:space="0"/>
                    <w:left w:val="single" w:color="auto" w:sz="4" w:space="0"/>
                    <w:bottom w:val="single" w:color="auto" w:sz="4" w:space="0"/>
                    <w:right w:val="single" w:color="auto" w:sz="4" w:space="0"/>
                    <w:tl2br w:val="nil"/>
                    <w:tr2bl w:val="nil"/>
                  </w:tcBorders>
                  <w:noWrap/>
                  <w:vAlign w:val="center"/>
                </w:tcPr>
                <w:p w14:paraId="253B9886">
                  <w:pPr>
                    <w:jc w:val="center"/>
                  </w:pPr>
                  <w:r>
                    <w:rPr>
                      <w:rFonts w:hint="eastAsia"/>
                    </w:rPr>
                    <w:t>1.10%</w:t>
                  </w:r>
                </w:p>
              </w:tc>
            </w:tr>
            <w:tr w14:paraId="2575F47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662" w:type="pct"/>
                  <w:tcBorders>
                    <w:top w:val="single" w:color="auto" w:sz="4" w:space="0"/>
                    <w:left w:val="single" w:color="auto" w:sz="4" w:space="0"/>
                    <w:bottom w:val="single" w:color="auto" w:sz="4" w:space="0"/>
                    <w:right w:val="single" w:color="auto" w:sz="4" w:space="0"/>
                    <w:tl2br w:val="nil"/>
                    <w:tr2bl w:val="nil"/>
                  </w:tcBorders>
                  <w:noWrap/>
                  <w:vAlign w:val="center"/>
                </w:tcPr>
                <w:p w14:paraId="19E902AE">
                  <w:pPr>
                    <w:jc w:val="center"/>
                  </w:pPr>
                  <w:r>
                    <w:rPr>
                      <w:rFonts w:hint="eastAsia"/>
                    </w:rPr>
                    <w:t>总计</w:t>
                  </w:r>
                </w:p>
              </w:tc>
              <w:tc>
                <w:tcPr>
                  <w:tcW w:w="1665" w:type="pct"/>
                  <w:tcBorders>
                    <w:top w:val="single" w:color="auto" w:sz="4" w:space="0"/>
                    <w:left w:val="single" w:color="auto" w:sz="4" w:space="0"/>
                    <w:bottom w:val="single" w:color="auto" w:sz="4" w:space="0"/>
                    <w:right w:val="single" w:color="auto" w:sz="4" w:space="0"/>
                    <w:tl2br w:val="nil"/>
                    <w:tr2bl w:val="nil"/>
                  </w:tcBorders>
                  <w:noWrap/>
                  <w:vAlign w:val="center"/>
                </w:tcPr>
                <w:p w14:paraId="70C5017F">
                  <w:pPr>
                    <w:jc w:val="center"/>
                  </w:pPr>
                  <w:r>
                    <w:rPr>
                      <w:rFonts w:hint="eastAsia"/>
                    </w:rPr>
                    <w:t>270.1093</w:t>
                  </w:r>
                </w:p>
              </w:tc>
              <w:tc>
                <w:tcPr>
                  <w:tcW w:w="1672" w:type="pct"/>
                  <w:tcBorders>
                    <w:top w:val="single" w:color="auto" w:sz="4" w:space="0"/>
                    <w:left w:val="single" w:color="auto" w:sz="4" w:space="0"/>
                    <w:bottom w:val="single" w:color="auto" w:sz="4" w:space="0"/>
                    <w:right w:val="single" w:color="auto" w:sz="4" w:space="0"/>
                    <w:tl2br w:val="nil"/>
                    <w:tr2bl w:val="nil"/>
                  </w:tcBorders>
                  <w:noWrap/>
                  <w:vAlign w:val="center"/>
                </w:tcPr>
                <w:p w14:paraId="164A687F">
                  <w:pPr>
                    <w:jc w:val="center"/>
                  </w:pPr>
                  <w:r>
                    <w:rPr>
                      <w:rFonts w:hint="eastAsia"/>
                    </w:rPr>
                    <w:t>100.00%</w:t>
                  </w:r>
                </w:p>
              </w:tc>
            </w:tr>
            <w:tr w14:paraId="6C25C4F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5000" w:type="pct"/>
                  <w:gridSpan w:val="3"/>
                  <w:tcBorders>
                    <w:top w:val="single" w:color="auto" w:sz="4" w:space="0"/>
                    <w:left w:val="single" w:color="auto" w:sz="4" w:space="0"/>
                    <w:bottom w:val="single" w:color="auto" w:sz="4" w:space="0"/>
                    <w:right w:val="single" w:color="auto" w:sz="4" w:space="0"/>
                    <w:tl2br w:val="nil"/>
                    <w:tr2bl w:val="nil"/>
                  </w:tcBorders>
                  <w:noWrap/>
                  <w:vAlign w:val="center"/>
                </w:tcPr>
                <w:p w14:paraId="5D16361A">
                  <w:pPr>
                    <w:widowControl/>
                    <w:tabs>
                      <w:tab w:val="center" w:pos="1691"/>
                      <w:tab w:val="right" w:pos="3262"/>
                    </w:tabs>
                    <w:jc w:val="center"/>
                    <w:textAlignment w:val="center"/>
                    <w:rPr>
                      <w:kern w:val="0"/>
                      <w:szCs w:val="21"/>
                      <w:lang w:bidi="ar"/>
                    </w:rPr>
                  </w:pPr>
                  <w:r>
                    <w:rPr>
                      <w:kern w:val="0"/>
                      <w:szCs w:val="21"/>
                      <w:lang w:bidi="ar"/>
                    </w:rPr>
                    <w:t>矿区范围</w:t>
                  </w:r>
                </w:p>
              </w:tc>
            </w:tr>
            <w:tr w14:paraId="09CA715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662" w:type="pct"/>
                  <w:tcBorders>
                    <w:top w:val="single" w:color="auto" w:sz="4" w:space="0"/>
                    <w:left w:val="single" w:color="auto" w:sz="4" w:space="0"/>
                    <w:bottom w:val="single" w:color="auto" w:sz="4" w:space="0"/>
                    <w:right w:val="single" w:color="auto" w:sz="4" w:space="0"/>
                    <w:tl2br w:val="nil"/>
                    <w:tr2bl w:val="nil"/>
                  </w:tcBorders>
                  <w:noWrap/>
                  <w:vAlign w:val="center"/>
                </w:tcPr>
                <w:p w14:paraId="465F8A84">
                  <w:pPr>
                    <w:jc w:val="center"/>
                  </w:pPr>
                  <w:r>
                    <w:rPr>
                      <w:rFonts w:hint="eastAsia"/>
                    </w:rPr>
                    <w:t>工矿交通</w:t>
                  </w:r>
                  <w:r>
                    <w:rPr>
                      <w:kern w:val="0"/>
                      <w:szCs w:val="21"/>
                      <w:lang w:bidi="ar"/>
                    </w:rPr>
                    <w:t>生态系统</w:t>
                  </w:r>
                </w:p>
              </w:tc>
              <w:tc>
                <w:tcPr>
                  <w:tcW w:w="1665" w:type="pct"/>
                  <w:tcBorders>
                    <w:top w:val="single" w:color="auto" w:sz="4" w:space="0"/>
                    <w:left w:val="single" w:color="auto" w:sz="4" w:space="0"/>
                    <w:bottom w:val="single" w:color="auto" w:sz="4" w:space="0"/>
                    <w:right w:val="single" w:color="auto" w:sz="4" w:space="0"/>
                    <w:tl2br w:val="nil"/>
                    <w:tr2bl w:val="nil"/>
                  </w:tcBorders>
                  <w:noWrap/>
                  <w:vAlign w:val="center"/>
                </w:tcPr>
                <w:p w14:paraId="724EF0A2">
                  <w:pPr>
                    <w:jc w:val="center"/>
                  </w:pPr>
                  <w:r>
                    <w:rPr>
                      <w:rFonts w:hint="eastAsia"/>
                    </w:rPr>
                    <w:t>20.46</w:t>
                  </w:r>
                </w:p>
              </w:tc>
              <w:tc>
                <w:tcPr>
                  <w:tcW w:w="1672" w:type="pct"/>
                  <w:tcBorders>
                    <w:top w:val="single" w:color="auto" w:sz="4" w:space="0"/>
                    <w:left w:val="single" w:color="auto" w:sz="4" w:space="0"/>
                    <w:bottom w:val="single" w:color="auto" w:sz="4" w:space="0"/>
                    <w:right w:val="single" w:color="auto" w:sz="4" w:space="0"/>
                    <w:tl2br w:val="nil"/>
                    <w:tr2bl w:val="nil"/>
                  </w:tcBorders>
                  <w:noWrap/>
                  <w:vAlign w:val="center"/>
                </w:tcPr>
                <w:p w14:paraId="0C9F8510">
                  <w:pPr>
                    <w:jc w:val="center"/>
                  </w:pPr>
                  <w:r>
                    <w:rPr>
                      <w:rFonts w:hint="eastAsia"/>
                    </w:rPr>
                    <w:t>100.00%</w:t>
                  </w:r>
                </w:p>
              </w:tc>
            </w:tr>
            <w:tr w14:paraId="57B374B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662" w:type="pct"/>
                  <w:tcBorders>
                    <w:top w:val="single" w:color="auto" w:sz="4" w:space="0"/>
                    <w:left w:val="single" w:color="auto" w:sz="4" w:space="0"/>
                    <w:bottom w:val="single" w:color="auto" w:sz="4" w:space="0"/>
                    <w:right w:val="single" w:color="auto" w:sz="4" w:space="0"/>
                    <w:tl2br w:val="nil"/>
                    <w:tr2bl w:val="nil"/>
                  </w:tcBorders>
                  <w:noWrap/>
                  <w:vAlign w:val="center"/>
                </w:tcPr>
                <w:p w14:paraId="5F163743">
                  <w:pPr>
                    <w:jc w:val="center"/>
                  </w:pPr>
                  <w:r>
                    <w:rPr>
                      <w:rFonts w:hint="eastAsia"/>
                    </w:rPr>
                    <w:t>总计</w:t>
                  </w:r>
                </w:p>
              </w:tc>
              <w:tc>
                <w:tcPr>
                  <w:tcW w:w="1665" w:type="pct"/>
                  <w:tcBorders>
                    <w:top w:val="single" w:color="auto" w:sz="4" w:space="0"/>
                    <w:left w:val="single" w:color="auto" w:sz="4" w:space="0"/>
                    <w:bottom w:val="single" w:color="auto" w:sz="4" w:space="0"/>
                    <w:right w:val="single" w:color="auto" w:sz="4" w:space="0"/>
                    <w:tl2br w:val="nil"/>
                    <w:tr2bl w:val="nil"/>
                  </w:tcBorders>
                  <w:noWrap/>
                  <w:vAlign w:val="center"/>
                </w:tcPr>
                <w:p w14:paraId="0B932870">
                  <w:pPr>
                    <w:jc w:val="center"/>
                  </w:pPr>
                  <w:r>
                    <w:rPr>
                      <w:rFonts w:hint="eastAsia"/>
                    </w:rPr>
                    <w:t>20.46</w:t>
                  </w:r>
                </w:p>
              </w:tc>
              <w:tc>
                <w:tcPr>
                  <w:tcW w:w="1672" w:type="pct"/>
                  <w:tcBorders>
                    <w:top w:val="single" w:color="auto" w:sz="4" w:space="0"/>
                    <w:left w:val="single" w:color="auto" w:sz="4" w:space="0"/>
                    <w:bottom w:val="single" w:color="auto" w:sz="4" w:space="0"/>
                    <w:right w:val="single" w:color="auto" w:sz="4" w:space="0"/>
                    <w:tl2br w:val="nil"/>
                    <w:tr2bl w:val="nil"/>
                  </w:tcBorders>
                  <w:noWrap/>
                  <w:vAlign w:val="center"/>
                </w:tcPr>
                <w:p w14:paraId="7FDD0BFD">
                  <w:pPr>
                    <w:jc w:val="center"/>
                  </w:pPr>
                  <w:r>
                    <w:rPr>
                      <w:rFonts w:hint="eastAsia"/>
                    </w:rPr>
                    <w:t>100.00%</w:t>
                  </w:r>
                </w:p>
              </w:tc>
            </w:tr>
            <w:tr w14:paraId="7ECFBCD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5000" w:type="pct"/>
                  <w:gridSpan w:val="3"/>
                  <w:tcBorders>
                    <w:top w:val="single" w:color="auto" w:sz="4" w:space="0"/>
                    <w:left w:val="single" w:color="auto" w:sz="4" w:space="0"/>
                    <w:bottom w:val="single" w:color="auto" w:sz="4" w:space="0"/>
                    <w:right w:val="single" w:color="auto" w:sz="4" w:space="0"/>
                    <w:tl2br w:val="nil"/>
                    <w:tr2bl w:val="nil"/>
                  </w:tcBorders>
                  <w:noWrap/>
                  <w:vAlign w:val="center"/>
                </w:tcPr>
                <w:p w14:paraId="24654E49">
                  <w:pPr>
                    <w:widowControl/>
                    <w:tabs>
                      <w:tab w:val="center" w:pos="1691"/>
                      <w:tab w:val="right" w:pos="3262"/>
                    </w:tabs>
                    <w:jc w:val="center"/>
                    <w:textAlignment w:val="center"/>
                    <w:rPr>
                      <w:kern w:val="0"/>
                      <w:szCs w:val="21"/>
                      <w:highlight w:val="black"/>
                      <w:lang w:bidi="ar"/>
                    </w:rPr>
                  </w:pPr>
                  <w:r>
                    <w:rPr>
                      <w:kern w:val="0"/>
                      <w:szCs w:val="21"/>
                      <w:lang w:bidi="ar"/>
                    </w:rPr>
                    <w:t>排土场</w:t>
                  </w:r>
                </w:p>
              </w:tc>
            </w:tr>
            <w:tr w14:paraId="3551CB6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662" w:type="pct"/>
                  <w:tcBorders>
                    <w:top w:val="single" w:color="auto" w:sz="4" w:space="0"/>
                    <w:left w:val="single" w:color="auto" w:sz="4" w:space="0"/>
                    <w:bottom w:val="single" w:color="auto" w:sz="4" w:space="0"/>
                    <w:right w:val="single" w:color="auto" w:sz="4" w:space="0"/>
                    <w:tl2br w:val="nil"/>
                    <w:tr2bl w:val="nil"/>
                  </w:tcBorders>
                  <w:noWrap/>
                  <w:vAlign w:val="center"/>
                </w:tcPr>
                <w:p w14:paraId="23473DCD">
                  <w:pPr>
                    <w:jc w:val="center"/>
                  </w:pPr>
                  <w:r>
                    <w:rPr>
                      <w:rFonts w:hint="eastAsia"/>
                    </w:rPr>
                    <w:t>工矿交通</w:t>
                  </w:r>
                  <w:r>
                    <w:rPr>
                      <w:kern w:val="0"/>
                      <w:szCs w:val="21"/>
                      <w:lang w:bidi="ar"/>
                    </w:rPr>
                    <w:t>生态系统</w:t>
                  </w:r>
                </w:p>
              </w:tc>
              <w:tc>
                <w:tcPr>
                  <w:tcW w:w="1665" w:type="pct"/>
                  <w:tcBorders>
                    <w:top w:val="single" w:color="auto" w:sz="4" w:space="0"/>
                    <w:left w:val="single" w:color="auto" w:sz="4" w:space="0"/>
                    <w:bottom w:val="single" w:color="auto" w:sz="4" w:space="0"/>
                    <w:right w:val="single" w:color="auto" w:sz="4" w:space="0"/>
                    <w:tl2br w:val="nil"/>
                    <w:tr2bl w:val="nil"/>
                  </w:tcBorders>
                  <w:noWrap/>
                  <w:vAlign w:val="center"/>
                </w:tcPr>
                <w:p w14:paraId="4E9861DA">
                  <w:pPr>
                    <w:jc w:val="center"/>
                  </w:pPr>
                  <w:r>
                    <w:rPr>
                      <w:rFonts w:hint="eastAsia"/>
                    </w:rPr>
                    <w:t>5.9595</w:t>
                  </w:r>
                </w:p>
              </w:tc>
              <w:tc>
                <w:tcPr>
                  <w:tcW w:w="1672" w:type="pct"/>
                  <w:tcBorders>
                    <w:top w:val="single" w:color="auto" w:sz="4" w:space="0"/>
                    <w:left w:val="single" w:color="auto" w:sz="4" w:space="0"/>
                    <w:bottom w:val="single" w:color="auto" w:sz="4" w:space="0"/>
                    <w:right w:val="single" w:color="auto" w:sz="4" w:space="0"/>
                    <w:tl2br w:val="nil"/>
                    <w:tr2bl w:val="nil"/>
                  </w:tcBorders>
                  <w:noWrap/>
                  <w:vAlign w:val="center"/>
                </w:tcPr>
                <w:p w14:paraId="3061F544">
                  <w:pPr>
                    <w:jc w:val="center"/>
                  </w:pPr>
                  <w:r>
                    <w:rPr>
                      <w:rFonts w:hint="eastAsia"/>
                    </w:rPr>
                    <w:t>100.00%</w:t>
                  </w:r>
                </w:p>
              </w:tc>
            </w:tr>
            <w:tr w14:paraId="0D3FFED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662" w:type="pct"/>
                  <w:tcBorders>
                    <w:top w:val="single" w:color="auto" w:sz="4" w:space="0"/>
                    <w:left w:val="single" w:color="auto" w:sz="4" w:space="0"/>
                    <w:bottom w:val="single" w:color="auto" w:sz="4" w:space="0"/>
                    <w:right w:val="single" w:color="auto" w:sz="4" w:space="0"/>
                    <w:tl2br w:val="nil"/>
                    <w:tr2bl w:val="nil"/>
                  </w:tcBorders>
                  <w:noWrap/>
                  <w:vAlign w:val="center"/>
                </w:tcPr>
                <w:p w14:paraId="16CEEA5C">
                  <w:pPr>
                    <w:jc w:val="center"/>
                  </w:pPr>
                  <w:r>
                    <w:rPr>
                      <w:rFonts w:hint="eastAsia"/>
                    </w:rPr>
                    <w:t>总计</w:t>
                  </w:r>
                </w:p>
              </w:tc>
              <w:tc>
                <w:tcPr>
                  <w:tcW w:w="1665" w:type="pct"/>
                  <w:tcBorders>
                    <w:top w:val="single" w:color="auto" w:sz="4" w:space="0"/>
                    <w:left w:val="single" w:color="auto" w:sz="4" w:space="0"/>
                    <w:bottom w:val="single" w:color="auto" w:sz="4" w:space="0"/>
                    <w:right w:val="single" w:color="auto" w:sz="4" w:space="0"/>
                    <w:tl2br w:val="nil"/>
                    <w:tr2bl w:val="nil"/>
                  </w:tcBorders>
                  <w:noWrap/>
                  <w:vAlign w:val="center"/>
                </w:tcPr>
                <w:p w14:paraId="5C00118E">
                  <w:pPr>
                    <w:jc w:val="center"/>
                  </w:pPr>
                  <w:r>
                    <w:rPr>
                      <w:rFonts w:hint="eastAsia"/>
                    </w:rPr>
                    <w:t>5.9595</w:t>
                  </w:r>
                </w:p>
              </w:tc>
              <w:tc>
                <w:tcPr>
                  <w:tcW w:w="1672" w:type="pct"/>
                  <w:tcBorders>
                    <w:top w:val="single" w:color="auto" w:sz="4" w:space="0"/>
                    <w:left w:val="single" w:color="auto" w:sz="4" w:space="0"/>
                    <w:bottom w:val="single" w:color="auto" w:sz="4" w:space="0"/>
                    <w:right w:val="single" w:color="auto" w:sz="4" w:space="0"/>
                    <w:tl2br w:val="nil"/>
                    <w:tr2bl w:val="nil"/>
                  </w:tcBorders>
                  <w:noWrap/>
                  <w:vAlign w:val="center"/>
                </w:tcPr>
                <w:p w14:paraId="50FE1BBA">
                  <w:pPr>
                    <w:jc w:val="center"/>
                  </w:pPr>
                  <w:r>
                    <w:rPr>
                      <w:rFonts w:hint="eastAsia"/>
                    </w:rPr>
                    <w:t>100.00%</w:t>
                  </w:r>
                </w:p>
              </w:tc>
            </w:tr>
            <w:tr w14:paraId="0F1484D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5000" w:type="pct"/>
                  <w:gridSpan w:val="3"/>
                  <w:tcBorders>
                    <w:top w:val="single" w:color="auto" w:sz="4" w:space="0"/>
                    <w:left w:val="single" w:color="auto" w:sz="4" w:space="0"/>
                    <w:bottom w:val="single" w:color="auto" w:sz="4" w:space="0"/>
                    <w:right w:val="single" w:color="auto" w:sz="4" w:space="0"/>
                    <w:tl2br w:val="nil"/>
                    <w:tr2bl w:val="nil"/>
                  </w:tcBorders>
                  <w:noWrap/>
                  <w:vAlign w:val="center"/>
                </w:tcPr>
                <w:p w14:paraId="33C35A47">
                  <w:pPr>
                    <w:widowControl/>
                    <w:tabs>
                      <w:tab w:val="center" w:pos="1691"/>
                      <w:tab w:val="right" w:pos="3262"/>
                    </w:tabs>
                    <w:jc w:val="center"/>
                    <w:textAlignment w:val="center"/>
                    <w:rPr>
                      <w:kern w:val="0"/>
                      <w:szCs w:val="21"/>
                      <w:lang w:bidi="ar"/>
                    </w:rPr>
                  </w:pPr>
                  <w:r>
                    <w:rPr>
                      <w:kern w:val="0"/>
                      <w:szCs w:val="21"/>
                      <w:lang w:bidi="ar"/>
                    </w:rPr>
                    <w:t>新建运矿道路</w:t>
                  </w:r>
                </w:p>
              </w:tc>
            </w:tr>
            <w:tr w14:paraId="2AFA9FF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662" w:type="pct"/>
                  <w:tcBorders>
                    <w:top w:val="single" w:color="auto" w:sz="4" w:space="0"/>
                    <w:left w:val="single" w:color="auto" w:sz="4" w:space="0"/>
                    <w:bottom w:val="single" w:color="auto" w:sz="4" w:space="0"/>
                    <w:right w:val="single" w:color="auto" w:sz="4" w:space="0"/>
                    <w:tl2br w:val="nil"/>
                    <w:tr2bl w:val="nil"/>
                  </w:tcBorders>
                  <w:noWrap/>
                  <w:vAlign w:val="center"/>
                </w:tcPr>
                <w:p w14:paraId="297B8779">
                  <w:pPr>
                    <w:jc w:val="center"/>
                  </w:pPr>
                  <w:r>
                    <w:rPr>
                      <w:rFonts w:hint="eastAsia"/>
                    </w:rPr>
                    <w:t>工矿交通</w:t>
                  </w:r>
                  <w:r>
                    <w:rPr>
                      <w:kern w:val="0"/>
                      <w:szCs w:val="21"/>
                      <w:lang w:bidi="ar"/>
                    </w:rPr>
                    <w:t>生态系统</w:t>
                  </w:r>
                </w:p>
              </w:tc>
              <w:tc>
                <w:tcPr>
                  <w:tcW w:w="1665" w:type="pct"/>
                  <w:tcBorders>
                    <w:top w:val="single" w:color="auto" w:sz="4" w:space="0"/>
                    <w:left w:val="single" w:color="auto" w:sz="4" w:space="0"/>
                    <w:bottom w:val="single" w:color="auto" w:sz="4" w:space="0"/>
                    <w:right w:val="single" w:color="auto" w:sz="4" w:space="0"/>
                    <w:tl2br w:val="nil"/>
                    <w:tr2bl w:val="nil"/>
                  </w:tcBorders>
                  <w:noWrap/>
                  <w:vAlign w:val="center"/>
                </w:tcPr>
                <w:p w14:paraId="437A944A">
                  <w:pPr>
                    <w:jc w:val="center"/>
                  </w:pPr>
                  <w:r>
                    <w:rPr>
                      <w:rFonts w:hint="eastAsia"/>
                    </w:rPr>
                    <w:t>0.15</w:t>
                  </w:r>
                </w:p>
              </w:tc>
              <w:tc>
                <w:tcPr>
                  <w:tcW w:w="1672" w:type="pct"/>
                  <w:tcBorders>
                    <w:top w:val="single" w:color="auto" w:sz="4" w:space="0"/>
                    <w:left w:val="single" w:color="auto" w:sz="4" w:space="0"/>
                    <w:bottom w:val="single" w:color="auto" w:sz="4" w:space="0"/>
                    <w:right w:val="single" w:color="auto" w:sz="4" w:space="0"/>
                    <w:tl2br w:val="nil"/>
                    <w:tr2bl w:val="nil"/>
                  </w:tcBorders>
                  <w:noWrap/>
                  <w:vAlign w:val="center"/>
                </w:tcPr>
                <w:p w14:paraId="40F54FDF">
                  <w:pPr>
                    <w:jc w:val="center"/>
                  </w:pPr>
                  <w:r>
                    <w:rPr>
                      <w:rFonts w:hint="eastAsia"/>
                    </w:rPr>
                    <w:t>100.00%</w:t>
                  </w:r>
                </w:p>
              </w:tc>
            </w:tr>
            <w:tr w14:paraId="080EE8B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662" w:type="pct"/>
                  <w:tcBorders>
                    <w:top w:val="single" w:color="auto" w:sz="4" w:space="0"/>
                    <w:left w:val="single" w:color="auto" w:sz="4" w:space="0"/>
                    <w:bottom w:val="single" w:color="auto" w:sz="4" w:space="0"/>
                    <w:right w:val="single" w:color="auto" w:sz="4" w:space="0"/>
                    <w:tl2br w:val="nil"/>
                    <w:tr2bl w:val="nil"/>
                  </w:tcBorders>
                  <w:noWrap/>
                  <w:vAlign w:val="center"/>
                </w:tcPr>
                <w:p w14:paraId="2740DF1B">
                  <w:pPr>
                    <w:jc w:val="center"/>
                  </w:pPr>
                  <w:r>
                    <w:rPr>
                      <w:rFonts w:hint="eastAsia"/>
                    </w:rPr>
                    <w:t>总计</w:t>
                  </w:r>
                </w:p>
              </w:tc>
              <w:tc>
                <w:tcPr>
                  <w:tcW w:w="1665" w:type="pct"/>
                  <w:tcBorders>
                    <w:top w:val="single" w:color="auto" w:sz="4" w:space="0"/>
                    <w:left w:val="single" w:color="auto" w:sz="4" w:space="0"/>
                    <w:bottom w:val="single" w:color="auto" w:sz="4" w:space="0"/>
                    <w:right w:val="single" w:color="auto" w:sz="4" w:space="0"/>
                    <w:tl2br w:val="nil"/>
                    <w:tr2bl w:val="nil"/>
                  </w:tcBorders>
                  <w:noWrap/>
                  <w:vAlign w:val="center"/>
                </w:tcPr>
                <w:p w14:paraId="3DA42B19">
                  <w:pPr>
                    <w:jc w:val="center"/>
                  </w:pPr>
                  <w:r>
                    <w:rPr>
                      <w:rFonts w:hint="eastAsia"/>
                    </w:rPr>
                    <w:t>0.15</w:t>
                  </w:r>
                </w:p>
              </w:tc>
              <w:tc>
                <w:tcPr>
                  <w:tcW w:w="1672" w:type="pct"/>
                  <w:tcBorders>
                    <w:top w:val="single" w:color="auto" w:sz="4" w:space="0"/>
                    <w:left w:val="single" w:color="auto" w:sz="4" w:space="0"/>
                    <w:bottom w:val="single" w:color="auto" w:sz="4" w:space="0"/>
                    <w:right w:val="single" w:color="auto" w:sz="4" w:space="0"/>
                    <w:tl2br w:val="nil"/>
                    <w:tr2bl w:val="nil"/>
                  </w:tcBorders>
                  <w:noWrap/>
                  <w:vAlign w:val="center"/>
                </w:tcPr>
                <w:p w14:paraId="13E6D6D5">
                  <w:pPr>
                    <w:jc w:val="center"/>
                  </w:pPr>
                  <w:r>
                    <w:rPr>
                      <w:rFonts w:hint="eastAsia"/>
                    </w:rPr>
                    <w:t>100.00%</w:t>
                  </w:r>
                </w:p>
              </w:tc>
            </w:tr>
            <w:tr w14:paraId="48FEDFF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5000" w:type="pct"/>
                  <w:gridSpan w:val="3"/>
                  <w:tcBorders>
                    <w:top w:val="single" w:color="auto" w:sz="4" w:space="0"/>
                    <w:left w:val="single" w:color="auto" w:sz="4" w:space="0"/>
                    <w:bottom w:val="single" w:color="auto" w:sz="4" w:space="0"/>
                    <w:right w:val="single" w:color="auto" w:sz="4" w:space="0"/>
                    <w:tl2br w:val="nil"/>
                    <w:tr2bl w:val="nil"/>
                  </w:tcBorders>
                  <w:noWrap/>
                  <w:vAlign w:val="center"/>
                </w:tcPr>
                <w:p w14:paraId="240BD938">
                  <w:pPr>
                    <w:widowControl/>
                    <w:tabs>
                      <w:tab w:val="center" w:pos="1691"/>
                      <w:tab w:val="right" w:pos="3262"/>
                    </w:tabs>
                    <w:jc w:val="center"/>
                    <w:textAlignment w:val="center"/>
                    <w:rPr>
                      <w:kern w:val="0"/>
                      <w:szCs w:val="21"/>
                      <w:lang w:bidi="ar"/>
                    </w:rPr>
                  </w:pPr>
                  <w:r>
                    <w:rPr>
                      <w:rFonts w:hint="eastAsia"/>
                      <w:kern w:val="0"/>
                      <w:szCs w:val="21"/>
                      <w:lang w:bidi="ar"/>
                    </w:rPr>
                    <w:t>1号</w:t>
                  </w:r>
                  <w:r>
                    <w:rPr>
                      <w:kern w:val="0"/>
                      <w:szCs w:val="21"/>
                      <w:lang w:bidi="ar"/>
                    </w:rPr>
                    <w:t>办公生活区</w:t>
                  </w:r>
                </w:p>
              </w:tc>
            </w:tr>
            <w:tr w14:paraId="3070E66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662" w:type="pct"/>
                  <w:tcBorders>
                    <w:top w:val="single" w:color="auto" w:sz="4" w:space="0"/>
                    <w:left w:val="single" w:color="auto" w:sz="4" w:space="0"/>
                    <w:bottom w:val="single" w:color="auto" w:sz="4" w:space="0"/>
                    <w:right w:val="single" w:color="auto" w:sz="4" w:space="0"/>
                    <w:tl2br w:val="nil"/>
                    <w:tr2bl w:val="nil"/>
                  </w:tcBorders>
                  <w:noWrap/>
                  <w:vAlign w:val="center"/>
                </w:tcPr>
                <w:p w14:paraId="0A4ACA8C">
                  <w:pPr>
                    <w:jc w:val="center"/>
                  </w:pPr>
                  <w:r>
                    <w:rPr>
                      <w:rFonts w:hint="eastAsia"/>
                    </w:rPr>
                    <w:t>工矿交通</w:t>
                  </w:r>
                  <w:r>
                    <w:rPr>
                      <w:kern w:val="0"/>
                      <w:szCs w:val="21"/>
                      <w:lang w:bidi="ar"/>
                    </w:rPr>
                    <w:t>生态系统</w:t>
                  </w:r>
                </w:p>
              </w:tc>
              <w:tc>
                <w:tcPr>
                  <w:tcW w:w="1665" w:type="pct"/>
                  <w:tcBorders>
                    <w:top w:val="single" w:color="auto" w:sz="4" w:space="0"/>
                    <w:left w:val="single" w:color="auto" w:sz="4" w:space="0"/>
                    <w:bottom w:val="single" w:color="auto" w:sz="4" w:space="0"/>
                    <w:right w:val="single" w:color="auto" w:sz="4" w:space="0"/>
                    <w:tl2br w:val="nil"/>
                    <w:tr2bl w:val="nil"/>
                  </w:tcBorders>
                  <w:noWrap/>
                  <w:vAlign w:val="center"/>
                </w:tcPr>
                <w:p w14:paraId="7BC855EF">
                  <w:pPr>
                    <w:jc w:val="center"/>
                  </w:pPr>
                  <w:r>
                    <w:rPr>
                      <w:rFonts w:hint="eastAsia"/>
                    </w:rPr>
                    <w:t>0.1782</w:t>
                  </w:r>
                </w:p>
              </w:tc>
              <w:tc>
                <w:tcPr>
                  <w:tcW w:w="1672" w:type="pct"/>
                  <w:tcBorders>
                    <w:top w:val="single" w:color="auto" w:sz="4" w:space="0"/>
                    <w:left w:val="single" w:color="auto" w:sz="4" w:space="0"/>
                    <w:bottom w:val="single" w:color="auto" w:sz="4" w:space="0"/>
                    <w:right w:val="single" w:color="auto" w:sz="4" w:space="0"/>
                    <w:tl2br w:val="nil"/>
                    <w:tr2bl w:val="nil"/>
                  </w:tcBorders>
                  <w:noWrap/>
                  <w:vAlign w:val="center"/>
                </w:tcPr>
                <w:p w14:paraId="67871CE5">
                  <w:pPr>
                    <w:jc w:val="center"/>
                  </w:pPr>
                  <w:r>
                    <w:rPr>
                      <w:rFonts w:hint="eastAsia"/>
                    </w:rPr>
                    <w:t>100.00%</w:t>
                  </w:r>
                </w:p>
              </w:tc>
            </w:tr>
            <w:tr w14:paraId="396DC07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662" w:type="pct"/>
                  <w:tcBorders>
                    <w:top w:val="single" w:color="auto" w:sz="4" w:space="0"/>
                    <w:left w:val="single" w:color="auto" w:sz="4" w:space="0"/>
                    <w:bottom w:val="single" w:color="auto" w:sz="4" w:space="0"/>
                    <w:right w:val="single" w:color="auto" w:sz="4" w:space="0"/>
                    <w:tl2br w:val="nil"/>
                    <w:tr2bl w:val="nil"/>
                  </w:tcBorders>
                  <w:noWrap/>
                  <w:vAlign w:val="center"/>
                </w:tcPr>
                <w:p w14:paraId="33351F66">
                  <w:pPr>
                    <w:jc w:val="center"/>
                  </w:pPr>
                  <w:r>
                    <w:rPr>
                      <w:rFonts w:hint="eastAsia"/>
                    </w:rPr>
                    <w:t>总计</w:t>
                  </w:r>
                </w:p>
              </w:tc>
              <w:tc>
                <w:tcPr>
                  <w:tcW w:w="1665" w:type="pct"/>
                  <w:tcBorders>
                    <w:top w:val="single" w:color="auto" w:sz="4" w:space="0"/>
                    <w:left w:val="single" w:color="auto" w:sz="4" w:space="0"/>
                    <w:bottom w:val="single" w:color="auto" w:sz="4" w:space="0"/>
                    <w:right w:val="single" w:color="auto" w:sz="4" w:space="0"/>
                    <w:tl2br w:val="nil"/>
                    <w:tr2bl w:val="nil"/>
                  </w:tcBorders>
                  <w:noWrap/>
                  <w:vAlign w:val="center"/>
                </w:tcPr>
                <w:p w14:paraId="7585D2CD">
                  <w:pPr>
                    <w:jc w:val="center"/>
                  </w:pPr>
                  <w:r>
                    <w:rPr>
                      <w:rFonts w:hint="eastAsia"/>
                    </w:rPr>
                    <w:t>0.1782</w:t>
                  </w:r>
                </w:p>
              </w:tc>
              <w:tc>
                <w:tcPr>
                  <w:tcW w:w="1672" w:type="pct"/>
                  <w:tcBorders>
                    <w:top w:val="single" w:color="auto" w:sz="4" w:space="0"/>
                    <w:left w:val="single" w:color="auto" w:sz="4" w:space="0"/>
                    <w:bottom w:val="single" w:color="auto" w:sz="4" w:space="0"/>
                    <w:right w:val="single" w:color="auto" w:sz="4" w:space="0"/>
                    <w:tl2br w:val="nil"/>
                    <w:tr2bl w:val="nil"/>
                  </w:tcBorders>
                  <w:noWrap/>
                  <w:vAlign w:val="center"/>
                </w:tcPr>
                <w:p w14:paraId="77F9A562">
                  <w:pPr>
                    <w:jc w:val="center"/>
                  </w:pPr>
                  <w:r>
                    <w:rPr>
                      <w:rFonts w:hint="eastAsia"/>
                    </w:rPr>
                    <w:t>100.00%</w:t>
                  </w:r>
                </w:p>
              </w:tc>
            </w:tr>
            <w:tr w14:paraId="75E39D9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5000" w:type="pct"/>
                  <w:gridSpan w:val="3"/>
                  <w:tcBorders>
                    <w:top w:val="single" w:color="auto" w:sz="4" w:space="0"/>
                    <w:left w:val="single" w:color="auto" w:sz="4" w:space="0"/>
                    <w:bottom w:val="single" w:color="auto" w:sz="4" w:space="0"/>
                    <w:right w:val="single" w:color="auto" w:sz="4" w:space="0"/>
                    <w:tl2br w:val="nil"/>
                    <w:tr2bl w:val="nil"/>
                  </w:tcBorders>
                  <w:noWrap/>
                  <w:vAlign w:val="center"/>
                </w:tcPr>
                <w:p w14:paraId="0490E085">
                  <w:pPr>
                    <w:jc w:val="center"/>
                  </w:pPr>
                  <w:r>
                    <w:rPr>
                      <w:kern w:val="0"/>
                      <w:szCs w:val="21"/>
                      <w:lang w:bidi="ar"/>
                    </w:rPr>
                    <w:t>2</w:t>
                  </w:r>
                  <w:r>
                    <w:rPr>
                      <w:rFonts w:hint="eastAsia"/>
                      <w:kern w:val="0"/>
                      <w:szCs w:val="21"/>
                      <w:lang w:bidi="ar"/>
                    </w:rPr>
                    <w:t>号</w:t>
                  </w:r>
                  <w:r>
                    <w:rPr>
                      <w:kern w:val="0"/>
                      <w:szCs w:val="21"/>
                      <w:lang w:bidi="ar"/>
                    </w:rPr>
                    <w:t>办公生活区</w:t>
                  </w:r>
                </w:p>
              </w:tc>
            </w:tr>
            <w:tr w14:paraId="5546CE8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662" w:type="pct"/>
                  <w:tcBorders>
                    <w:top w:val="single" w:color="auto" w:sz="4" w:space="0"/>
                    <w:left w:val="single" w:color="auto" w:sz="4" w:space="0"/>
                    <w:bottom w:val="single" w:color="auto" w:sz="4" w:space="0"/>
                    <w:right w:val="single" w:color="auto" w:sz="4" w:space="0"/>
                    <w:tl2br w:val="nil"/>
                    <w:tr2bl w:val="nil"/>
                  </w:tcBorders>
                  <w:noWrap/>
                  <w:vAlign w:val="center"/>
                </w:tcPr>
                <w:p w14:paraId="43C554AD">
                  <w:pPr>
                    <w:jc w:val="center"/>
                  </w:pPr>
                  <w:r>
                    <w:rPr>
                      <w:rFonts w:hint="eastAsia"/>
                    </w:rPr>
                    <w:t>工矿交通</w:t>
                  </w:r>
                  <w:r>
                    <w:rPr>
                      <w:kern w:val="0"/>
                      <w:szCs w:val="21"/>
                      <w:lang w:bidi="ar"/>
                    </w:rPr>
                    <w:t>生态系统</w:t>
                  </w:r>
                </w:p>
              </w:tc>
              <w:tc>
                <w:tcPr>
                  <w:tcW w:w="1665" w:type="pct"/>
                  <w:tcBorders>
                    <w:top w:val="single" w:color="auto" w:sz="4" w:space="0"/>
                    <w:left w:val="single" w:color="auto" w:sz="4" w:space="0"/>
                    <w:bottom w:val="single" w:color="auto" w:sz="4" w:space="0"/>
                    <w:right w:val="single" w:color="auto" w:sz="4" w:space="0"/>
                    <w:tl2br w:val="nil"/>
                    <w:tr2bl w:val="nil"/>
                  </w:tcBorders>
                  <w:noWrap/>
                  <w:vAlign w:val="center"/>
                </w:tcPr>
                <w:p w14:paraId="1E67E57E">
                  <w:pPr>
                    <w:jc w:val="center"/>
                  </w:pPr>
                  <w:r>
                    <w:rPr>
                      <w:rFonts w:hint="eastAsia"/>
                    </w:rPr>
                    <w:t>0.1180</w:t>
                  </w:r>
                </w:p>
              </w:tc>
              <w:tc>
                <w:tcPr>
                  <w:tcW w:w="1672" w:type="pct"/>
                  <w:tcBorders>
                    <w:top w:val="single" w:color="auto" w:sz="4" w:space="0"/>
                    <w:left w:val="single" w:color="auto" w:sz="4" w:space="0"/>
                    <w:bottom w:val="single" w:color="auto" w:sz="4" w:space="0"/>
                    <w:right w:val="single" w:color="auto" w:sz="4" w:space="0"/>
                    <w:tl2br w:val="nil"/>
                    <w:tr2bl w:val="nil"/>
                  </w:tcBorders>
                  <w:noWrap/>
                  <w:vAlign w:val="center"/>
                </w:tcPr>
                <w:p w14:paraId="6C86F348">
                  <w:pPr>
                    <w:jc w:val="center"/>
                  </w:pPr>
                  <w:r>
                    <w:rPr>
                      <w:rFonts w:hint="eastAsia"/>
                    </w:rPr>
                    <w:t>100.00%</w:t>
                  </w:r>
                </w:p>
              </w:tc>
            </w:tr>
            <w:tr w14:paraId="558D805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662" w:type="pct"/>
                  <w:tcBorders>
                    <w:top w:val="single" w:color="auto" w:sz="4" w:space="0"/>
                    <w:left w:val="single" w:color="auto" w:sz="4" w:space="0"/>
                    <w:bottom w:val="single" w:color="auto" w:sz="4" w:space="0"/>
                    <w:right w:val="single" w:color="auto" w:sz="4" w:space="0"/>
                    <w:tl2br w:val="nil"/>
                    <w:tr2bl w:val="nil"/>
                  </w:tcBorders>
                  <w:noWrap/>
                  <w:vAlign w:val="center"/>
                </w:tcPr>
                <w:p w14:paraId="362DAA6E">
                  <w:pPr>
                    <w:jc w:val="center"/>
                  </w:pPr>
                  <w:r>
                    <w:rPr>
                      <w:rFonts w:hint="eastAsia"/>
                    </w:rPr>
                    <w:t>总计</w:t>
                  </w:r>
                </w:p>
              </w:tc>
              <w:tc>
                <w:tcPr>
                  <w:tcW w:w="1665" w:type="pct"/>
                  <w:tcBorders>
                    <w:top w:val="single" w:color="auto" w:sz="4" w:space="0"/>
                    <w:left w:val="single" w:color="auto" w:sz="4" w:space="0"/>
                    <w:bottom w:val="single" w:color="auto" w:sz="4" w:space="0"/>
                    <w:right w:val="single" w:color="auto" w:sz="4" w:space="0"/>
                    <w:tl2br w:val="nil"/>
                    <w:tr2bl w:val="nil"/>
                  </w:tcBorders>
                  <w:noWrap/>
                  <w:vAlign w:val="center"/>
                </w:tcPr>
                <w:p w14:paraId="02E16B79">
                  <w:pPr>
                    <w:jc w:val="center"/>
                  </w:pPr>
                  <w:r>
                    <w:rPr>
                      <w:rFonts w:hint="eastAsia"/>
                    </w:rPr>
                    <w:t>0.1180</w:t>
                  </w:r>
                </w:p>
              </w:tc>
              <w:tc>
                <w:tcPr>
                  <w:tcW w:w="1672" w:type="pct"/>
                  <w:tcBorders>
                    <w:top w:val="single" w:color="auto" w:sz="4" w:space="0"/>
                    <w:left w:val="single" w:color="auto" w:sz="4" w:space="0"/>
                    <w:bottom w:val="single" w:color="auto" w:sz="4" w:space="0"/>
                    <w:right w:val="single" w:color="auto" w:sz="4" w:space="0"/>
                    <w:tl2br w:val="nil"/>
                    <w:tr2bl w:val="nil"/>
                  </w:tcBorders>
                  <w:noWrap/>
                  <w:vAlign w:val="center"/>
                </w:tcPr>
                <w:p w14:paraId="5CA3EF7F">
                  <w:pPr>
                    <w:jc w:val="center"/>
                  </w:pPr>
                  <w:r>
                    <w:rPr>
                      <w:rFonts w:hint="eastAsia"/>
                    </w:rPr>
                    <w:t>100.00%</w:t>
                  </w:r>
                </w:p>
              </w:tc>
            </w:tr>
          </w:tbl>
          <w:p w14:paraId="33C23DB1">
            <w:pPr>
              <w:pStyle w:val="27"/>
              <w:pageBreakBefore w:val="0"/>
              <w:kinsoku/>
              <w:wordWrap/>
              <w:overflowPunct/>
              <w:topLinePunct w:val="0"/>
              <w:autoSpaceDE/>
              <w:autoSpaceDN/>
              <w:bidi w:val="0"/>
              <w:spacing w:line="480" w:lineRule="exact"/>
              <w:ind w:firstLine="480"/>
              <w:textAlignment w:val="auto"/>
              <w:rPr>
                <w:bCs/>
                <w:color w:val="FF0000"/>
              </w:rPr>
            </w:pPr>
            <w:r>
              <w:rPr>
                <w:bCs/>
                <w:color w:val="auto"/>
              </w:rPr>
              <w:t>根据</w:t>
            </w:r>
            <w:r>
              <w:rPr>
                <w:rFonts w:hint="eastAsia"/>
                <w:bCs/>
                <w:color w:val="auto"/>
              </w:rPr>
              <w:t>生态类型</w:t>
            </w:r>
            <w:r>
              <w:rPr>
                <w:bCs/>
                <w:color w:val="auto"/>
              </w:rPr>
              <w:t>分布现状统计结果，评价范围内以</w:t>
            </w:r>
            <w:r>
              <w:rPr>
                <w:rFonts w:hint="eastAsia"/>
                <w:bCs/>
                <w:color w:val="auto"/>
              </w:rPr>
              <w:t>阔叶灌丛</w:t>
            </w:r>
            <w:r>
              <w:rPr>
                <w:bCs/>
                <w:color w:val="auto"/>
              </w:rPr>
              <w:t>生态系统占比最大，为19.73%</w:t>
            </w:r>
            <w:r>
              <w:rPr>
                <w:rFonts w:hint="eastAsia"/>
                <w:bCs/>
                <w:color w:val="auto"/>
              </w:rPr>
              <w:t>，生态系统类型图详见</w:t>
            </w:r>
            <w:r>
              <w:rPr>
                <w:rFonts w:hint="eastAsia"/>
                <w:bCs/>
                <w:color w:val="auto"/>
                <w:highlight w:val="none"/>
              </w:rPr>
              <w:t>附图</w:t>
            </w:r>
            <w:r>
              <w:rPr>
                <w:rFonts w:hint="eastAsia"/>
                <w:bCs/>
                <w:color w:val="auto"/>
                <w:highlight w:val="none"/>
                <w:lang w:val="en-US" w:eastAsia="zh-CN"/>
              </w:rPr>
              <w:t>14</w:t>
            </w:r>
            <w:r>
              <w:rPr>
                <w:rFonts w:hint="eastAsia"/>
                <w:bCs/>
                <w:color w:val="auto"/>
              </w:rPr>
              <w:t>。</w:t>
            </w:r>
          </w:p>
          <w:p w14:paraId="629A77F4">
            <w:pPr>
              <w:pStyle w:val="27"/>
              <w:pageBreakBefore w:val="0"/>
              <w:kinsoku/>
              <w:wordWrap/>
              <w:overflowPunct/>
              <w:topLinePunct w:val="0"/>
              <w:autoSpaceDE/>
              <w:autoSpaceDN/>
              <w:bidi w:val="0"/>
              <w:spacing w:line="480" w:lineRule="exact"/>
              <w:ind w:firstLine="482"/>
              <w:textAlignment w:val="auto"/>
              <w:rPr>
                <w:bCs/>
                <w:color w:val="auto"/>
              </w:rPr>
            </w:pPr>
            <w:r>
              <w:rPr>
                <w:rFonts w:hint="eastAsia"/>
                <w:b/>
                <w:color w:val="auto"/>
              </w:rPr>
              <w:t>二、环境敏感区</w:t>
            </w:r>
          </w:p>
          <w:p w14:paraId="7F05C9D3">
            <w:pPr>
              <w:pStyle w:val="27"/>
              <w:pageBreakBefore w:val="0"/>
              <w:kinsoku/>
              <w:wordWrap/>
              <w:overflowPunct/>
              <w:topLinePunct w:val="0"/>
              <w:autoSpaceDE/>
              <w:autoSpaceDN/>
              <w:bidi w:val="0"/>
              <w:spacing w:line="480" w:lineRule="exact"/>
              <w:ind w:firstLine="482"/>
              <w:textAlignment w:val="auto"/>
              <w:rPr>
                <w:b/>
                <w:color w:val="auto"/>
              </w:rPr>
            </w:pPr>
            <w:r>
              <w:rPr>
                <w:rFonts w:hint="eastAsia"/>
                <w:b/>
                <w:color w:val="auto"/>
              </w:rPr>
              <w:t>1.娘子关泉域</w:t>
            </w:r>
          </w:p>
          <w:p w14:paraId="17B73281">
            <w:pPr>
              <w:pStyle w:val="27"/>
              <w:pageBreakBefore w:val="0"/>
              <w:kinsoku/>
              <w:wordWrap/>
              <w:overflowPunct/>
              <w:topLinePunct w:val="0"/>
              <w:autoSpaceDE/>
              <w:autoSpaceDN/>
              <w:bidi w:val="0"/>
              <w:spacing w:line="480" w:lineRule="exact"/>
              <w:ind w:firstLine="480"/>
              <w:textAlignment w:val="auto"/>
              <w:rPr>
                <w:bCs/>
                <w:color w:val="auto"/>
              </w:rPr>
            </w:pPr>
            <w:r>
              <w:rPr>
                <w:rFonts w:hint="eastAsia"/>
                <w:bCs/>
                <w:color w:val="auto"/>
              </w:rPr>
              <w:t>（1）</w:t>
            </w:r>
            <w:r>
              <w:rPr>
                <w:bCs/>
                <w:color w:val="auto"/>
              </w:rPr>
              <w:t>娘子关泉域水环境特征</w:t>
            </w:r>
          </w:p>
          <w:p w14:paraId="4B187AC2">
            <w:pPr>
              <w:pStyle w:val="27"/>
              <w:pageBreakBefore w:val="0"/>
              <w:kinsoku/>
              <w:wordWrap/>
              <w:overflowPunct/>
              <w:topLinePunct w:val="0"/>
              <w:autoSpaceDE/>
              <w:autoSpaceDN/>
              <w:bidi w:val="0"/>
              <w:spacing w:line="480" w:lineRule="exact"/>
              <w:ind w:firstLine="480"/>
              <w:textAlignment w:val="auto"/>
              <w:rPr>
                <w:bCs/>
                <w:color w:val="auto"/>
              </w:rPr>
            </w:pPr>
            <w:r>
              <w:rPr>
                <w:bCs/>
                <w:color w:val="auto"/>
              </w:rPr>
              <w:t>娘子关泉位于娘子关镇附近，出露于桃河与温河汇集地段。娘子关泉域由11个主要泉组组成，分布在自程家至苇泽关约7</w:t>
            </w:r>
            <w:r>
              <w:rPr>
                <w:rFonts w:hint="eastAsia"/>
                <w:bCs/>
                <w:color w:val="auto"/>
              </w:rPr>
              <w:t>k</w:t>
            </w:r>
            <w:r>
              <w:rPr>
                <w:bCs/>
                <w:color w:val="auto"/>
              </w:rPr>
              <w:t>m长的河漫滩及阶地上，出露高程360～392m，泉域多年平均流量12.16m</w:t>
            </w:r>
            <w:r>
              <w:rPr>
                <w:bCs/>
                <w:color w:val="auto"/>
                <w:vertAlign w:val="superscript"/>
              </w:rPr>
              <w:t>3</w:t>
            </w:r>
            <w:r>
              <w:rPr>
                <w:bCs/>
                <w:color w:val="auto"/>
              </w:rPr>
              <w:t>/s，是我国北方最大的岩溶泉水。泉水为SO</w:t>
            </w:r>
            <w:r>
              <w:rPr>
                <w:bCs/>
                <w:color w:val="auto"/>
                <w:vertAlign w:val="subscript"/>
              </w:rPr>
              <w:t>4</w:t>
            </w:r>
            <w:r>
              <w:rPr>
                <w:bCs/>
                <w:color w:val="auto"/>
              </w:rPr>
              <w:t>·HCO</w:t>
            </w:r>
            <w:r>
              <w:rPr>
                <w:bCs/>
                <w:color w:val="auto"/>
                <w:vertAlign w:val="subscript"/>
              </w:rPr>
              <w:t>3</w:t>
            </w:r>
            <w:r>
              <w:rPr>
                <w:bCs/>
                <w:color w:val="auto"/>
              </w:rPr>
              <w:t>－Ca·Mg型水，矿化度为591.4mg/L，总硬度为434.5mg/L，水温19.2℃。近10余年来，由于降水量减少，</w:t>
            </w:r>
            <w:r>
              <w:rPr>
                <w:rFonts w:hint="eastAsia"/>
                <w:bCs/>
                <w:color w:val="auto"/>
              </w:rPr>
              <w:t>泉域</w:t>
            </w:r>
            <w:r>
              <w:rPr>
                <w:bCs/>
                <w:color w:val="auto"/>
              </w:rPr>
              <w:t>岩溶水开采量的不断增加，1985</w:t>
            </w:r>
            <w:r>
              <w:rPr>
                <w:rFonts w:hint="eastAsia"/>
                <w:bCs/>
                <w:color w:val="auto"/>
              </w:rPr>
              <w:t>—</w:t>
            </w:r>
            <w:r>
              <w:rPr>
                <w:bCs/>
                <w:color w:val="auto"/>
              </w:rPr>
              <w:t>1996年12年泉水的平均实测流量减少为7.97m</w:t>
            </w:r>
            <w:r>
              <w:rPr>
                <w:bCs/>
                <w:color w:val="auto"/>
                <w:vertAlign w:val="superscript"/>
              </w:rPr>
              <w:t>3</w:t>
            </w:r>
            <w:r>
              <w:rPr>
                <w:bCs/>
                <w:color w:val="auto"/>
              </w:rPr>
              <w:t xml:space="preserve">/s。天然状态下，年际不稳定系数为1.5，属稳定性泉水。 </w:t>
            </w:r>
          </w:p>
          <w:p w14:paraId="3D58FD06">
            <w:pPr>
              <w:pStyle w:val="27"/>
              <w:pageBreakBefore w:val="0"/>
              <w:kinsoku/>
              <w:wordWrap/>
              <w:overflowPunct/>
              <w:topLinePunct w:val="0"/>
              <w:autoSpaceDE/>
              <w:autoSpaceDN/>
              <w:bidi w:val="0"/>
              <w:spacing w:line="480" w:lineRule="exact"/>
              <w:ind w:firstLine="480"/>
              <w:textAlignment w:val="auto"/>
              <w:rPr>
                <w:bCs/>
                <w:color w:val="auto"/>
              </w:rPr>
            </w:pPr>
            <w:r>
              <w:rPr>
                <w:bCs/>
                <w:color w:val="auto"/>
              </w:rPr>
              <w:t>泉域多年平均降水量为560.2mm（1956</w:t>
            </w:r>
            <w:r>
              <w:rPr>
                <w:rFonts w:hint="eastAsia"/>
                <w:bCs/>
                <w:color w:val="auto"/>
              </w:rPr>
              <w:t>—</w:t>
            </w:r>
            <w:r>
              <w:rPr>
                <w:bCs/>
                <w:color w:val="auto"/>
              </w:rPr>
              <w:t>1984年）。其分布跨海河及黄河两大流域，主要河流为桃河、温河、松溪河、清漳河。</w:t>
            </w:r>
          </w:p>
          <w:p w14:paraId="1FF53095">
            <w:pPr>
              <w:pStyle w:val="27"/>
              <w:pageBreakBefore w:val="0"/>
              <w:kinsoku/>
              <w:wordWrap/>
              <w:overflowPunct/>
              <w:topLinePunct w:val="0"/>
              <w:autoSpaceDE/>
              <w:autoSpaceDN/>
              <w:bidi w:val="0"/>
              <w:spacing w:line="480" w:lineRule="exact"/>
              <w:ind w:firstLine="480"/>
              <w:textAlignment w:val="auto"/>
              <w:rPr>
                <w:bCs/>
                <w:color w:val="auto"/>
              </w:rPr>
            </w:pPr>
            <w:r>
              <w:rPr>
                <w:bCs/>
                <w:color w:val="auto"/>
              </w:rPr>
              <w:t>泉域分布范围包括阳泉市的平定、盂县、城郊，晋中地区的榆次、寿阳、昔阳、和顺、左权，太原市的南郊区等市（县、区）。从构造上看，处于沁水凹陷的北端，为一北东向翘起的大向斜。出露地层自东向西，由北向南，由老到新。沉积了厚达467～628米的中奥陶统岩溶含水层组，为岩溶水的贮存、运移提供了巨大的调蓄空间。岩溶水由北、西、南三面向娘子关一带径流汇集，由于该处下奥陶统相对隔水层的隆起，并被桃河侵蚀出露，使岩溶地下水溢出地表成泉。故娘子关泉基本上为全排型接触溢流泉。</w:t>
            </w:r>
          </w:p>
          <w:p w14:paraId="43AB486C">
            <w:pPr>
              <w:pStyle w:val="27"/>
              <w:pageBreakBefore w:val="0"/>
              <w:kinsoku/>
              <w:wordWrap/>
              <w:overflowPunct/>
              <w:topLinePunct w:val="0"/>
              <w:autoSpaceDE/>
              <w:autoSpaceDN/>
              <w:bidi w:val="0"/>
              <w:spacing w:line="480" w:lineRule="exact"/>
              <w:ind w:firstLine="480"/>
              <w:textAlignment w:val="auto"/>
              <w:rPr>
                <w:bCs/>
                <w:color w:val="auto"/>
              </w:rPr>
            </w:pPr>
            <w:r>
              <w:rPr>
                <w:rFonts w:hint="eastAsia"/>
                <w:bCs/>
                <w:color w:val="auto"/>
              </w:rPr>
              <w:t>（2）</w:t>
            </w:r>
            <w:r>
              <w:rPr>
                <w:bCs/>
                <w:color w:val="auto"/>
              </w:rPr>
              <w:t>泉域范围</w:t>
            </w:r>
          </w:p>
          <w:p w14:paraId="7C6C176A">
            <w:pPr>
              <w:pStyle w:val="27"/>
              <w:pageBreakBefore w:val="0"/>
              <w:kinsoku/>
              <w:wordWrap/>
              <w:overflowPunct/>
              <w:topLinePunct w:val="0"/>
              <w:autoSpaceDE/>
              <w:autoSpaceDN/>
              <w:bidi w:val="0"/>
              <w:spacing w:line="480" w:lineRule="exact"/>
              <w:ind w:firstLine="480"/>
              <w:textAlignment w:val="auto"/>
              <w:rPr>
                <w:bCs/>
                <w:color w:val="auto"/>
              </w:rPr>
            </w:pPr>
            <w:r>
              <w:rPr>
                <w:bCs/>
                <w:color w:val="auto"/>
              </w:rPr>
              <w:t>东部边界：南段：奥陶系下统及寒武系下统构成隔水边界，该边界北端以东为寒武系可溶岩组成的东固壁泉域。边界走向由北向南，由昔阳西回－白羊峪－和顺阳曲山（2059米）－左权沐池－北天池。</w:t>
            </w:r>
          </w:p>
          <w:p w14:paraId="3A4A4103">
            <w:pPr>
              <w:pStyle w:val="27"/>
              <w:pageBreakBefore w:val="0"/>
              <w:kinsoku/>
              <w:wordWrap/>
              <w:overflowPunct/>
              <w:topLinePunct w:val="0"/>
              <w:autoSpaceDE/>
              <w:autoSpaceDN/>
              <w:bidi w:val="0"/>
              <w:spacing w:line="480" w:lineRule="exact"/>
              <w:ind w:firstLine="480"/>
              <w:textAlignment w:val="auto"/>
              <w:rPr>
                <w:bCs/>
                <w:color w:val="auto"/>
              </w:rPr>
            </w:pPr>
            <w:r>
              <w:rPr>
                <w:bCs/>
                <w:color w:val="auto"/>
              </w:rPr>
              <w:t>中段：西回以北至苇泽关断层南端，成为娘子关泉域与河北省威州泉域的地下分水岭边界。泉水出露带以苇泽关断层为边界。</w:t>
            </w:r>
          </w:p>
          <w:p w14:paraId="64173791">
            <w:pPr>
              <w:pStyle w:val="27"/>
              <w:pageBreakBefore w:val="0"/>
              <w:kinsoku/>
              <w:wordWrap/>
              <w:overflowPunct/>
              <w:topLinePunct w:val="0"/>
              <w:autoSpaceDE/>
              <w:autoSpaceDN/>
              <w:bidi w:val="0"/>
              <w:spacing w:line="480" w:lineRule="exact"/>
              <w:ind w:firstLine="480"/>
              <w:textAlignment w:val="auto"/>
              <w:rPr>
                <w:bCs/>
                <w:color w:val="auto"/>
              </w:rPr>
            </w:pPr>
            <w:r>
              <w:rPr>
                <w:bCs/>
                <w:color w:val="auto"/>
              </w:rPr>
              <w:t>北段：由北向南由盂县的崔家庄－苇泽关断层北端。为娘子关泉域盂县阴山河与威州黑砚水河及神水泉河的地表分水岭，南端为地下分水岭。</w:t>
            </w:r>
          </w:p>
          <w:p w14:paraId="75ED2DC2">
            <w:pPr>
              <w:pStyle w:val="27"/>
              <w:pageBreakBefore w:val="0"/>
              <w:kinsoku/>
              <w:wordWrap/>
              <w:overflowPunct/>
              <w:topLinePunct w:val="0"/>
              <w:autoSpaceDE/>
              <w:autoSpaceDN/>
              <w:bidi w:val="0"/>
              <w:spacing w:line="480" w:lineRule="exact"/>
              <w:ind w:firstLine="480"/>
              <w:textAlignment w:val="auto"/>
              <w:rPr>
                <w:bCs/>
                <w:color w:val="auto"/>
              </w:rPr>
            </w:pPr>
            <w:r>
              <w:rPr>
                <w:bCs/>
                <w:color w:val="auto"/>
              </w:rPr>
              <w:t>北部边界：东段：蚍蜉垴至磁盒尖，构成泉域与滹沱河干流水系的地表分水岭，为阻水边界。</w:t>
            </w:r>
          </w:p>
          <w:p w14:paraId="1F743976">
            <w:pPr>
              <w:pStyle w:val="27"/>
              <w:pageBreakBefore w:val="0"/>
              <w:kinsoku/>
              <w:wordWrap/>
              <w:overflowPunct/>
              <w:topLinePunct w:val="0"/>
              <w:autoSpaceDE/>
              <w:autoSpaceDN/>
              <w:bidi w:val="0"/>
              <w:spacing w:line="480" w:lineRule="exact"/>
              <w:ind w:firstLine="480"/>
              <w:textAlignment w:val="auto"/>
              <w:rPr>
                <w:bCs/>
                <w:color w:val="auto"/>
              </w:rPr>
            </w:pPr>
            <w:r>
              <w:rPr>
                <w:bCs/>
                <w:color w:val="auto"/>
              </w:rPr>
              <w:t>中段：神泉至蚍蜉垴，为兴道泉与娘子关两泉域的地下分水岭。</w:t>
            </w:r>
          </w:p>
          <w:p w14:paraId="5BE93EDA">
            <w:pPr>
              <w:pStyle w:val="27"/>
              <w:pageBreakBefore w:val="0"/>
              <w:kinsoku/>
              <w:wordWrap/>
              <w:overflowPunct/>
              <w:topLinePunct w:val="0"/>
              <w:autoSpaceDE/>
              <w:autoSpaceDN/>
              <w:bidi w:val="0"/>
              <w:spacing w:line="480" w:lineRule="exact"/>
              <w:ind w:firstLine="480"/>
              <w:textAlignment w:val="auto"/>
              <w:rPr>
                <w:bCs/>
                <w:color w:val="auto"/>
              </w:rPr>
            </w:pPr>
            <w:r>
              <w:rPr>
                <w:bCs/>
                <w:color w:val="auto"/>
              </w:rPr>
              <w:t>西北段：为寺家坪－张家河北东向的断褶带及太原东山背斜轴部，亦为地表分水岭。由东北至西南自盂县神泉－寿阳黄岭北－沿太原市与晋中行政界－杨家峪－郝庄，西南段与兰村泉域水源保护区为界。</w:t>
            </w:r>
          </w:p>
          <w:p w14:paraId="46BFF85F">
            <w:pPr>
              <w:pStyle w:val="27"/>
              <w:pageBreakBefore w:val="0"/>
              <w:kinsoku/>
              <w:wordWrap/>
              <w:overflowPunct/>
              <w:topLinePunct w:val="0"/>
              <w:autoSpaceDE/>
              <w:autoSpaceDN/>
              <w:bidi w:val="0"/>
              <w:spacing w:line="480" w:lineRule="exact"/>
              <w:ind w:firstLine="480"/>
              <w:textAlignment w:val="auto"/>
              <w:rPr>
                <w:bCs/>
                <w:color w:val="auto"/>
              </w:rPr>
            </w:pPr>
            <w:r>
              <w:rPr>
                <w:bCs/>
                <w:color w:val="auto"/>
              </w:rPr>
              <w:t>西部边界：为地表出露二、三叠系砂页岩，灰岩深埋1000～1200米以下，构成隔水边界。</w:t>
            </w:r>
          </w:p>
          <w:p w14:paraId="2FF279BC">
            <w:pPr>
              <w:pStyle w:val="27"/>
              <w:pageBreakBefore w:val="0"/>
              <w:kinsoku/>
              <w:wordWrap/>
              <w:overflowPunct/>
              <w:topLinePunct w:val="0"/>
              <w:autoSpaceDE/>
              <w:autoSpaceDN/>
              <w:bidi w:val="0"/>
              <w:spacing w:line="480" w:lineRule="exact"/>
              <w:ind w:firstLine="480"/>
              <w:textAlignment w:val="auto"/>
              <w:rPr>
                <w:bCs/>
                <w:color w:val="auto"/>
              </w:rPr>
            </w:pPr>
            <w:r>
              <w:rPr>
                <w:bCs/>
                <w:color w:val="auto"/>
              </w:rPr>
              <w:t>西北段：由西至东自郝庄－榆次鸣谦北－寿阳段庄－瑶头。</w:t>
            </w:r>
          </w:p>
          <w:p w14:paraId="70C9710E">
            <w:pPr>
              <w:pStyle w:val="27"/>
              <w:pageBreakBefore w:val="0"/>
              <w:kinsoku/>
              <w:wordWrap/>
              <w:overflowPunct/>
              <w:topLinePunct w:val="0"/>
              <w:autoSpaceDE/>
              <w:autoSpaceDN/>
              <w:bidi w:val="0"/>
              <w:spacing w:line="480" w:lineRule="exact"/>
              <w:ind w:firstLine="480"/>
              <w:textAlignment w:val="auto"/>
              <w:rPr>
                <w:bCs/>
                <w:color w:val="auto"/>
              </w:rPr>
            </w:pPr>
            <w:r>
              <w:rPr>
                <w:bCs/>
                <w:color w:val="auto"/>
              </w:rPr>
              <w:t>中段：为海河（清漳河东源）与黄河（潇河）两大水系分水岭。由北向南自瑶头－昔阳柳林背－和顺庙沟西－白万山－榆次市人头山。</w:t>
            </w:r>
          </w:p>
          <w:p w14:paraId="62023F27">
            <w:pPr>
              <w:pStyle w:val="27"/>
              <w:pageBreakBefore w:val="0"/>
              <w:kinsoku/>
              <w:wordWrap/>
              <w:overflowPunct/>
              <w:topLinePunct w:val="0"/>
              <w:autoSpaceDE/>
              <w:autoSpaceDN/>
              <w:bidi w:val="0"/>
              <w:spacing w:line="480" w:lineRule="exact"/>
              <w:ind w:firstLine="480"/>
              <w:textAlignment w:val="auto"/>
              <w:rPr>
                <w:bCs/>
                <w:color w:val="auto"/>
              </w:rPr>
            </w:pPr>
            <w:r>
              <w:rPr>
                <w:bCs/>
                <w:color w:val="auto"/>
              </w:rPr>
              <w:t>西南段：为清漳河西源与浊漳河北源的地表分水岭，亦为和顺、左权县与榆社县的行政边界。由北向南自人头山－和顺菜榆垴－左权刘家岭－东沟底。</w:t>
            </w:r>
          </w:p>
          <w:p w14:paraId="5BEE43C5">
            <w:pPr>
              <w:pStyle w:val="27"/>
              <w:pageBreakBefore w:val="0"/>
              <w:kinsoku/>
              <w:wordWrap/>
              <w:overflowPunct/>
              <w:topLinePunct w:val="0"/>
              <w:autoSpaceDE/>
              <w:autoSpaceDN/>
              <w:bidi w:val="0"/>
              <w:spacing w:line="480" w:lineRule="exact"/>
              <w:ind w:firstLine="480"/>
              <w:textAlignment w:val="auto"/>
              <w:rPr>
                <w:bCs/>
                <w:color w:val="auto"/>
              </w:rPr>
            </w:pPr>
            <w:r>
              <w:rPr>
                <w:bCs/>
                <w:color w:val="auto"/>
              </w:rPr>
              <w:t>南部边界：青草堙以北，左权县城以南，为地下分水岭边界。由西向东自东沟底－河神堙北－北天池，以南属新安泉域。</w:t>
            </w:r>
          </w:p>
          <w:p w14:paraId="51FE0052">
            <w:pPr>
              <w:pStyle w:val="27"/>
              <w:pageBreakBefore w:val="0"/>
              <w:kinsoku/>
              <w:wordWrap/>
              <w:overflowPunct/>
              <w:topLinePunct w:val="0"/>
              <w:autoSpaceDE/>
              <w:autoSpaceDN/>
              <w:bidi w:val="0"/>
              <w:spacing w:line="480" w:lineRule="exact"/>
              <w:ind w:firstLine="480"/>
              <w:textAlignment w:val="auto"/>
              <w:rPr>
                <w:bCs/>
                <w:color w:val="auto"/>
              </w:rPr>
            </w:pPr>
            <w:r>
              <w:rPr>
                <w:bCs/>
                <w:color w:val="auto"/>
              </w:rPr>
              <w:t>上述各边界圈定的泉域范围面积7217km</w:t>
            </w:r>
            <w:r>
              <w:rPr>
                <w:bCs/>
                <w:color w:val="auto"/>
                <w:vertAlign w:val="superscript"/>
              </w:rPr>
              <w:t>2</w:t>
            </w:r>
            <w:r>
              <w:rPr>
                <w:bCs/>
                <w:color w:val="auto"/>
              </w:rPr>
              <w:t>，其中裸露可溶泉2282km</w:t>
            </w:r>
            <w:r>
              <w:rPr>
                <w:bCs/>
                <w:color w:val="auto"/>
                <w:vertAlign w:val="superscript"/>
              </w:rPr>
              <w:t>2</w:t>
            </w:r>
            <w:r>
              <w:rPr>
                <w:bCs/>
                <w:color w:val="auto"/>
              </w:rPr>
              <w:t>。按地（市）行政区域为：阳泉市2430km</w:t>
            </w:r>
            <w:r>
              <w:rPr>
                <w:bCs/>
                <w:color w:val="auto"/>
                <w:vertAlign w:val="superscript"/>
              </w:rPr>
              <w:t>2</w:t>
            </w:r>
            <w:r>
              <w:rPr>
                <w:bCs/>
                <w:color w:val="auto"/>
              </w:rPr>
              <w:t>，晋中地区4688km</w:t>
            </w:r>
            <w:r>
              <w:rPr>
                <w:bCs/>
                <w:color w:val="auto"/>
                <w:vertAlign w:val="superscript"/>
              </w:rPr>
              <w:t>2</w:t>
            </w:r>
            <w:r>
              <w:rPr>
                <w:bCs/>
                <w:color w:val="auto"/>
              </w:rPr>
              <w:t>，太原市99km</w:t>
            </w:r>
            <w:r>
              <w:rPr>
                <w:rFonts w:hint="eastAsia"/>
                <w:bCs/>
                <w:color w:val="auto"/>
                <w:vertAlign w:val="superscript"/>
              </w:rPr>
              <w:t>2</w:t>
            </w:r>
            <w:r>
              <w:rPr>
                <w:bCs/>
                <w:color w:val="auto"/>
              </w:rPr>
              <w:t>。</w:t>
            </w:r>
          </w:p>
          <w:p w14:paraId="39F636A8">
            <w:pPr>
              <w:pStyle w:val="27"/>
              <w:pageBreakBefore w:val="0"/>
              <w:kinsoku/>
              <w:wordWrap/>
              <w:overflowPunct/>
              <w:topLinePunct w:val="0"/>
              <w:autoSpaceDE/>
              <w:autoSpaceDN/>
              <w:bidi w:val="0"/>
              <w:spacing w:line="480" w:lineRule="exact"/>
              <w:ind w:firstLine="480"/>
              <w:textAlignment w:val="auto"/>
              <w:rPr>
                <w:bCs/>
                <w:color w:val="auto"/>
              </w:rPr>
            </w:pPr>
            <w:r>
              <w:rPr>
                <w:rFonts w:hint="eastAsia"/>
                <w:bCs/>
                <w:color w:val="auto"/>
              </w:rPr>
              <w:t>（3）</w:t>
            </w:r>
            <w:r>
              <w:rPr>
                <w:bCs/>
                <w:color w:val="auto"/>
              </w:rPr>
              <w:t>重点保护范围</w:t>
            </w:r>
          </w:p>
          <w:p w14:paraId="1B1171AC">
            <w:pPr>
              <w:pStyle w:val="27"/>
              <w:pageBreakBefore w:val="0"/>
              <w:kinsoku/>
              <w:wordWrap/>
              <w:overflowPunct/>
              <w:topLinePunct w:val="0"/>
              <w:autoSpaceDE/>
              <w:autoSpaceDN/>
              <w:bidi w:val="0"/>
              <w:spacing w:line="480" w:lineRule="exact"/>
              <w:ind w:firstLine="480"/>
              <w:textAlignment w:val="auto"/>
              <w:rPr>
                <w:bCs/>
                <w:color w:val="auto"/>
              </w:rPr>
            </w:pPr>
            <w:r>
              <w:rPr>
                <w:bCs/>
                <w:color w:val="auto"/>
              </w:rPr>
              <w:t>泉水集中</w:t>
            </w:r>
            <w:r>
              <w:rPr>
                <w:rFonts w:hint="eastAsia"/>
                <w:bCs/>
                <w:color w:val="auto"/>
              </w:rPr>
              <w:t>出露</w:t>
            </w:r>
            <w:r>
              <w:rPr>
                <w:bCs/>
                <w:color w:val="auto"/>
              </w:rPr>
              <w:t>带</w:t>
            </w:r>
            <w:r>
              <w:rPr>
                <w:rFonts w:hint="eastAsia"/>
                <w:bCs/>
                <w:color w:val="auto"/>
              </w:rPr>
              <w:t>，其</w:t>
            </w:r>
            <w:r>
              <w:rPr>
                <w:bCs/>
                <w:color w:val="auto"/>
              </w:rPr>
              <w:t>保护范围</w:t>
            </w:r>
            <w:r>
              <w:rPr>
                <w:rFonts w:hint="eastAsia"/>
                <w:bCs/>
                <w:color w:val="auto"/>
              </w:rPr>
              <w:t>为</w:t>
            </w:r>
            <w:r>
              <w:rPr>
                <w:bCs/>
                <w:color w:val="auto"/>
              </w:rPr>
              <w:t>：西自温河下董寨以下河谷，桃河西武庄以下河谷，东至两河汇流后的绵河河谷苇泽关断层之间泉水出露带。</w:t>
            </w:r>
            <w:r>
              <w:rPr>
                <w:rFonts w:hint="eastAsia"/>
                <w:bCs/>
                <w:color w:val="auto"/>
              </w:rPr>
              <w:t>桃河、温河</w:t>
            </w:r>
            <w:r>
              <w:rPr>
                <w:bCs/>
                <w:color w:val="auto"/>
              </w:rPr>
              <w:t>渗漏</w:t>
            </w:r>
            <w:r>
              <w:rPr>
                <w:rFonts w:hint="eastAsia"/>
                <w:bCs/>
                <w:color w:val="auto"/>
              </w:rPr>
              <w:t>河段，其</w:t>
            </w:r>
            <w:r>
              <w:rPr>
                <w:bCs/>
                <w:color w:val="auto"/>
              </w:rPr>
              <w:t>保护</w:t>
            </w:r>
            <w:r>
              <w:rPr>
                <w:rFonts w:hint="eastAsia"/>
                <w:bCs/>
                <w:color w:val="auto"/>
              </w:rPr>
              <w:t>区</w:t>
            </w:r>
            <w:r>
              <w:rPr>
                <w:bCs/>
                <w:color w:val="auto"/>
              </w:rPr>
              <w:t>范围</w:t>
            </w:r>
            <w:r>
              <w:rPr>
                <w:rFonts w:hint="eastAsia"/>
                <w:bCs/>
                <w:color w:val="auto"/>
              </w:rPr>
              <w:t>为：温河河谷：自东至西由温池－下章召－白马庄－南庄－巨城镇－下董寨，河流长度约35km。桃河河谷：自西向东由白羊墅-乱流-岩会-上盘石-下盘石-西武庄，河流长度约30km。以上重点保护区面积共86.5km</w:t>
            </w:r>
            <w:r>
              <w:rPr>
                <w:rFonts w:hint="eastAsia"/>
                <w:bCs/>
                <w:color w:val="auto"/>
                <w:vertAlign w:val="superscript"/>
              </w:rPr>
              <w:t>2</w:t>
            </w:r>
            <w:r>
              <w:rPr>
                <w:rFonts w:hint="eastAsia"/>
                <w:bCs/>
                <w:color w:val="auto"/>
              </w:rPr>
              <w:t>。</w:t>
            </w:r>
          </w:p>
          <w:p w14:paraId="26BCBD13">
            <w:pPr>
              <w:pStyle w:val="27"/>
              <w:pageBreakBefore w:val="0"/>
              <w:kinsoku/>
              <w:wordWrap/>
              <w:overflowPunct/>
              <w:topLinePunct w:val="0"/>
              <w:autoSpaceDE/>
              <w:autoSpaceDN/>
              <w:bidi w:val="0"/>
              <w:spacing w:line="480" w:lineRule="exact"/>
              <w:ind w:firstLine="480"/>
              <w:textAlignment w:val="auto"/>
              <w:rPr>
                <w:bCs/>
                <w:color w:val="auto"/>
              </w:rPr>
            </w:pPr>
            <w:r>
              <w:rPr>
                <w:rFonts w:hint="eastAsia"/>
                <w:bCs/>
                <w:color w:val="auto"/>
                <w:lang w:bidi="ar"/>
              </w:rPr>
              <w:t>本项目</w:t>
            </w:r>
            <w:r>
              <w:rPr>
                <w:rFonts w:hint="eastAsia"/>
                <w:color w:val="000000" w:themeColor="text1"/>
                <w14:textFill>
                  <w14:solidFill>
                    <w14:schemeClr w14:val="tx1"/>
                  </w14:solidFill>
                </w14:textFill>
              </w:rPr>
              <w:t>不在娘子关泉域范围内</w:t>
            </w:r>
            <w:r>
              <w:rPr>
                <w:rFonts w:hint="eastAsia"/>
                <w:bCs/>
                <w:color w:val="auto"/>
                <w:lang w:bidi="ar"/>
              </w:rPr>
              <w:t>。</w:t>
            </w:r>
          </w:p>
          <w:p w14:paraId="77565D95">
            <w:pPr>
              <w:pStyle w:val="27"/>
              <w:pageBreakBefore w:val="0"/>
              <w:kinsoku/>
              <w:wordWrap/>
              <w:overflowPunct/>
              <w:topLinePunct w:val="0"/>
              <w:autoSpaceDE/>
              <w:autoSpaceDN/>
              <w:bidi w:val="0"/>
              <w:spacing w:line="480" w:lineRule="exact"/>
              <w:ind w:firstLine="482"/>
              <w:textAlignment w:val="auto"/>
              <w:rPr>
                <w:bCs/>
                <w:color w:val="auto"/>
              </w:rPr>
            </w:pPr>
            <w:r>
              <w:rPr>
                <w:rFonts w:hint="eastAsia"/>
                <w:b/>
                <w:color w:val="auto"/>
              </w:rPr>
              <w:t>2.饮用水水源地</w:t>
            </w:r>
          </w:p>
          <w:p w14:paraId="4BE6962F">
            <w:pPr>
              <w:pageBreakBefore w:val="0"/>
              <w:kinsoku/>
              <w:wordWrap/>
              <w:overflowPunct/>
              <w:topLinePunct w:val="0"/>
              <w:autoSpaceDE/>
              <w:autoSpaceDN/>
              <w:bidi w:val="0"/>
              <w:spacing w:line="480" w:lineRule="exact"/>
              <w:ind w:firstLine="480" w:firstLineChars="200"/>
              <w:textAlignment w:val="auto"/>
              <w:rPr>
                <w:bCs/>
                <w:sz w:val="24"/>
                <w:lang w:bidi="ar"/>
              </w:rPr>
            </w:pPr>
            <w:r>
              <w:rPr>
                <w:rFonts w:hint="eastAsia"/>
                <w:bCs/>
                <w:sz w:val="24"/>
                <w:lang w:bidi="ar"/>
              </w:rPr>
              <w:t>（1）娘子关泉排泄区水源地</w:t>
            </w:r>
          </w:p>
          <w:p w14:paraId="490ADF72">
            <w:pPr>
              <w:pageBreakBefore w:val="0"/>
              <w:kinsoku/>
              <w:wordWrap/>
              <w:overflowPunct/>
              <w:topLinePunct w:val="0"/>
              <w:autoSpaceDE/>
              <w:autoSpaceDN/>
              <w:bidi w:val="0"/>
              <w:spacing w:line="480" w:lineRule="exact"/>
              <w:ind w:firstLine="480" w:firstLineChars="200"/>
              <w:textAlignment w:val="auto"/>
              <w:rPr>
                <w:bCs/>
                <w:sz w:val="24"/>
                <w:lang w:bidi="ar"/>
              </w:rPr>
            </w:pPr>
            <w:r>
              <w:rPr>
                <w:rFonts w:hint="eastAsia"/>
                <w:bCs/>
                <w:sz w:val="24"/>
                <w:lang w:bidi="ar"/>
              </w:rPr>
              <w:t>①娘子关泉排泄区一级保护区：</w:t>
            </w:r>
          </w:p>
          <w:p w14:paraId="19469A29">
            <w:pPr>
              <w:pageBreakBefore w:val="0"/>
              <w:kinsoku/>
              <w:wordWrap/>
              <w:overflowPunct/>
              <w:topLinePunct w:val="0"/>
              <w:autoSpaceDE/>
              <w:autoSpaceDN/>
              <w:bidi w:val="0"/>
              <w:spacing w:line="480" w:lineRule="exact"/>
              <w:ind w:firstLine="480" w:firstLineChars="200"/>
              <w:textAlignment w:val="auto"/>
              <w:rPr>
                <w:bCs/>
                <w:sz w:val="24"/>
                <w:lang w:bidi="ar"/>
              </w:rPr>
            </w:pPr>
            <w:r>
              <w:rPr>
                <w:rFonts w:hint="eastAsia"/>
                <w:bCs/>
                <w:sz w:val="24"/>
                <w:lang w:bidi="ar"/>
              </w:rPr>
              <w:t>娘子关泉提水工程水源主要从娘子关泉泉中的五龙泉、石板磨泉、坡底泉、城西泉、滚泉、桥墩泉、禁区泉、西口岸泉和苇泽关泉，近期提水量15万m</w:t>
            </w:r>
            <w:r>
              <w:rPr>
                <w:rFonts w:hint="eastAsia"/>
                <w:bCs/>
                <w:sz w:val="24"/>
                <w:vertAlign w:val="superscript"/>
                <w:lang w:bidi="ar"/>
              </w:rPr>
              <w:t>3</w:t>
            </w:r>
            <w:r>
              <w:rPr>
                <w:rFonts w:hint="eastAsia"/>
                <w:bCs/>
                <w:sz w:val="24"/>
                <w:lang w:bidi="ar"/>
              </w:rPr>
              <w:t>/d，远期可达26万～35万m</w:t>
            </w:r>
            <w:r>
              <w:rPr>
                <w:rFonts w:hint="eastAsia"/>
                <w:bCs/>
                <w:sz w:val="24"/>
                <w:vertAlign w:val="superscript"/>
                <w:lang w:bidi="ar"/>
              </w:rPr>
              <w:t>3</w:t>
            </w:r>
            <w:r>
              <w:rPr>
                <w:rFonts w:hint="eastAsia"/>
                <w:bCs/>
                <w:sz w:val="24"/>
                <w:lang w:bidi="ar"/>
              </w:rPr>
              <w:t>/d，因此按大型水源地进行保护划分。一级保护区东至铁道桥，西到地三峪东阳泉市提水一级泵站，北至河北村村北，南至城西泉南1km，总面积5.60km</w:t>
            </w:r>
            <w:r>
              <w:rPr>
                <w:rFonts w:hint="eastAsia"/>
                <w:bCs/>
                <w:sz w:val="24"/>
                <w:vertAlign w:val="superscript"/>
                <w:lang w:bidi="ar"/>
              </w:rPr>
              <w:t>2</w:t>
            </w:r>
            <w:r>
              <w:rPr>
                <w:rFonts w:hint="eastAsia"/>
                <w:bCs/>
                <w:sz w:val="24"/>
                <w:lang w:bidi="ar"/>
              </w:rPr>
              <w:t>。</w:t>
            </w:r>
          </w:p>
          <w:p w14:paraId="1307E846">
            <w:pPr>
              <w:pageBreakBefore w:val="0"/>
              <w:kinsoku/>
              <w:wordWrap/>
              <w:overflowPunct/>
              <w:topLinePunct w:val="0"/>
              <w:autoSpaceDE/>
              <w:autoSpaceDN/>
              <w:bidi w:val="0"/>
              <w:spacing w:line="480" w:lineRule="exact"/>
              <w:ind w:firstLine="480" w:firstLineChars="200"/>
              <w:textAlignment w:val="auto"/>
              <w:rPr>
                <w:bCs/>
                <w:sz w:val="24"/>
                <w:lang w:bidi="ar"/>
              </w:rPr>
            </w:pPr>
            <w:r>
              <w:rPr>
                <w:rFonts w:hint="eastAsia"/>
                <w:bCs/>
                <w:sz w:val="24"/>
                <w:lang w:bidi="ar"/>
              </w:rPr>
              <w:t>②二级保护区</w:t>
            </w:r>
          </w:p>
          <w:p w14:paraId="52994B50">
            <w:pPr>
              <w:pageBreakBefore w:val="0"/>
              <w:kinsoku/>
              <w:wordWrap/>
              <w:overflowPunct/>
              <w:topLinePunct w:val="0"/>
              <w:autoSpaceDE/>
              <w:autoSpaceDN/>
              <w:bidi w:val="0"/>
              <w:spacing w:line="480" w:lineRule="exact"/>
              <w:ind w:firstLine="480" w:firstLineChars="200"/>
              <w:textAlignment w:val="auto"/>
              <w:rPr>
                <w:bCs/>
                <w:sz w:val="24"/>
                <w:lang w:bidi="ar"/>
              </w:rPr>
            </w:pPr>
            <w:r>
              <w:rPr>
                <w:rFonts w:hint="eastAsia"/>
                <w:bCs/>
                <w:sz w:val="24"/>
                <w:lang w:bidi="ar"/>
              </w:rPr>
              <w:t>娘子关泉群一级保护区外，扩大划分区，二级保护区面积为80km</w:t>
            </w:r>
            <w:r>
              <w:rPr>
                <w:rFonts w:hint="eastAsia"/>
                <w:bCs/>
                <w:sz w:val="24"/>
                <w:vertAlign w:val="superscript"/>
                <w:lang w:bidi="ar"/>
              </w:rPr>
              <w:t>2</w:t>
            </w:r>
            <w:r>
              <w:rPr>
                <w:rFonts w:hint="eastAsia"/>
                <w:bCs/>
                <w:sz w:val="24"/>
                <w:lang w:bidi="ar"/>
              </w:rPr>
              <w:t>。东区以苇泽关断层为界，西北以南垴良三角点为界（1016.2m），西边以温河石桥泉为界，桃河以西武庄为界，南以火焰山为界（1022.3m）。西北以地表、地下水分水岭与神水头岩溶泉域为界，东以苇泽关断层和南以地表、地下水分水岭与威州泉域为界。</w:t>
            </w:r>
          </w:p>
          <w:p w14:paraId="0373C727">
            <w:pPr>
              <w:pageBreakBefore w:val="0"/>
              <w:kinsoku/>
              <w:wordWrap/>
              <w:overflowPunct/>
              <w:topLinePunct w:val="0"/>
              <w:autoSpaceDE/>
              <w:autoSpaceDN/>
              <w:bidi w:val="0"/>
              <w:spacing w:line="480" w:lineRule="exact"/>
              <w:ind w:firstLine="480" w:firstLineChars="200"/>
              <w:textAlignment w:val="auto"/>
              <w:rPr>
                <w:bCs/>
                <w:sz w:val="24"/>
                <w:lang w:bidi="ar"/>
              </w:rPr>
            </w:pPr>
            <w:r>
              <w:rPr>
                <w:rFonts w:hint="eastAsia"/>
                <w:bCs/>
                <w:sz w:val="24"/>
                <w:lang w:bidi="ar"/>
              </w:rPr>
              <w:t>③准保护区</w:t>
            </w:r>
          </w:p>
          <w:p w14:paraId="68C17927">
            <w:pPr>
              <w:pageBreakBefore w:val="0"/>
              <w:kinsoku/>
              <w:wordWrap/>
              <w:overflowPunct/>
              <w:topLinePunct w:val="0"/>
              <w:autoSpaceDE/>
              <w:autoSpaceDN/>
              <w:bidi w:val="0"/>
              <w:spacing w:line="480" w:lineRule="exact"/>
              <w:ind w:firstLine="480" w:firstLineChars="200"/>
              <w:textAlignment w:val="auto"/>
              <w:rPr>
                <w:bCs/>
                <w:sz w:val="24"/>
                <w:lang w:bidi="ar"/>
              </w:rPr>
            </w:pPr>
            <w:r>
              <w:rPr>
                <w:rFonts w:hint="eastAsia"/>
                <w:bCs/>
                <w:sz w:val="24"/>
                <w:lang w:bidi="ar"/>
              </w:rPr>
              <w:t>娘子关泉群中河水渗漏补给段是主要污染源。河流渗漏段位于娘子关泉水上游，是主要市区和县区分布区，又有大面积煤矿资源分布，主要河流渗漏是岩溶地下水的主要污染途径和来源。因此温河、桃河、南川河、松溪河等娘子关泉域河流渗漏段按准保护区划分：</w:t>
            </w:r>
          </w:p>
          <w:p w14:paraId="385616DC">
            <w:pPr>
              <w:pageBreakBefore w:val="0"/>
              <w:kinsoku/>
              <w:wordWrap/>
              <w:overflowPunct/>
              <w:topLinePunct w:val="0"/>
              <w:autoSpaceDE/>
              <w:autoSpaceDN/>
              <w:bidi w:val="0"/>
              <w:spacing w:line="480" w:lineRule="exact"/>
              <w:ind w:firstLine="480" w:firstLineChars="200"/>
              <w:textAlignment w:val="auto"/>
              <w:rPr>
                <w:bCs/>
                <w:sz w:val="24"/>
                <w:lang w:bidi="ar"/>
              </w:rPr>
            </w:pPr>
            <w:r>
              <w:rPr>
                <w:rFonts w:hint="eastAsia"/>
                <w:bCs/>
                <w:sz w:val="24"/>
                <w:lang w:bidi="ar"/>
              </w:rPr>
              <w:t>温河：温池至石桥40km×河漫滩宽0.5km=20km</w:t>
            </w:r>
            <w:r>
              <w:rPr>
                <w:rFonts w:hint="eastAsia"/>
                <w:bCs/>
                <w:sz w:val="24"/>
                <w:vertAlign w:val="superscript"/>
                <w:lang w:bidi="ar"/>
              </w:rPr>
              <w:t>2</w:t>
            </w:r>
            <w:r>
              <w:rPr>
                <w:rFonts w:hint="eastAsia"/>
                <w:bCs/>
                <w:sz w:val="24"/>
                <w:lang w:bidi="ar"/>
              </w:rPr>
              <w:t>；</w:t>
            </w:r>
          </w:p>
          <w:p w14:paraId="3DF41A9B">
            <w:pPr>
              <w:pageBreakBefore w:val="0"/>
              <w:kinsoku/>
              <w:wordWrap/>
              <w:overflowPunct/>
              <w:topLinePunct w:val="0"/>
              <w:autoSpaceDE/>
              <w:autoSpaceDN/>
              <w:bidi w:val="0"/>
              <w:spacing w:line="480" w:lineRule="exact"/>
              <w:ind w:firstLine="480" w:firstLineChars="200"/>
              <w:textAlignment w:val="auto"/>
              <w:rPr>
                <w:bCs/>
                <w:sz w:val="24"/>
                <w:lang w:bidi="ar"/>
              </w:rPr>
            </w:pPr>
            <w:r>
              <w:rPr>
                <w:rFonts w:hint="eastAsia"/>
                <w:bCs/>
                <w:sz w:val="24"/>
                <w:lang w:bidi="ar"/>
              </w:rPr>
              <w:t>桃河：王龙沟至西武庄30km×0.5km=15km</w:t>
            </w:r>
            <w:r>
              <w:rPr>
                <w:rFonts w:hint="eastAsia"/>
                <w:bCs/>
                <w:sz w:val="24"/>
                <w:vertAlign w:val="superscript"/>
                <w:lang w:bidi="ar"/>
              </w:rPr>
              <w:t>2</w:t>
            </w:r>
            <w:r>
              <w:rPr>
                <w:rFonts w:hint="eastAsia"/>
                <w:bCs/>
                <w:sz w:val="24"/>
                <w:lang w:bidi="ar"/>
              </w:rPr>
              <w:t>；</w:t>
            </w:r>
          </w:p>
          <w:p w14:paraId="003BE0AC">
            <w:pPr>
              <w:pageBreakBefore w:val="0"/>
              <w:kinsoku/>
              <w:wordWrap/>
              <w:overflowPunct/>
              <w:topLinePunct w:val="0"/>
              <w:autoSpaceDE/>
              <w:autoSpaceDN/>
              <w:bidi w:val="0"/>
              <w:spacing w:line="480" w:lineRule="exact"/>
              <w:ind w:firstLine="480" w:firstLineChars="200"/>
              <w:textAlignment w:val="auto"/>
              <w:rPr>
                <w:bCs/>
                <w:sz w:val="24"/>
                <w:lang w:bidi="ar"/>
              </w:rPr>
            </w:pPr>
            <w:r>
              <w:rPr>
                <w:rFonts w:hint="eastAsia"/>
                <w:bCs/>
                <w:sz w:val="24"/>
                <w:lang w:bidi="ar"/>
              </w:rPr>
              <w:t>南川河：西锁簧至乱流30km×0.5km=15km</w:t>
            </w:r>
            <w:r>
              <w:rPr>
                <w:rFonts w:hint="eastAsia"/>
                <w:bCs/>
                <w:sz w:val="24"/>
                <w:vertAlign w:val="superscript"/>
                <w:lang w:bidi="ar"/>
              </w:rPr>
              <w:t>2</w:t>
            </w:r>
            <w:r>
              <w:rPr>
                <w:rFonts w:hint="eastAsia"/>
                <w:bCs/>
                <w:sz w:val="24"/>
                <w:lang w:bidi="ar"/>
              </w:rPr>
              <w:t>；</w:t>
            </w:r>
          </w:p>
          <w:p w14:paraId="0408FE12">
            <w:pPr>
              <w:pageBreakBefore w:val="0"/>
              <w:kinsoku/>
              <w:wordWrap/>
              <w:overflowPunct/>
              <w:topLinePunct w:val="0"/>
              <w:autoSpaceDE/>
              <w:autoSpaceDN/>
              <w:bidi w:val="0"/>
              <w:spacing w:line="480" w:lineRule="exact"/>
              <w:ind w:firstLine="480" w:firstLineChars="200"/>
              <w:textAlignment w:val="auto"/>
              <w:rPr>
                <w:bCs/>
                <w:sz w:val="24"/>
                <w:lang w:bidi="ar"/>
              </w:rPr>
            </w:pPr>
            <w:r>
              <w:rPr>
                <w:rFonts w:hint="eastAsia"/>
                <w:bCs/>
                <w:sz w:val="24"/>
                <w:lang w:bidi="ar"/>
              </w:rPr>
              <w:t>松溪河：龙凤垴至西固壁15km×0.5km=7.5km</w:t>
            </w:r>
            <w:r>
              <w:rPr>
                <w:rFonts w:hint="eastAsia"/>
                <w:bCs/>
                <w:sz w:val="24"/>
                <w:vertAlign w:val="superscript"/>
                <w:lang w:bidi="ar"/>
              </w:rPr>
              <w:t>2</w:t>
            </w:r>
            <w:r>
              <w:rPr>
                <w:rFonts w:hint="eastAsia"/>
                <w:bCs/>
                <w:sz w:val="24"/>
                <w:lang w:bidi="ar"/>
              </w:rPr>
              <w:t>；总计57.5km</w:t>
            </w:r>
            <w:r>
              <w:rPr>
                <w:rFonts w:hint="eastAsia"/>
                <w:bCs/>
                <w:sz w:val="24"/>
                <w:vertAlign w:val="superscript"/>
                <w:lang w:bidi="ar"/>
              </w:rPr>
              <w:t>2</w:t>
            </w:r>
            <w:r>
              <w:rPr>
                <w:rFonts w:hint="eastAsia"/>
                <w:bCs/>
                <w:sz w:val="24"/>
                <w:lang w:bidi="ar"/>
              </w:rPr>
              <w:t>；</w:t>
            </w:r>
          </w:p>
          <w:p w14:paraId="1FF96F08">
            <w:pPr>
              <w:pageBreakBefore w:val="0"/>
              <w:kinsoku/>
              <w:wordWrap/>
              <w:overflowPunct/>
              <w:topLinePunct w:val="0"/>
              <w:autoSpaceDE/>
              <w:autoSpaceDN/>
              <w:bidi w:val="0"/>
              <w:spacing w:line="480" w:lineRule="exact"/>
              <w:ind w:firstLine="480" w:firstLineChars="200"/>
              <w:textAlignment w:val="auto"/>
              <w:rPr>
                <w:bCs/>
                <w:sz w:val="24"/>
                <w:lang w:bidi="ar"/>
              </w:rPr>
            </w:pPr>
            <w:r>
              <w:rPr>
                <w:rFonts w:hint="eastAsia"/>
                <w:bCs/>
                <w:sz w:val="24"/>
                <w:lang w:bidi="ar"/>
              </w:rPr>
              <w:t>本项目位于</w:t>
            </w:r>
            <w:r>
              <w:rPr>
                <w:sz w:val="24"/>
              </w:rPr>
              <w:t>阳泉市盂县孙家庄镇石门子村西</w:t>
            </w:r>
            <w:r>
              <w:rPr>
                <w:rFonts w:hint="eastAsia"/>
                <w:sz w:val="24"/>
              </w:rPr>
              <w:t>侧</w:t>
            </w:r>
            <w:r>
              <w:rPr>
                <w:sz w:val="24"/>
              </w:rPr>
              <w:t>约</w:t>
            </w:r>
            <w:r>
              <w:rPr>
                <w:rFonts w:hint="eastAsia"/>
                <w:sz w:val="24"/>
              </w:rPr>
              <w:t>300</w:t>
            </w:r>
            <w:r>
              <w:rPr>
                <w:sz w:val="24"/>
              </w:rPr>
              <w:t>m</w:t>
            </w:r>
            <w:r>
              <w:rPr>
                <w:rFonts w:hint="eastAsia"/>
                <w:bCs/>
                <w:sz w:val="24"/>
                <w:lang w:bidi="ar"/>
              </w:rPr>
              <w:t>处，不在娘子关泉排泄区水源地一级、二级以及准保护区范围内，距离准保护区距离约11km。</w:t>
            </w:r>
          </w:p>
          <w:p w14:paraId="4A9670B9">
            <w:pPr>
              <w:pStyle w:val="27"/>
              <w:pageBreakBefore w:val="0"/>
              <w:kinsoku/>
              <w:wordWrap/>
              <w:overflowPunct/>
              <w:topLinePunct w:val="0"/>
              <w:autoSpaceDE/>
              <w:autoSpaceDN/>
              <w:bidi w:val="0"/>
              <w:spacing w:line="480" w:lineRule="exact"/>
              <w:ind w:firstLine="480"/>
              <w:textAlignment w:val="auto"/>
              <w:rPr>
                <w:bCs/>
                <w:color w:val="auto"/>
              </w:rPr>
            </w:pPr>
            <w:r>
              <w:rPr>
                <w:rFonts w:hint="eastAsia"/>
                <w:bCs/>
                <w:color w:val="auto"/>
              </w:rPr>
              <w:t>（2）乡镇水源地</w:t>
            </w:r>
          </w:p>
          <w:p w14:paraId="3D472F10">
            <w:pPr>
              <w:pageBreakBefore w:val="0"/>
              <w:kinsoku/>
              <w:wordWrap/>
              <w:overflowPunct/>
              <w:topLinePunct w:val="0"/>
              <w:autoSpaceDE/>
              <w:autoSpaceDN/>
              <w:bidi w:val="0"/>
              <w:spacing w:line="480" w:lineRule="exact"/>
              <w:ind w:firstLine="480" w:firstLineChars="200"/>
              <w:textAlignment w:val="auto"/>
              <w:rPr>
                <w:sz w:val="24"/>
              </w:rPr>
            </w:pPr>
            <w:r>
              <w:rPr>
                <w:rFonts w:hint="eastAsia"/>
                <w:sz w:val="24"/>
              </w:rPr>
              <w:t>盂县乡镇集中式饮用水水源地包括：盂县上社镇集中供水水源地、盂县下社乡集中供水水源地、盂县西潘乡集中供水水源地、盂县孙家庄镇集中供水水源地等。</w:t>
            </w:r>
          </w:p>
          <w:p w14:paraId="2A3B4DD1">
            <w:pPr>
              <w:pageBreakBefore w:val="0"/>
              <w:kinsoku/>
              <w:wordWrap/>
              <w:overflowPunct/>
              <w:topLinePunct w:val="0"/>
              <w:autoSpaceDE/>
              <w:autoSpaceDN/>
              <w:bidi w:val="0"/>
              <w:spacing w:line="480" w:lineRule="exact"/>
              <w:ind w:firstLine="480" w:firstLineChars="200"/>
              <w:textAlignment w:val="auto"/>
              <w:rPr>
                <w:sz w:val="24"/>
                <w:highlight w:val="none"/>
              </w:rPr>
            </w:pPr>
            <w:r>
              <w:rPr>
                <w:sz w:val="24"/>
                <w:highlight w:val="none"/>
              </w:rPr>
              <w:t>距离本项目最近的乡镇水源地为</w:t>
            </w:r>
            <w:r>
              <w:rPr>
                <w:rFonts w:hint="eastAsia"/>
                <w:sz w:val="24"/>
                <w:highlight w:val="none"/>
              </w:rPr>
              <w:t>盂县西潘乡集中供水水源地</w:t>
            </w:r>
            <w:r>
              <w:rPr>
                <w:sz w:val="24"/>
                <w:highlight w:val="none"/>
              </w:rPr>
              <w:t>，最近距离</w:t>
            </w:r>
            <w:r>
              <w:rPr>
                <w:rFonts w:hint="eastAsia"/>
                <w:sz w:val="24"/>
                <w:highlight w:val="none"/>
              </w:rPr>
              <w:t>约6.8</w:t>
            </w:r>
            <w:r>
              <w:rPr>
                <w:sz w:val="24"/>
                <w:highlight w:val="none"/>
              </w:rPr>
              <w:t>km。</w:t>
            </w:r>
            <w:r>
              <w:rPr>
                <w:rFonts w:hint="eastAsia"/>
                <w:sz w:val="24"/>
                <w:highlight w:val="none"/>
              </w:rPr>
              <w:t>盂县西潘乡集中供水水源地划分的一级保护区半径50m，</w:t>
            </w:r>
            <w:r>
              <w:rPr>
                <w:sz w:val="24"/>
                <w:highlight w:val="none"/>
              </w:rPr>
              <w:t>本项目不在</w:t>
            </w:r>
            <w:r>
              <w:rPr>
                <w:rFonts w:hint="eastAsia"/>
                <w:sz w:val="24"/>
                <w:highlight w:val="none"/>
              </w:rPr>
              <w:t>其</w:t>
            </w:r>
            <w:r>
              <w:rPr>
                <w:sz w:val="24"/>
                <w:highlight w:val="none"/>
              </w:rPr>
              <w:t>保护范围内</w:t>
            </w:r>
            <w:r>
              <w:rPr>
                <w:rFonts w:hint="eastAsia"/>
                <w:sz w:val="24"/>
                <w:highlight w:val="none"/>
              </w:rPr>
              <w:t>。且项目运营期无废水外排，因此，本项目不会对该水源地产生影响。</w:t>
            </w:r>
          </w:p>
          <w:p w14:paraId="7B170889">
            <w:pPr>
              <w:pStyle w:val="11"/>
              <w:pageBreakBefore w:val="0"/>
              <w:kinsoku/>
              <w:wordWrap/>
              <w:overflowPunct/>
              <w:topLinePunct w:val="0"/>
              <w:autoSpaceDE/>
              <w:autoSpaceDN/>
              <w:bidi w:val="0"/>
              <w:spacing w:before="0" w:after="0" w:line="480" w:lineRule="exact"/>
              <w:ind w:left="0" w:firstLine="482" w:firstLineChars="200"/>
              <w:textAlignment w:val="auto"/>
              <w:rPr>
                <w:color w:val="auto"/>
                <w:sz w:val="24"/>
                <w:szCs w:val="24"/>
              </w:rPr>
            </w:pPr>
            <w:r>
              <w:rPr>
                <w:color w:val="auto"/>
                <w:sz w:val="24"/>
                <w:szCs w:val="24"/>
              </w:rPr>
              <w:t>三、环境质量现状</w:t>
            </w:r>
          </w:p>
          <w:p w14:paraId="78BB7064">
            <w:pPr>
              <w:pStyle w:val="11"/>
              <w:pageBreakBefore w:val="0"/>
              <w:kinsoku/>
              <w:wordWrap/>
              <w:overflowPunct/>
              <w:topLinePunct w:val="0"/>
              <w:autoSpaceDE/>
              <w:autoSpaceDN/>
              <w:bidi w:val="0"/>
              <w:spacing w:before="0" w:after="0" w:line="480" w:lineRule="exact"/>
              <w:ind w:left="0" w:firstLine="482" w:firstLineChars="200"/>
              <w:textAlignment w:val="auto"/>
              <w:rPr>
                <w:color w:val="auto"/>
                <w:sz w:val="24"/>
                <w:szCs w:val="24"/>
                <w:lang w:val="zh-CN"/>
              </w:rPr>
            </w:pPr>
            <w:r>
              <w:rPr>
                <w:rFonts w:hint="eastAsia"/>
                <w:color w:val="auto"/>
                <w:sz w:val="24"/>
                <w:szCs w:val="24"/>
              </w:rPr>
              <w:t>1.</w:t>
            </w:r>
            <w:r>
              <w:rPr>
                <w:color w:val="auto"/>
                <w:sz w:val="24"/>
                <w:szCs w:val="24"/>
                <w:lang w:val="zh-CN"/>
              </w:rPr>
              <w:t>环境空气质量现状</w:t>
            </w:r>
          </w:p>
          <w:p w14:paraId="28C11382">
            <w:pPr>
              <w:pageBreakBefore w:val="0"/>
              <w:kinsoku/>
              <w:wordWrap/>
              <w:overflowPunct/>
              <w:topLinePunct w:val="0"/>
              <w:autoSpaceDE/>
              <w:autoSpaceDN/>
              <w:bidi w:val="0"/>
              <w:spacing w:line="480" w:lineRule="exact"/>
              <w:ind w:firstLine="480" w:firstLineChars="200"/>
              <w:textAlignment w:val="auto"/>
              <w:rPr>
                <w:bCs/>
                <w:sz w:val="24"/>
                <w:lang w:bidi="ar"/>
              </w:rPr>
            </w:pPr>
            <w:r>
              <w:rPr>
                <w:rFonts w:hint="eastAsia"/>
                <w:bCs/>
                <w:sz w:val="24"/>
                <w:lang w:val="zh-CN" w:bidi="ar"/>
              </w:rPr>
              <w:t>（</w:t>
            </w:r>
            <w:r>
              <w:rPr>
                <w:rFonts w:hint="eastAsia"/>
                <w:bCs/>
                <w:sz w:val="24"/>
                <w:lang w:bidi="ar"/>
              </w:rPr>
              <w:t>1</w:t>
            </w:r>
            <w:r>
              <w:rPr>
                <w:rFonts w:hint="eastAsia"/>
                <w:bCs/>
                <w:sz w:val="24"/>
                <w:lang w:val="zh-CN" w:bidi="ar"/>
              </w:rPr>
              <w:t>）</w:t>
            </w:r>
            <w:r>
              <w:rPr>
                <w:rFonts w:hint="eastAsia"/>
                <w:bCs/>
                <w:sz w:val="24"/>
                <w:lang w:bidi="ar"/>
              </w:rPr>
              <w:t>202</w:t>
            </w:r>
            <w:r>
              <w:rPr>
                <w:rFonts w:hint="eastAsia"/>
                <w:bCs/>
                <w:sz w:val="24"/>
                <w:lang w:val="en-US" w:eastAsia="zh-CN" w:bidi="ar"/>
              </w:rPr>
              <w:t>5</w:t>
            </w:r>
            <w:r>
              <w:rPr>
                <w:rFonts w:hint="eastAsia"/>
                <w:bCs/>
                <w:sz w:val="24"/>
                <w:lang w:bidi="ar"/>
              </w:rPr>
              <w:t>年度盂县环境空气质量常规监测数据</w:t>
            </w:r>
          </w:p>
          <w:p w14:paraId="715FB9DD">
            <w:pPr>
              <w:pageBreakBefore w:val="0"/>
              <w:kinsoku/>
              <w:wordWrap/>
              <w:overflowPunct/>
              <w:topLinePunct w:val="0"/>
              <w:autoSpaceDE/>
              <w:autoSpaceDN/>
              <w:bidi w:val="0"/>
              <w:spacing w:line="480" w:lineRule="exact"/>
              <w:ind w:firstLine="480" w:firstLineChars="200"/>
              <w:textAlignment w:val="auto"/>
              <w:rPr>
                <w:b/>
                <w:bCs/>
                <w:spacing w:val="4"/>
                <w:szCs w:val="21"/>
                <w:lang w:bidi="ar"/>
              </w:rPr>
            </w:pPr>
            <w:r>
              <w:rPr>
                <w:bCs/>
                <w:sz w:val="24"/>
                <w:lang w:bidi="ar"/>
              </w:rPr>
              <w:t>本次评价收集了</w:t>
            </w:r>
            <w:r>
              <w:rPr>
                <w:rFonts w:hint="eastAsia"/>
                <w:bCs/>
                <w:sz w:val="24"/>
                <w:lang w:bidi="ar"/>
              </w:rPr>
              <w:t>盂县</w:t>
            </w:r>
            <w:r>
              <w:rPr>
                <w:bCs/>
                <w:sz w:val="24"/>
                <w:lang w:bidi="ar"/>
              </w:rPr>
              <w:t>202</w:t>
            </w:r>
            <w:r>
              <w:rPr>
                <w:rFonts w:hint="eastAsia"/>
                <w:bCs/>
                <w:sz w:val="24"/>
                <w:lang w:val="en-US" w:eastAsia="zh-CN" w:bidi="ar"/>
              </w:rPr>
              <w:t>5</w:t>
            </w:r>
            <w:r>
              <w:rPr>
                <w:bCs/>
                <w:sz w:val="24"/>
                <w:lang w:bidi="ar"/>
              </w:rPr>
              <w:t>年环境空气例行监测数据，</w:t>
            </w:r>
            <w:r>
              <w:rPr>
                <w:rFonts w:hint="eastAsia"/>
                <w:bCs/>
                <w:sz w:val="24"/>
                <w:lang w:bidi="ar"/>
              </w:rPr>
              <w:t>详</w:t>
            </w:r>
            <w:r>
              <w:rPr>
                <w:bCs/>
                <w:sz w:val="24"/>
                <w:lang w:bidi="ar"/>
              </w:rPr>
              <w:t>见下表。</w:t>
            </w:r>
          </w:p>
          <w:p w14:paraId="1F3A8561">
            <w:pPr>
              <w:pStyle w:val="15"/>
              <w:pageBreakBefore w:val="0"/>
              <w:tabs>
                <w:tab w:val="left" w:pos="2340"/>
              </w:tabs>
              <w:kinsoku/>
              <w:wordWrap/>
              <w:overflowPunct/>
              <w:topLinePunct w:val="0"/>
              <w:autoSpaceDE/>
              <w:autoSpaceDN/>
              <w:bidi w:val="0"/>
              <w:spacing w:line="480" w:lineRule="exact"/>
              <w:textAlignment w:val="auto"/>
              <w:rPr>
                <w:rFonts w:eastAsia="宋体"/>
                <w:sz w:val="21"/>
                <w:szCs w:val="21"/>
              </w:rPr>
            </w:pPr>
            <w:r>
              <w:rPr>
                <w:rFonts w:eastAsia="宋体"/>
                <w:sz w:val="21"/>
                <w:szCs w:val="21"/>
                <w:lang w:bidi="ar"/>
              </w:rPr>
              <w:t>表3-4  盂县202</w:t>
            </w:r>
            <w:r>
              <w:rPr>
                <w:rFonts w:hint="eastAsia" w:eastAsia="宋体"/>
                <w:sz w:val="21"/>
                <w:szCs w:val="21"/>
                <w:lang w:val="en-US" w:eastAsia="zh-CN" w:bidi="ar"/>
              </w:rPr>
              <w:t>5</w:t>
            </w:r>
            <w:r>
              <w:rPr>
                <w:rFonts w:eastAsia="宋体"/>
                <w:sz w:val="21"/>
                <w:szCs w:val="21"/>
                <w:lang w:bidi="ar"/>
              </w:rPr>
              <w:t>年例行监测点环境空气质量监测结果一览表</w:t>
            </w:r>
          </w:p>
          <w:tbl>
            <w:tblPr>
              <w:tblStyle w:val="29"/>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26"/>
              <w:gridCol w:w="2875"/>
              <w:gridCol w:w="1168"/>
              <w:gridCol w:w="1544"/>
              <w:gridCol w:w="1249"/>
              <w:gridCol w:w="1226"/>
            </w:tblGrid>
            <w:tr w14:paraId="03676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4" w:type="pct"/>
                  <w:vAlign w:val="center"/>
                </w:tcPr>
                <w:p w14:paraId="604CDFEB">
                  <w:pPr>
                    <w:adjustRightInd w:val="0"/>
                    <w:snapToGrid w:val="0"/>
                    <w:jc w:val="center"/>
                    <w:rPr>
                      <w:szCs w:val="21"/>
                    </w:rPr>
                  </w:pPr>
                  <w:r>
                    <w:rPr>
                      <w:szCs w:val="21"/>
                      <w:lang w:bidi="ar"/>
                    </w:rPr>
                    <w:t>污染物</w:t>
                  </w:r>
                </w:p>
              </w:tc>
              <w:tc>
                <w:tcPr>
                  <w:tcW w:w="1581" w:type="pct"/>
                  <w:vAlign w:val="center"/>
                </w:tcPr>
                <w:p w14:paraId="4BBC3D8F">
                  <w:pPr>
                    <w:adjustRightInd w:val="0"/>
                    <w:snapToGrid w:val="0"/>
                    <w:jc w:val="center"/>
                    <w:rPr>
                      <w:szCs w:val="21"/>
                    </w:rPr>
                  </w:pPr>
                  <w:r>
                    <w:rPr>
                      <w:szCs w:val="21"/>
                      <w:lang w:bidi="ar"/>
                    </w:rPr>
                    <w:t>年评价指标</w:t>
                  </w:r>
                </w:p>
              </w:tc>
              <w:tc>
                <w:tcPr>
                  <w:tcW w:w="642" w:type="pct"/>
                  <w:vAlign w:val="center"/>
                </w:tcPr>
                <w:p w14:paraId="150A7CB8">
                  <w:pPr>
                    <w:adjustRightInd w:val="0"/>
                    <w:snapToGrid w:val="0"/>
                    <w:jc w:val="center"/>
                    <w:rPr>
                      <w:szCs w:val="21"/>
                    </w:rPr>
                  </w:pPr>
                  <w:r>
                    <w:rPr>
                      <w:szCs w:val="21"/>
                      <w:lang w:bidi="ar"/>
                    </w:rPr>
                    <w:t>年均浓度μg/m</w:t>
                  </w:r>
                  <w:r>
                    <w:rPr>
                      <w:szCs w:val="21"/>
                      <w:vertAlign w:val="superscript"/>
                      <w:lang w:bidi="ar"/>
                    </w:rPr>
                    <w:t>3</w:t>
                  </w:r>
                </w:p>
              </w:tc>
              <w:tc>
                <w:tcPr>
                  <w:tcW w:w="849" w:type="pct"/>
                  <w:vAlign w:val="center"/>
                </w:tcPr>
                <w:p w14:paraId="4B33C6F8">
                  <w:pPr>
                    <w:adjustRightInd w:val="0"/>
                    <w:snapToGrid w:val="0"/>
                    <w:jc w:val="center"/>
                    <w:rPr>
                      <w:szCs w:val="21"/>
                    </w:rPr>
                  </w:pPr>
                  <w:r>
                    <w:rPr>
                      <w:szCs w:val="21"/>
                      <w:lang w:bidi="ar"/>
                    </w:rPr>
                    <w:t>标准值μg/m</w:t>
                  </w:r>
                  <w:r>
                    <w:rPr>
                      <w:szCs w:val="21"/>
                      <w:vertAlign w:val="superscript"/>
                      <w:lang w:bidi="ar"/>
                    </w:rPr>
                    <w:t>3</w:t>
                  </w:r>
                </w:p>
              </w:tc>
              <w:tc>
                <w:tcPr>
                  <w:tcW w:w="687" w:type="pct"/>
                  <w:vAlign w:val="center"/>
                </w:tcPr>
                <w:p w14:paraId="4666FA78">
                  <w:pPr>
                    <w:adjustRightInd w:val="0"/>
                    <w:snapToGrid w:val="0"/>
                    <w:jc w:val="center"/>
                    <w:rPr>
                      <w:szCs w:val="21"/>
                    </w:rPr>
                  </w:pPr>
                  <w:r>
                    <w:rPr>
                      <w:szCs w:val="21"/>
                      <w:lang w:bidi="ar"/>
                    </w:rPr>
                    <w:t>占标率/%</w:t>
                  </w:r>
                </w:p>
              </w:tc>
              <w:tc>
                <w:tcPr>
                  <w:tcW w:w="674" w:type="pct"/>
                  <w:vAlign w:val="center"/>
                </w:tcPr>
                <w:p w14:paraId="4221E778">
                  <w:pPr>
                    <w:adjustRightInd w:val="0"/>
                    <w:snapToGrid w:val="0"/>
                    <w:jc w:val="center"/>
                    <w:rPr>
                      <w:szCs w:val="21"/>
                    </w:rPr>
                  </w:pPr>
                  <w:r>
                    <w:rPr>
                      <w:szCs w:val="21"/>
                      <w:lang w:bidi="ar"/>
                    </w:rPr>
                    <w:t>达标情况</w:t>
                  </w:r>
                </w:p>
              </w:tc>
            </w:tr>
            <w:tr w14:paraId="45941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4" w:type="pct"/>
                  <w:vAlign w:val="center"/>
                </w:tcPr>
                <w:p w14:paraId="46803531">
                  <w:pPr>
                    <w:adjustRightInd w:val="0"/>
                    <w:snapToGrid w:val="0"/>
                    <w:jc w:val="center"/>
                    <w:rPr>
                      <w:szCs w:val="21"/>
                    </w:rPr>
                  </w:pPr>
                  <w:r>
                    <w:rPr>
                      <w:szCs w:val="21"/>
                      <w:lang w:bidi="ar"/>
                    </w:rPr>
                    <w:t>SO</w:t>
                  </w:r>
                  <w:r>
                    <w:rPr>
                      <w:szCs w:val="21"/>
                      <w:vertAlign w:val="subscript"/>
                      <w:lang w:bidi="ar"/>
                    </w:rPr>
                    <w:t>2</w:t>
                  </w:r>
                </w:p>
              </w:tc>
              <w:tc>
                <w:tcPr>
                  <w:tcW w:w="1581" w:type="pct"/>
                  <w:vAlign w:val="center"/>
                </w:tcPr>
                <w:p w14:paraId="483BBC3F">
                  <w:pPr>
                    <w:adjustRightInd w:val="0"/>
                    <w:snapToGrid w:val="0"/>
                    <w:jc w:val="center"/>
                    <w:rPr>
                      <w:szCs w:val="21"/>
                    </w:rPr>
                  </w:pPr>
                  <w:r>
                    <w:rPr>
                      <w:szCs w:val="21"/>
                      <w:lang w:bidi="ar"/>
                    </w:rPr>
                    <w:t>年平均质量浓度</w:t>
                  </w:r>
                </w:p>
              </w:tc>
              <w:tc>
                <w:tcPr>
                  <w:tcW w:w="1168" w:type="dxa"/>
                  <w:vAlign w:val="center"/>
                </w:tcPr>
                <w:p w14:paraId="6FD74B54">
                  <w:pPr>
                    <w:adjustRightInd w:val="0"/>
                    <w:snapToGrid w:val="0"/>
                    <w:jc w:val="center"/>
                    <w:rPr>
                      <w:szCs w:val="21"/>
                    </w:rPr>
                  </w:pPr>
                  <w:r>
                    <w:rPr>
                      <w:rFonts w:hint="eastAsia" w:cs="宋体"/>
                      <w:kern w:val="0"/>
                      <w:szCs w:val="21"/>
                    </w:rPr>
                    <w:t>1</w:t>
                  </w:r>
                  <w:r>
                    <w:rPr>
                      <w:rFonts w:hint="eastAsia" w:cs="宋体"/>
                      <w:kern w:val="0"/>
                      <w:szCs w:val="21"/>
                      <w:lang w:val="en-US" w:eastAsia="zh-CN"/>
                    </w:rPr>
                    <w:t>7</w:t>
                  </w:r>
                </w:p>
              </w:tc>
              <w:tc>
                <w:tcPr>
                  <w:tcW w:w="1545" w:type="dxa"/>
                  <w:vAlign w:val="center"/>
                </w:tcPr>
                <w:p w14:paraId="25184844">
                  <w:pPr>
                    <w:adjustRightInd w:val="0"/>
                    <w:snapToGrid w:val="0"/>
                    <w:jc w:val="center"/>
                    <w:rPr>
                      <w:szCs w:val="21"/>
                    </w:rPr>
                  </w:pPr>
                  <w:r>
                    <w:rPr>
                      <w:szCs w:val="21"/>
                      <w:lang w:bidi="ar"/>
                    </w:rPr>
                    <w:t>60</w:t>
                  </w:r>
                </w:p>
              </w:tc>
              <w:tc>
                <w:tcPr>
                  <w:tcW w:w="1250" w:type="dxa"/>
                  <w:vAlign w:val="center"/>
                </w:tcPr>
                <w:p w14:paraId="50CD31E5">
                  <w:pPr>
                    <w:adjustRightInd w:val="0"/>
                    <w:snapToGrid w:val="0"/>
                    <w:jc w:val="center"/>
                    <w:rPr>
                      <w:szCs w:val="21"/>
                    </w:rPr>
                  </w:pPr>
                  <w:r>
                    <w:rPr>
                      <w:rFonts w:hint="eastAsia"/>
                      <w:szCs w:val="21"/>
                      <w:lang w:val="en-US" w:eastAsia="zh-CN"/>
                    </w:rPr>
                    <w:t>28.3</w:t>
                  </w:r>
                </w:p>
              </w:tc>
              <w:tc>
                <w:tcPr>
                  <w:tcW w:w="674" w:type="pct"/>
                  <w:vAlign w:val="center"/>
                </w:tcPr>
                <w:p w14:paraId="38169AB2">
                  <w:pPr>
                    <w:adjustRightInd w:val="0"/>
                    <w:snapToGrid w:val="0"/>
                    <w:jc w:val="center"/>
                    <w:rPr>
                      <w:szCs w:val="21"/>
                    </w:rPr>
                  </w:pPr>
                  <w:r>
                    <w:rPr>
                      <w:szCs w:val="21"/>
                      <w:lang w:bidi="ar"/>
                    </w:rPr>
                    <w:t>达标</w:t>
                  </w:r>
                </w:p>
              </w:tc>
            </w:tr>
            <w:tr w14:paraId="115A4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4" w:type="pct"/>
                  <w:vAlign w:val="center"/>
                </w:tcPr>
                <w:p w14:paraId="388B2277">
                  <w:pPr>
                    <w:adjustRightInd w:val="0"/>
                    <w:snapToGrid w:val="0"/>
                    <w:jc w:val="center"/>
                    <w:rPr>
                      <w:szCs w:val="21"/>
                    </w:rPr>
                  </w:pPr>
                  <w:r>
                    <w:rPr>
                      <w:szCs w:val="21"/>
                      <w:lang w:bidi="ar"/>
                    </w:rPr>
                    <w:t>NO</w:t>
                  </w:r>
                  <w:r>
                    <w:rPr>
                      <w:szCs w:val="21"/>
                      <w:vertAlign w:val="subscript"/>
                      <w:lang w:bidi="ar"/>
                    </w:rPr>
                    <w:t>2</w:t>
                  </w:r>
                </w:p>
              </w:tc>
              <w:tc>
                <w:tcPr>
                  <w:tcW w:w="1581" w:type="pct"/>
                  <w:vAlign w:val="center"/>
                </w:tcPr>
                <w:p w14:paraId="75F576D4">
                  <w:pPr>
                    <w:adjustRightInd w:val="0"/>
                    <w:snapToGrid w:val="0"/>
                    <w:jc w:val="center"/>
                    <w:rPr>
                      <w:szCs w:val="21"/>
                    </w:rPr>
                  </w:pPr>
                  <w:r>
                    <w:rPr>
                      <w:szCs w:val="21"/>
                      <w:lang w:bidi="ar"/>
                    </w:rPr>
                    <w:t>年平均质量浓度</w:t>
                  </w:r>
                </w:p>
              </w:tc>
              <w:tc>
                <w:tcPr>
                  <w:tcW w:w="1168" w:type="dxa"/>
                  <w:vAlign w:val="center"/>
                </w:tcPr>
                <w:p w14:paraId="5BD9FA01">
                  <w:pPr>
                    <w:adjustRightInd w:val="0"/>
                    <w:snapToGrid w:val="0"/>
                    <w:jc w:val="center"/>
                    <w:rPr>
                      <w:szCs w:val="21"/>
                    </w:rPr>
                  </w:pPr>
                  <w:r>
                    <w:rPr>
                      <w:rFonts w:hint="eastAsia" w:cs="宋体"/>
                      <w:kern w:val="0"/>
                      <w:szCs w:val="21"/>
                      <w:lang w:val="en-US" w:eastAsia="zh-CN"/>
                    </w:rPr>
                    <w:t>26</w:t>
                  </w:r>
                </w:p>
              </w:tc>
              <w:tc>
                <w:tcPr>
                  <w:tcW w:w="1545" w:type="dxa"/>
                  <w:vAlign w:val="center"/>
                </w:tcPr>
                <w:p w14:paraId="655C3FF3">
                  <w:pPr>
                    <w:adjustRightInd w:val="0"/>
                    <w:snapToGrid w:val="0"/>
                    <w:jc w:val="center"/>
                    <w:rPr>
                      <w:szCs w:val="21"/>
                    </w:rPr>
                  </w:pPr>
                  <w:r>
                    <w:rPr>
                      <w:szCs w:val="21"/>
                      <w:lang w:bidi="ar"/>
                    </w:rPr>
                    <w:t>40</w:t>
                  </w:r>
                </w:p>
              </w:tc>
              <w:tc>
                <w:tcPr>
                  <w:tcW w:w="1250" w:type="dxa"/>
                  <w:vAlign w:val="center"/>
                </w:tcPr>
                <w:p w14:paraId="276E67F8">
                  <w:pPr>
                    <w:adjustRightInd w:val="0"/>
                    <w:snapToGrid w:val="0"/>
                    <w:jc w:val="center"/>
                    <w:rPr>
                      <w:szCs w:val="21"/>
                    </w:rPr>
                  </w:pPr>
                  <w:r>
                    <w:rPr>
                      <w:rFonts w:hint="eastAsia"/>
                      <w:szCs w:val="21"/>
                      <w:lang w:val="en-US" w:eastAsia="zh-CN"/>
                    </w:rPr>
                    <w:t>65.0</w:t>
                  </w:r>
                </w:p>
              </w:tc>
              <w:tc>
                <w:tcPr>
                  <w:tcW w:w="674" w:type="pct"/>
                  <w:vAlign w:val="center"/>
                </w:tcPr>
                <w:p w14:paraId="047FD39A">
                  <w:pPr>
                    <w:adjustRightInd w:val="0"/>
                    <w:snapToGrid w:val="0"/>
                    <w:jc w:val="center"/>
                    <w:rPr>
                      <w:szCs w:val="21"/>
                    </w:rPr>
                  </w:pPr>
                  <w:r>
                    <w:rPr>
                      <w:szCs w:val="21"/>
                      <w:lang w:bidi="ar"/>
                    </w:rPr>
                    <w:t>达标</w:t>
                  </w:r>
                </w:p>
              </w:tc>
            </w:tr>
            <w:tr w14:paraId="03345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4" w:type="pct"/>
                  <w:vAlign w:val="center"/>
                </w:tcPr>
                <w:p w14:paraId="7E51CE3E">
                  <w:pPr>
                    <w:adjustRightInd w:val="0"/>
                    <w:snapToGrid w:val="0"/>
                    <w:jc w:val="center"/>
                    <w:rPr>
                      <w:szCs w:val="21"/>
                    </w:rPr>
                  </w:pPr>
                  <w:r>
                    <w:rPr>
                      <w:szCs w:val="21"/>
                      <w:lang w:bidi="ar"/>
                    </w:rPr>
                    <w:t>PM</w:t>
                  </w:r>
                  <w:r>
                    <w:rPr>
                      <w:szCs w:val="21"/>
                      <w:vertAlign w:val="subscript"/>
                      <w:lang w:bidi="ar"/>
                    </w:rPr>
                    <w:t>10</w:t>
                  </w:r>
                </w:p>
              </w:tc>
              <w:tc>
                <w:tcPr>
                  <w:tcW w:w="1581" w:type="pct"/>
                  <w:vAlign w:val="center"/>
                </w:tcPr>
                <w:p w14:paraId="1EBAD729">
                  <w:pPr>
                    <w:adjustRightInd w:val="0"/>
                    <w:snapToGrid w:val="0"/>
                    <w:jc w:val="center"/>
                    <w:rPr>
                      <w:szCs w:val="21"/>
                    </w:rPr>
                  </w:pPr>
                  <w:r>
                    <w:rPr>
                      <w:szCs w:val="21"/>
                      <w:lang w:bidi="ar"/>
                    </w:rPr>
                    <w:t>年平均质量浓度</w:t>
                  </w:r>
                </w:p>
              </w:tc>
              <w:tc>
                <w:tcPr>
                  <w:tcW w:w="1168" w:type="dxa"/>
                  <w:vAlign w:val="center"/>
                </w:tcPr>
                <w:p w14:paraId="19F495F5">
                  <w:pPr>
                    <w:adjustRightInd w:val="0"/>
                    <w:snapToGrid w:val="0"/>
                    <w:jc w:val="center"/>
                    <w:rPr>
                      <w:szCs w:val="21"/>
                    </w:rPr>
                  </w:pPr>
                  <w:r>
                    <w:rPr>
                      <w:rFonts w:hint="eastAsia" w:cs="宋体"/>
                      <w:kern w:val="0"/>
                      <w:szCs w:val="21"/>
                      <w:lang w:val="en-US" w:eastAsia="zh-CN"/>
                    </w:rPr>
                    <w:t>66</w:t>
                  </w:r>
                </w:p>
              </w:tc>
              <w:tc>
                <w:tcPr>
                  <w:tcW w:w="1545" w:type="dxa"/>
                  <w:vAlign w:val="center"/>
                </w:tcPr>
                <w:p w14:paraId="2FA57BA6">
                  <w:pPr>
                    <w:adjustRightInd w:val="0"/>
                    <w:snapToGrid w:val="0"/>
                    <w:jc w:val="center"/>
                    <w:rPr>
                      <w:rFonts w:hint="default"/>
                      <w:szCs w:val="21"/>
                      <w:lang w:val="en-US"/>
                    </w:rPr>
                  </w:pPr>
                  <w:r>
                    <w:rPr>
                      <w:rFonts w:hint="eastAsia"/>
                      <w:szCs w:val="21"/>
                      <w:lang w:val="en-US" w:eastAsia="zh-CN" w:bidi="ar"/>
                    </w:rPr>
                    <w:t>70</w:t>
                  </w:r>
                </w:p>
              </w:tc>
              <w:tc>
                <w:tcPr>
                  <w:tcW w:w="1250" w:type="dxa"/>
                  <w:vAlign w:val="center"/>
                </w:tcPr>
                <w:p w14:paraId="762ED6D1">
                  <w:pPr>
                    <w:adjustRightInd w:val="0"/>
                    <w:snapToGrid w:val="0"/>
                    <w:jc w:val="center"/>
                    <w:rPr>
                      <w:rFonts w:hint="default"/>
                      <w:szCs w:val="21"/>
                      <w:lang w:val="en-US"/>
                    </w:rPr>
                  </w:pPr>
                  <w:r>
                    <w:rPr>
                      <w:rFonts w:hint="eastAsia"/>
                      <w:szCs w:val="21"/>
                      <w:lang w:val="en-US" w:eastAsia="zh-CN"/>
                    </w:rPr>
                    <w:t>94.3</w:t>
                  </w:r>
                </w:p>
              </w:tc>
              <w:tc>
                <w:tcPr>
                  <w:tcW w:w="674" w:type="pct"/>
                  <w:vAlign w:val="center"/>
                </w:tcPr>
                <w:p w14:paraId="2A9A0E5B">
                  <w:pPr>
                    <w:adjustRightInd w:val="0"/>
                    <w:snapToGrid w:val="0"/>
                    <w:jc w:val="center"/>
                    <w:rPr>
                      <w:szCs w:val="21"/>
                    </w:rPr>
                  </w:pPr>
                  <w:r>
                    <w:rPr>
                      <w:szCs w:val="21"/>
                      <w:lang w:bidi="ar"/>
                    </w:rPr>
                    <w:t>达标</w:t>
                  </w:r>
                </w:p>
              </w:tc>
            </w:tr>
            <w:tr w14:paraId="5E061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4" w:type="pct"/>
                  <w:vAlign w:val="center"/>
                </w:tcPr>
                <w:p w14:paraId="3A549700">
                  <w:pPr>
                    <w:adjustRightInd w:val="0"/>
                    <w:snapToGrid w:val="0"/>
                    <w:jc w:val="center"/>
                    <w:rPr>
                      <w:szCs w:val="21"/>
                    </w:rPr>
                  </w:pPr>
                  <w:r>
                    <w:rPr>
                      <w:szCs w:val="21"/>
                      <w:lang w:bidi="ar"/>
                    </w:rPr>
                    <w:t>PM</w:t>
                  </w:r>
                  <w:r>
                    <w:rPr>
                      <w:szCs w:val="21"/>
                      <w:vertAlign w:val="subscript"/>
                      <w:lang w:bidi="ar"/>
                    </w:rPr>
                    <w:t>2.5</w:t>
                  </w:r>
                </w:p>
              </w:tc>
              <w:tc>
                <w:tcPr>
                  <w:tcW w:w="1581" w:type="pct"/>
                  <w:vAlign w:val="center"/>
                </w:tcPr>
                <w:p w14:paraId="5330731D">
                  <w:pPr>
                    <w:adjustRightInd w:val="0"/>
                    <w:snapToGrid w:val="0"/>
                    <w:jc w:val="center"/>
                    <w:rPr>
                      <w:szCs w:val="21"/>
                    </w:rPr>
                  </w:pPr>
                  <w:r>
                    <w:rPr>
                      <w:szCs w:val="21"/>
                      <w:lang w:bidi="ar"/>
                    </w:rPr>
                    <w:t>年平均质量浓度</w:t>
                  </w:r>
                </w:p>
              </w:tc>
              <w:tc>
                <w:tcPr>
                  <w:tcW w:w="1168" w:type="dxa"/>
                  <w:vAlign w:val="center"/>
                </w:tcPr>
                <w:p w14:paraId="23708ED1">
                  <w:pPr>
                    <w:adjustRightInd w:val="0"/>
                    <w:snapToGrid w:val="0"/>
                    <w:jc w:val="center"/>
                    <w:rPr>
                      <w:szCs w:val="21"/>
                    </w:rPr>
                  </w:pPr>
                  <w:r>
                    <w:rPr>
                      <w:rFonts w:hint="eastAsia" w:cs="宋体"/>
                      <w:kern w:val="0"/>
                      <w:szCs w:val="21"/>
                      <w:lang w:val="en-US" w:eastAsia="zh-CN"/>
                    </w:rPr>
                    <w:t>27</w:t>
                  </w:r>
                </w:p>
              </w:tc>
              <w:tc>
                <w:tcPr>
                  <w:tcW w:w="1545" w:type="dxa"/>
                  <w:vAlign w:val="center"/>
                </w:tcPr>
                <w:p w14:paraId="16016C71">
                  <w:pPr>
                    <w:adjustRightInd w:val="0"/>
                    <w:snapToGrid w:val="0"/>
                    <w:jc w:val="center"/>
                    <w:rPr>
                      <w:rFonts w:hint="default" w:eastAsia="宋体"/>
                      <w:szCs w:val="21"/>
                      <w:lang w:val="en-US" w:eastAsia="zh-CN"/>
                    </w:rPr>
                  </w:pPr>
                  <w:r>
                    <w:rPr>
                      <w:rFonts w:hint="eastAsia"/>
                      <w:szCs w:val="21"/>
                      <w:lang w:val="en-US" w:eastAsia="zh-CN" w:bidi="ar"/>
                    </w:rPr>
                    <w:t>35</w:t>
                  </w:r>
                </w:p>
              </w:tc>
              <w:tc>
                <w:tcPr>
                  <w:tcW w:w="1250" w:type="dxa"/>
                  <w:vAlign w:val="center"/>
                </w:tcPr>
                <w:p w14:paraId="18F1C324">
                  <w:pPr>
                    <w:adjustRightInd w:val="0"/>
                    <w:snapToGrid w:val="0"/>
                    <w:jc w:val="center"/>
                    <w:rPr>
                      <w:rFonts w:hint="default"/>
                      <w:szCs w:val="21"/>
                      <w:lang w:val="en-US"/>
                    </w:rPr>
                  </w:pPr>
                  <w:r>
                    <w:rPr>
                      <w:rFonts w:hint="eastAsia"/>
                      <w:szCs w:val="21"/>
                      <w:lang w:val="en-US" w:eastAsia="zh-CN"/>
                    </w:rPr>
                    <w:t>77.1</w:t>
                  </w:r>
                </w:p>
              </w:tc>
              <w:tc>
                <w:tcPr>
                  <w:tcW w:w="674" w:type="pct"/>
                  <w:vAlign w:val="center"/>
                </w:tcPr>
                <w:p w14:paraId="2B4036DD">
                  <w:pPr>
                    <w:adjustRightInd w:val="0"/>
                    <w:snapToGrid w:val="0"/>
                    <w:jc w:val="center"/>
                    <w:rPr>
                      <w:szCs w:val="21"/>
                    </w:rPr>
                  </w:pPr>
                  <w:r>
                    <w:rPr>
                      <w:szCs w:val="21"/>
                      <w:lang w:bidi="ar"/>
                    </w:rPr>
                    <w:t>达标</w:t>
                  </w:r>
                </w:p>
              </w:tc>
            </w:tr>
            <w:tr w14:paraId="71C75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4" w:type="pct"/>
                  <w:vAlign w:val="center"/>
                </w:tcPr>
                <w:p w14:paraId="53CF6F84">
                  <w:pPr>
                    <w:adjustRightInd w:val="0"/>
                    <w:snapToGrid w:val="0"/>
                    <w:jc w:val="center"/>
                    <w:rPr>
                      <w:szCs w:val="21"/>
                    </w:rPr>
                  </w:pPr>
                  <w:r>
                    <w:rPr>
                      <w:szCs w:val="21"/>
                      <w:lang w:bidi="ar"/>
                    </w:rPr>
                    <w:t>CO</w:t>
                  </w:r>
                </w:p>
              </w:tc>
              <w:tc>
                <w:tcPr>
                  <w:tcW w:w="1581" w:type="pct"/>
                  <w:vAlign w:val="center"/>
                </w:tcPr>
                <w:p w14:paraId="66CFFE36">
                  <w:pPr>
                    <w:snapToGrid w:val="0"/>
                    <w:jc w:val="center"/>
                    <w:rPr>
                      <w:szCs w:val="21"/>
                    </w:rPr>
                  </w:pPr>
                  <w:r>
                    <w:rPr>
                      <w:szCs w:val="21"/>
                      <w:lang w:bidi="ar"/>
                    </w:rPr>
                    <w:t>百分位数日平均质量浓度</w:t>
                  </w:r>
                </w:p>
              </w:tc>
              <w:tc>
                <w:tcPr>
                  <w:tcW w:w="1168" w:type="dxa"/>
                  <w:vAlign w:val="center"/>
                </w:tcPr>
                <w:p w14:paraId="356D38FC">
                  <w:pPr>
                    <w:adjustRightInd w:val="0"/>
                    <w:snapToGrid w:val="0"/>
                    <w:jc w:val="center"/>
                    <w:rPr>
                      <w:szCs w:val="21"/>
                    </w:rPr>
                  </w:pPr>
                  <w:r>
                    <w:rPr>
                      <w:rFonts w:hint="eastAsia"/>
                      <w:szCs w:val="21"/>
                    </w:rPr>
                    <w:t>1</w:t>
                  </w:r>
                  <w:r>
                    <w:rPr>
                      <w:rFonts w:hint="eastAsia"/>
                      <w:szCs w:val="21"/>
                      <w:lang w:val="en-US" w:eastAsia="zh-CN"/>
                    </w:rPr>
                    <w:t>2</w:t>
                  </w:r>
                  <w:r>
                    <w:rPr>
                      <w:rFonts w:hint="eastAsia"/>
                      <w:szCs w:val="21"/>
                    </w:rPr>
                    <w:t>00</w:t>
                  </w:r>
                </w:p>
              </w:tc>
              <w:tc>
                <w:tcPr>
                  <w:tcW w:w="1545" w:type="dxa"/>
                  <w:vAlign w:val="center"/>
                </w:tcPr>
                <w:p w14:paraId="2EE6D5CC">
                  <w:pPr>
                    <w:adjustRightInd w:val="0"/>
                    <w:snapToGrid w:val="0"/>
                    <w:jc w:val="center"/>
                    <w:rPr>
                      <w:szCs w:val="21"/>
                    </w:rPr>
                  </w:pPr>
                  <w:r>
                    <w:rPr>
                      <w:szCs w:val="21"/>
                      <w:lang w:bidi="ar"/>
                    </w:rPr>
                    <w:t>4000</w:t>
                  </w:r>
                </w:p>
              </w:tc>
              <w:tc>
                <w:tcPr>
                  <w:tcW w:w="1250" w:type="dxa"/>
                  <w:vAlign w:val="center"/>
                </w:tcPr>
                <w:p w14:paraId="798D0D1A">
                  <w:pPr>
                    <w:adjustRightInd w:val="0"/>
                    <w:snapToGrid w:val="0"/>
                    <w:jc w:val="center"/>
                    <w:rPr>
                      <w:szCs w:val="21"/>
                    </w:rPr>
                  </w:pPr>
                  <w:r>
                    <w:rPr>
                      <w:rFonts w:hint="eastAsia"/>
                      <w:szCs w:val="21"/>
                    </w:rPr>
                    <w:t>3</w:t>
                  </w:r>
                  <w:r>
                    <w:rPr>
                      <w:rFonts w:hint="eastAsia"/>
                      <w:szCs w:val="21"/>
                      <w:lang w:val="en-US" w:eastAsia="zh-CN"/>
                    </w:rPr>
                    <w:t>0.0</w:t>
                  </w:r>
                </w:p>
              </w:tc>
              <w:tc>
                <w:tcPr>
                  <w:tcW w:w="674" w:type="pct"/>
                  <w:vAlign w:val="center"/>
                </w:tcPr>
                <w:p w14:paraId="7A0258F3">
                  <w:pPr>
                    <w:adjustRightInd w:val="0"/>
                    <w:snapToGrid w:val="0"/>
                    <w:jc w:val="center"/>
                    <w:rPr>
                      <w:szCs w:val="21"/>
                    </w:rPr>
                  </w:pPr>
                  <w:r>
                    <w:rPr>
                      <w:szCs w:val="21"/>
                      <w:lang w:bidi="ar"/>
                    </w:rPr>
                    <w:t>达标</w:t>
                  </w:r>
                </w:p>
              </w:tc>
            </w:tr>
            <w:tr w14:paraId="2F31E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4" w:type="pct"/>
                  <w:vAlign w:val="center"/>
                </w:tcPr>
                <w:p w14:paraId="194710FE">
                  <w:pPr>
                    <w:adjustRightInd w:val="0"/>
                    <w:snapToGrid w:val="0"/>
                    <w:jc w:val="center"/>
                    <w:rPr>
                      <w:szCs w:val="21"/>
                    </w:rPr>
                  </w:pPr>
                  <w:r>
                    <w:rPr>
                      <w:szCs w:val="21"/>
                      <w:lang w:bidi="ar"/>
                    </w:rPr>
                    <w:t>O</w:t>
                  </w:r>
                  <w:r>
                    <w:rPr>
                      <w:szCs w:val="21"/>
                      <w:vertAlign w:val="subscript"/>
                      <w:lang w:bidi="ar"/>
                    </w:rPr>
                    <w:t>3</w:t>
                  </w:r>
                </w:p>
              </w:tc>
              <w:tc>
                <w:tcPr>
                  <w:tcW w:w="1581" w:type="pct"/>
                  <w:vAlign w:val="center"/>
                </w:tcPr>
                <w:p w14:paraId="401C7EA1">
                  <w:pPr>
                    <w:adjustRightInd w:val="0"/>
                    <w:snapToGrid w:val="0"/>
                    <w:jc w:val="center"/>
                    <w:rPr>
                      <w:szCs w:val="21"/>
                    </w:rPr>
                  </w:pPr>
                  <w:r>
                    <w:rPr>
                      <w:szCs w:val="21"/>
                      <w:lang w:bidi="ar"/>
                    </w:rPr>
                    <w:t>百分位数8h平均质量浓度</w:t>
                  </w:r>
                </w:p>
              </w:tc>
              <w:tc>
                <w:tcPr>
                  <w:tcW w:w="1168" w:type="dxa"/>
                  <w:vAlign w:val="center"/>
                </w:tcPr>
                <w:p w14:paraId="1B52FD2F">
                  <w:pPr>
                    <w:adjustRightInd w:val="0"/>
                    <w:snapToGrid w:val="0"/>
                    <w:jc w:val="center"/>
                    <w:rPr>
                      <w:szCs w:val="21"/>
                    </w:rPr>
                  </w:pPr>
                  <w:r>
                    <w:rPr>
                      <w:rFonts w:hint="eastAsia"/>
                      <w:szCs w:val="21"/>
                    </w:rPr>
                    <w:t>1</w:t>
                  </w:r>
                  <w:r>
                    <w:rPr>
                      <w:rFonts w:hint="eastAsia"/>
                      <w:szCs w:val="21"/>
                      <w:lang w:val="en-US" w:eastAsia="zh-CN"/>
                    </w:rPr>
                    <w:t>55</w:t>
                  </w:r>
                </w:p>
              </w:tc>
              <w:tc>
                <w:tcPr>
                  <w:tcW w:w="1545" w:type="dxa"/>
                  <w:vAlign w:val="center"/>
                </w:tcPr>
                <w:p w14:paraId="6C633574">
                  <w:pPr>
                    <w:adjustRightInd w:val="0"/>
                    <w:snapToGrid w:val="0"/>
                    <w:jc w:val="center"/>
                    <w:rPr>
                      <w:szCs w:val="21"/>
                    </w:rPr>
                  </w:pPr>
                  <w:r>
                    <w:rPr>
                      <w:szCs w:val="21"/>
                      <w:lang w:bidi="ar"/>
                    </w:rPr>
                    <w:t>160</w:t>
                  </w:r>
                </w:p>
              </w:tc>
              <w:tc>
                <w:tcPr>
                  <w:tcW w:w="1250" w:type="dxa"/>
                  <w:vAlign w:val="center"/>
                </w:tcPr>
                <w:p w14:paraId="2102CE71">
                  <w:pPr>
                    <w:adjustRightInd w:val="0"/>
                    <w:snapToGrid w:val="0"/>
                    <w:jc w:val="center"/>
                    <w:rPr>
                      <w:szCs w:val="21"/>
                    </w:rPr>
                  </w:pPr>
                  <w:r>
                    <w:rPr>
                      <w:rFonts w:hint="eastAsia"/>
                      <w:szCs w:val="21"/>
                      <w:lang w:val="en-US" w:eastAsia="zh-CN"/>
                    </w:rPr>
                    <w:t>96.9</w:t>
                  </w:r>
                </w:p>
              </w:tc>
              <w:tc>
                <w:tcPr>
                  <w:tcW w:w="674" w:type="pct"/>
                  <w:vAlign w:val="center"/>
                </w:tcPr>
                <w:p w14:paraId="53083332">
                  <w:pPr>
                    <w:adjustRightInd w:val="0"/>
                    <w:snapToGrid w:val="0"/>
                    <w:jc w:val="center"/>
                    <w:rPr>
                      <w:szCs w:val="21"/>
                    </w:rPr>
                  </w:pPr>
                  <w:r>
                    <w:rPr>
                      <w:szCs w:val="21"/>
                      <w:lang w:bidi="ar"/>
                    </w:rPr>
                    <w:t>达标</w:t>
                  </w:r>
                </w:p>
              </w:tc>
            </w:tr>
          </w:tbl>
          <w:p w14:paraId="5B53EFB7">
            <w:pPr>
              <w:spacing w:line="480" w:lineRule="exact"/>
              <w:ind w:firstLine="480" w:firstLineChars="200"/>
              <w:rPr>
                <w:rFonts w:cs="宋体"/>
                <w:kern w:val="0"/>
                <w:sz w:val="24"/>
              </w:rPr>
            </w:pPr>
            <w:r>
              <w:rPr>
                <w:rFonts w:hint="eastAsia" w:cs="宋体"/>
                <w:kern w:val="0"/>
                <w:sz w:val="24"/>
              </w:rPr>
              <w:t>202</w:t>
            </w:r>
            <w:r>
              <w:rPr>
                <w:rFonts w:hint="eastAsia" w:cs="宋体"/>
                <w:kern w:val="0"/>
                <w:sz w:val="24"/>
                <w:lang w:val="en-US" w:eastAsia="zh-CN"/>
              </w:rPr>
              <w:t>5</w:t>
            </w:r>
            <w:r>
              <w:rPr>
                <w:rFonts w:hint="eastAsia" w:ascii="宋体" w:hAnsi="宋体" w:cs="宋体"/>
                <w:kern w:val="0"/>
                <w:sz w:val="24"/>
              </w:rPr>
              <w:t>年度阳泉市盂县</w:t>
            </w:r>
            <w:r>
              <w:rPr>
                <w:rFonts w:hint="eastAsia" w:cs="宋体"/>
                <w:kern w:val="0"/>
                <w:sz w:val="24"/>
              </w:rPr>
              <w:t>PM</w:t>
            </w:r>
            <w:r>
              <w:rPr>
                <w:rFonts w:hint="eastAsia" w:cs="宋体"/>
                <w:kern w:val="0"/>
                <w:sz w:val="24"/>
                <w:vertAlign w:val="subscript"/>
              </w:rPr>
              <w:t>2.5</w:t>
            </w:r>
            <w:r>
              <w:rPr>
                <w:rFonts w:hint="eastAsia" w:cs="宋体"/>
                <w:kern w:val="0"/>
                <w:sz w:val="24"/>
              </w:rPr>
              <w:t>、PM</w:t>
            </w:r>
            <w:r>
              <w:rPr>
                <w:rFonts w:hint="eastAsia" w:cs="宋体"/>
                <w:kern w:val="0"/>
                <w:sz w:val="24"/>
                <w:vertAlign w:val="subscript"/>
              </w:rPr>
              <w:t>10</w:t>
            </w:r>
            <w:r>
              <w:rPr>
                <w:rFonts w:hint="eastAsia" w:cs="宋体"/>
                <w:kern w:val="0"/>
                <w:sz w:val="24"/>
                <w:vertAlign w:val="baseline"/>
                <w:lang w:eastAsia="zh-CN"/>
              </w:rPr>
              <w:t>、</w:t>
            </w:r>
            <w:r>
              <w:rPr>
                <w:rFonts w:hint="eastAsia" w:cs="宋体"/>
                <w:kern w:val="0"/>
                <w:sz w:val="24"/>
              </w:rPr>
              <w:t>SO</w:t>
            </w:r>
            <w:r>
              <w:rPr>
                <w:rFonts w:hint="eastAsia" w:cs="宋体"/>
                <w:kern w:val="0"/>
                <w:sz w:val="24"/>
                <w:vertAlign w:val="subscript"/>
              </w:rPr>
              <w:t>2</w:t>
            </w:r>
            <w:r>
              <w:rPr>
                <w:rFonts w:hint="eastAsia" w:cs="宋体"/>
                <w:kern w:val="0"/>
                <w:sz w:val="24"/>
              </w:rPr>
              <w:t>、NO</w:t>
            </w:r>
            <w:r>
              <w:rPr>
                <w:rFonts w:hint="eastAsia" w:cs="宋体"/>
                <w:kern w:val="0"/>
                <w:sz w:val="24"/>
                <w:vertAlign w:val="subscript"/>
              </w:rPr>
              <w:t>2</w:t>
            </w:r>
            <w:r>
              <w:rPr>
                <w:rFonts w:hint="eastAsia" w:cs="宋体"/>
                <w:kern w:val="0"/>
                <w:sz w:val="24"/>
              </w:rPr>
              <w:t>、CO、O</w:t>
            </w:r>
            <w:r>
              <w:rPr>
                <w:rFonts w:hint="eastAsia" w:cs="宋体"/>
                <w:kern w:val="0"/>
                <w:sz w:val="24"/>
                <w:vertAlign w:val="subscript"/>
              </w:rPr>
              <w:t>3</w:t>
            </w:r>
            <w:r>
              <w:rPr>
                <w:rFonts w:hint="eastAsia" w:ascii="宋体" w:hAnsi="宋体" w:cs="宋体"/>
                <w:kern w:val="0"/>
                <w:sz w:val="24"/>
              </w:rPr>
              <w:t>-</w:t>
            </w:r>
            <w:r>
              <w:rPr>
                <w:rFonts w:hint="eastAsia" w:cs="宋体"/>
                <w:kern w:val="0"/>
                <w:sz w:val="24"/>
              </w:rPr>
              <w:t>8均满足</w:t>
            </w:r>
            <w:r>
              <w:rPr>
                <w:rFonts w:hint="eastAsia" w:ascii="Times New Roman" w:hAnsi="Times New Roman" w:cs="Times New Roman"/>
                <w:bCs/>
                <w:color w:val="auto"/>
                <w:spacing w:val="4"/>
                <w:sz w:val="24"/>
                <w:highlight w:val="none"/>
                <w:lang w:eastAsia="zh-CN"/>
              </w:rPr>
              <w:t>《环境空气质量标准》（GB3095-2012）</w:t>
            </w:r>
            <w:r>
              <w:rPr>
                <w:rFonts w:hint="eastAsia" w:ascii="Times New Roman" w:hAnsi="Times New Roman" w:cs="Times New Roman"/>
                <w:bCs/>
                <w:color w:val="auto"/>
                <w:spacing w:val="4"/>
                <w:sz w:val="24"/>
                <w:highlight w:val="none"/>
                <w:lang w:val="en-US" w:eastAsia="zh-CN"/>
              </w:rPr>
              <w:t>表1中</w:t>
            </w:r>
            <w:r>
              <w:rPr>
                <w:rFonts w:hint="eastAsia" w:ascii="Times New Roman" w:hAnsi="Times New Roman" w:cs="Times New Roman"/>
                <w:bCs/>
                <w:color w:val="auto"/>
                <w:spacing w:val="4"/>
                <w:sz w:val="24"/>
                <w:highlight w:val="none"/>
                <w:lang w:eastAsia="zh-CN"/>
              </w:rPr>
              <w:t>二级标准</w:t>
            </w:r>
            <w:r>
              <w:rPr>
                <w:rFonts w:hint="eastAsia" w:cs="宋体"/>
                <w:kern w:val="0"/>
                <w:sz w:val="24"/>
              </w:rPr>
              <w:t>，说明</w:t>
            </w:r>
            <w:r>
              <w:rPr>
                <w:rFonts w:hint="eastAsia" w:cs="宋体"/>
                <w:kern w:val="0"/>
                <w:sz w:val="24"/>
                <w:lang w:val="en-US" w:eastAsia="zh-CN"/>
              </w:rPr>
              <w:t>项目所在区</w:t>
            </w:r>
            <w:r>
              <w:rPr>
                <w:rFonts w:hint="eastAsia" w:cs="宋体"/>
                <w:kern w:val="0"/>
                <w:sz w:val="24"/>
              </w:rPr>
              <w:t>为达标区。</w:t>
            </w:r>
          </w:p>
          <w:p w14:paraId="0227D18B">
            <w:pPr>
              <w:spacing w:line="480" w:lineRule="exact"/>
              <w:ind w:firstLine="480" w:firstLineChars="200"/>
              <w:rPr>
                <w:bCs/>
                <w:sz w:val="24"/>
                <w:lang w:bidi="ar"/>
              </w:rPr>
            </w:pPr>
            <w:r>
              <w:rPr>
                <w:rFonts w:hint="eastAsia"/>
                <w:bCs/>
                <w:sz w:val="24"/>
                <w:lang w:bidi="ar"/>
              </w:rPr>
              <w:t>（2）其他污染物环境质量现状：</w:t>
            </w:r>
          </w:p>
          <w:p w14:paraId="12CAB144">
            <w:pPr>
              <w:spacing w:line="480" w:lineRule="exact"/>
              <w:ind w:firstLine="480" w:firstLineChars="200"/>
              <w:rPr>
                <w:szCs w:val="21"/>
                <w:lang w:bidi="ar"/>
              </w:rPr>
            </w:pPr>
            <w:r>
              <w:rPr>
                <w:sz w:val="24"/>
              </w:rPr>
              <w:t>本次评价</w:t>
            </w:r>
            <w:r>
              <w:rPr>
                <w:rFonts w:hint="eastAsia"/>
                <w:sz w:val="24"/>
              </w:rPr>
              <w:t>TSP引用“盂县西潘宋庄红花沟石料厂年开采2万立方米饰面用花岗岩露天开采改扩建项目”中TSP的现状监测结果，监测时间2024年11月25日-11月27日，监测点位：盂县西潘宋庄红花沟石料厂石料加工生产线厂界下风向，监测点位于本项目东侧约</w:t>
            </w:r>
            <w:r>
              <w:rPr>
                <w:sz w:val="24"/>
              </w:rPr>
              <w:t>1.0</w:t>
            </w:r>
            <w:r>
              <w:rPr>
                <w:rFonts w:hint="eastAsia"/>
                <w:sz w:val="24"/>
              </w:rPr>
              <w:t>km处。引用监测数据符合《建设项目环境影响报告表编制技术指南（污染影响类）（试行）》中“引用建设项目周边5千米范围内近3年的现有监测数据”的要求。监测结果见下表。</w:t>
            </w:r>
          </w:p>
          <w:p w14:paraId="5A6C80C7">
            <w:pPr>
              <w:pStyle w:val="15"/>
              <w:spacing w:line="480" w:lineRule="exact"/>
              <w:rPr>
                <w:rFonts w:eastAsia="宋体"/>
                <w:sz w:val="21"/>
                <w:szCs w:val="21"/>
              </w:rPr>
            </w:pPr>
            <w:r>
              <w:rPr>
                <w:rFonts w:eastAsia="宋体"/>
                <w:sz w:val="21"/>
                <w:szCs w:val="21"/>
                <w:lang w:bidi="ar"/>
              </w:rPr>
              <w:t>表</w:t>
            </w:r>
            <w:r>
              <w:rPr>
                <w:rFonts w:hint="eastAsia" w:eastAsia="宋体"/>
                <w:sz w:val="21"/>
                <w:szCs w:val="21"/>
                <w:lang w:bidi="ar"/>
              </w:rPr>
              <w:t>3-</w:t>
            </w:r>
            <w:r>
              <w:rPr>
                <w:rFonts w:eastAsia="宋体"/>
                <w:sz w:val="21"/>
                <w:szCs w:val="21"/>
                <w:lang w:bidi="ar"/>
              </w:rPr>
              <w:t xml:space="preserve">5 </w:t>
            </w:r>
            <w:r>
              <w:rPr>
                <w:rFonts w:hint="eastAsia" w:eastAsia="宋体"/>
                <w:sz w:val="21"/>
                <w:szCs w:val="21"/>
                <w:lang w:bidi="ar"/>
              </w:rPr>
              <w:t>环境空气质量补充监测统计结果一览表</w:t>
            </w:r>
          </w:p>
          <w:tbl>
            <w:tblPr>
              <w:tblStyle w:val="2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58"/>
              <w:gridCol w:w="889"/>
              <w:gridCol w:w="1342"/>
              <w:gridCol w:w="1523"/>
              <w:gridCol w:w="1478"/>
              <w:gridCol w:w="903"/>
              <w:gridCol w:w="1096"/>
            </w:tblGrid>
            <w:tr w14:paraId="63D0E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trPr>
              <w:tc>
                <w:tcPr>
                  <w:tcW w:w="1022" w:type="pct"/>
                  <w:vAlign w:val="center"/>
                </w:tcPr>
                <w:p w14:paraId="3A7C28DC">
                  <w:pPr>
                    <w:adjustRightInd w:val="0"/>
                    <w:snapToGrid w:val="0"/>
                    <w:jc w:val="center"/>
                    <w:rPr>
                      <w:rFonts w:ascii="宋体" w:hAnsi="宋体" w:cs="宋体"/>
                      <w:kern w:val="0"/>
                      <w:szCs w:val="21"/>
                    </w:rPr>
                  </w:pPr>
                  <w:r>
                    <w:rPr>
                      <w:rFonts w:hint="eastAsia" w:ascii="宋体" w:hAnsi="宋体" w:cs="宋体"/>
                      <w:kern w:val="0"/>
                      <w:szCs w:val="21"/>
                    </w:rPr>
                    <w:t>监测日期</w:t>
                  </w:r>
                </w:p>
              </w:tc>
              <w:tc>
                <w:tcPr>
                  <w:tcW w:w="489" w:type="pct"/>
                  <w:vAlign w:val="center"/>
                </w:tcPr>
                <w:p w14:paraId="59E382DB">
                  <w:pPr>
                    <w:adjustRightInd w:val="0"/>
                    <w:snapToGrid w:val="0"/>
                    <w:jc w:val="center"/>
                    <w:rPr>
                      <w:rFonts w:ascii="宋体" w:hAnsi="宋体" w:cs="宋体"/>
                      <w:kern w:val="0"/>
                      <w:szCs w:val="21"/>
                    </w:rPr>
                  </w:pPr>
                  <w:r>
                    <w:rPr>
                      <w:rFonts w:hint="eastAsia" w:ascii="宋体" w:hAnsi="宋体" w:cs="宋体"/>
                      <w:kern w:val="0"/>
                      <w:szCs w:val="21"/>
                    </w:rPr>
                    <w:t>项目</w:t>
                  </w:r>
                </w:p>
              </w:tc>
              <w:tc>
                <w:tcPr>
                  <w:tcW w:w="738" w:type="pct"/>
                  <w:vAlign w:val="center"/>
                </w:tcPr>
                <w:p w14:paraId="02B38EB0">
                  <w:pPr>
                    <w:adjustRightInd w:val="0"/>
                    <w:snapToGrid w:val="0"/>
                    <w:jc w:val="center"/>
                    <w:rPr>
                      <w:rFonts w:ascii="宋体" w:hAnsi="宋体" w:cs="宋体"/>
                      <w:kern w:val="0"/>
                      <w:szCs w:val="21"/>
                    </w:rPr>
                  </w:pPr>
                  <w:r>
                    <w:rPr>
                      <w:rFonts w:hint="eastAsia" w:ascii="宋体" w:hAnsi="宋体" w:cs="宋体"/>
                      <w:kern w:val="0"/>
                      <w:szCs w:val="21"/>
                    </w:rPr>
                    <w:t>实测浓度</w:t>
                  </w:r>
                </w:p>
              </w:tc>
              <w:tc>
                <w:tcPr>
                  <w:tcW w:w="838" w:type="pct"/>
                  <w:vAlign w:val="center"/>
                </w:tcPr>
                <w:p w14:paraId="382A9F5A">
                  <w:pPr>
                    <w:adjustRightInd w:val="0"/>
                    <w:snapToGrid w:val="0"/>
                    <w:jc w:val="center"/>
                    <w:rPr>
                      <w:rFonts w:ascii="宋体" w:hAnsi="宋体" w:cs="宋体"/>
                      <w:kern w:val="0"/>
                      <w:szCs w:val="21"/>
                    </w:rPr>
                  </w:pPr>
                  <w:r>
                    <w:rPr>
                      <w:rFonts w:hint="eastAsia" w:cs="宋体"/>
                      <w:kern w:val="0"/>
                      <w:szCs w:val="21"/>
                    </w:rPr>
                    <w:t>24</w:t>
                  </w:r>
                  <w:r>
                    <w:rPr>
                      <w:rFonts w:hint="eastAsia" w:ascii="宋体" w:hAnsi="宋体" w:cs="宋体"/>
                      <w:kern w:val="0"/>
                      <w:szCs w:val="21"/>
                    </w:rPr>
                    <w:t>小时浓度标准值</w:t>
                  </w:r>
                </w:p>
              </w:tc>
              <w:tc>
                <w:tcPr>
                  <w:tcW w:w="813" w:type="pct"/>
                  <w:vAlign w:val="center"/>
                </w:tcPr>
                <w:p w14:paraId="6A4A9641">
                  <w:pPr>
                    <w:adjustRightInd w:val="0"/>
                    <w:snapToGrid w:val="0"/>
                    <w:ind w:left="-105" w:leftChars="-50" w:right="-105" w:rightChars="-50"/>
                    <w:jc w:val="center"/>
                    <w:rPr>
                      <w:rFonts w:ascii="宋体" w:hAnsi="宋体" w:cs="宋体"/>
                      <w:kern w:val="0"/>
                      <w:szCs w:val="21"/>
                    </w:rPr>
                  </w:pPr>
                  <w:r>
                    <w:rPr>
                      <w:rFonts w:hint="eastAsia" w:ascii="宋体" w:hAnsi="宋体" w:cs="宋体"/>
                      <w:kern w:val="0"/>
                      <w:szCs w:val="21"/>
                    </w:rPr>
                    <w:t>最大值占</w:t>
                  </w:r>
                </w:p>
                <w:p w14:paraId="63DF4EC9">
                  <w:pPr>
                    <w:adjustRightInd w:val="0"/>
                    <w:snapToGrid w:val="0"/>
                    <w:ind w:left="-105" w:leftChars="-50" w:right="-105" w:rightChars="-50"/>
                    <w:jc w:val="center"/>
                    <w:rPr>
                      <w:rFonts w:ascii="宋体" w:hAnsi="宋体" w:cs="宋体"/>
                      <w:kern w:val="0"/>
                      <w:szCs w:val="21"/>
                    </w:rPr>
                  </w:pPr>
                  <w:r>
                    <w:rPr>
                      <w:rFonts w:hint="eastAsia" w:ascii="宋体" w:hAnsi="宋体" w:cs="宋体"/>
                      <w:kern w:val="0"/>
                      <w:szCs w:val="21"/>
                    </w:rPr>
                    <w:t>标准百分比（</w:t>
                  </w:r>
                  <w:r>
                    <w:rPr>
                      <w:kern w:val="0"/>
                      <w:szCs w:val="21"/>
                    </w:rPr>
                    <w:t>%</w:t>
                  </w:r>
                  <w:r>
                    <w:rPr>
                      <w:rFonts w:hint="eastAsia" w:ascii="宋体" w:hAnsi="宋体" w:cs="宋体"/>
                      <w:kern w:val="0"/>
                      <w:szCs w:val="21"/>
                    </w:rPr>
                    <w:t>）</w:t>
                  </w:r>
                </w:p>
              </w:tc>
              <w:tc>
                <w:tcPr>
                  <w:tcW w:w="497" w:type="pct"/>
                  <w:vAlign w:val="center"/>
                </w:tcPr>
                <w:p w14:paraId="7819260E">
                  <w:pPr>
                    <w:adjustRightInd w:val="0"/>
                    <w:snapToGrid w:val="0"/>
                    <w:ind w:left="-105" w:leftChars="-50" w:right="-105" w:rightChars="-50"/>
                    <w:jc w:val="center"/>
                    <w:rPr>
                      <w:rFonts w:ascii="宋体" w:hAnsi="宋体" w:cs="宋体"/>
                      <w:kern w:val="0"/>
                      <w:szCs w:val="21"/>
                    </w:rPr>
                  </w:pPr>
                  <w:r>
                    <w:rPr>
                      <w:rFonts w:hint="eastAsia" w:ascii="宋体" w:hAnsi="宋体" w:cs="宋体"/>
                      <w:kern w:val="0"/>
                      <w:szCs w:val="21"/>
                    </w:rPr>
                    <w:t>超标率</w:t>
                  </w:r>
                </w:p>
              </w:tc>
              <w:tc>
                <w:tcPr>
                  <w:tcW w:w="603" w:type="pct"/>
                  <w:vAlign w:val="center"/>
                </w:tcPr>
                <w:p w14:paraId="275D57D9">
                  <w:pPr>
                    <w:adjustRightInd w:val="0"/>
                    <w:snapToGrid w:val="0"/>
                    <w:jc w:val="center"/>
                    <w:rPr>
                      <w:rFonts w:ascii="宋体" w:hAnsi="宋体" w:cs="宋体"/>
                      <w:kern w:val="0"/>
                      <w:szCs w:val="21"/>
                    </w:rPr>
                  </w:pPr>
                  <w:r>
                    <w:rPr>
                      <w:rFonts w:hint="eastAsia" w:ascii="宋体" w:hAnsi="宋体" w:cs="宋体"/>
                      <w:kern w:val="0"/>
                      <w:szCs w:val="21"/>
                    </w:rPr>
                    <w:t>最大超标倍数</w:t>
                  </w:r>
                </w:p>
              </w:tc>
            </w:tr>
            <w:tr w14:paraId="7B08C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1022" w:type="pct"/>
                  <w:vAlign w:val="center"/>
                </w:tcPr>
                <w:p w14:paraId="0861C726">
                  <w:pPr>
                    <w:jc w:val="center"/>
                  </w:pPr>
                  <w:r>
                    <w:t>2024.11.25</w:t>
                  </w:r>
                </w:p>
              </w:tc>
              <w:tc>
                <w:tcPr>
                  <w:tcW w:w="489" w:type="pct"/>
                  <w:vMerge w:val="restart"/>
                  <w:vAlign w:val="center"/>
                </w:tcPr>
                <w:p w14:paraId="09CD4557">
                  <w:pPr>
                    <w:adjustRightInd w:val="0"/>
                    <w:snapToGrid w:val="0"/>
                    <w:jc w:val="center"/>
                    <w:rPr>
                      <w:rFonts w:ascii="宋体" w:hAnsi="宋体" w:cs="宋体"/>
                      <w:kern w:val="0"/>
                      <w:szCs w:val="21"/>
                    </w:rPr>
                  </w:pPr>
                  <w:r>
                    <w:rPr>
                      <w:kern w:val="0"/>
                      <w:szCs w:val="21"/>
                    </w:rPr>
                    <w:t>TSP</w:t>
                  </w:r>
                </w:p>
              </w:tc>
              <w:tc>
                <w:tcPr>
                  <w:tcW w:w="738" w:type="pct"/>
                  <w:vAlign w:val="center"/>
                </w:tcPr>
                <w:p w14:paraId="0C89746B">
                  <w:pPr>
                    <w:jc w:val="center"/>
                  </w:pPr>
                  <w:r>
                    <w:t>150</w:t>
                  </w:r>
                </w:p>
              </w:tc>
              <w:tc>
                <w:tcPr>
                  <w:tcW w:w="838" w:type="pct"/>
                  <w:vMerge w:val="restart"/>
                  <w:vAlign w:val="center"/>
                </w:tcPr>
                <w:p w14:paraId="6B9D629E">
                  <w:pPr>
                    <w:adjustRightInd w:val="0"/>
                    <w:snapToGrid w:val="0"/>
                    <w:jc w:val="center"/>
                    <w:rPr>
                      <w:rFonts w:ascii="宋体" w:hAnsi="宋体" w:cs="宋体"/>
                      <w:kern w:val="0"/>
                      <w:szCs w:val="21"/>
                    </w:rPr>
                  </w:pPr>
                  <w:r>
                    <w:rPr>
                      <w:rFonts w:hint="eastAsia" w:cs="宋体"/>
                      <w:kern w:val="0"/>
                      <w:szCs w:val="21"/>
                    </w:rPr>
                    <w:t>300</w:t>
                  </w:r>
                </w:p>
              </w:tc>
              <w:tc>
                <w:tcPr>
                  <w:tcW w:w="813" w:type="pct"/>
                  <w:vMerge w:val="restart"/>
                  <w:vAlign w:val="center"/>
                </w:tcPr>
                <w:p w14:paraId="4FE9D774">
                  <w:pPr>
                    <w:adjustRightInd w:val="0"/>
                    <w:snapToGrid w:val="0"/>
                    <w:jc w:val="center"/>
                    <w:rPr>
                      <w:rFonts w:ascii="宋体" w:hAnsi="宋体" w:cs="宋体"/>
                      <w:kern w:val="0"/>
                      <w:szCs w:val="21"/>
                    </w:rPr>
                  </w:pPr>
                  <w:r>
                    <w:rPr>
                      <w:kern w:val="0"/>
                      <w:szCs w:val="21"/>
                    </w:rPr>
                    <w:t>55.3</w:t>
                  </w:r>
                </w:p>
              </w:tc>
              <w:tc>
                <w:tcPr>
                  <w:tcW w:w="497" w:type="pct"/>
                  <w:vMerge w:val="restart"/>
                  <w:vAlign w:val="center"/>
                </w:tcPr>
                <w:p w14:paraId="444FEBD7">
                  <w:pPr>
                    <w:adjustRightInd w:val="0"/>
                    <w:snapToGrid w:val="0"/>
                    <w:jc w:val="center"/>
                    <w:rPr>
                      <w:rFonts w:ascii="宋体" w:hAnsi="宋体" w:cs="宋体"/>
                      <w:kern w:val="0"/>
                      <w:szCs w:val="21"/>
                    </w:rPr>
                  </w:pPr>
                  <w:r>
                    <w:rPr>
                      <w:rFonts w:hint="eastAsia" w:cs="宋体"/>
                      <w:kern w:val="0"/>
                      <w:szCs w:val="21"/>
                    </w:rPr>
                    <w:t>0</w:t>
                  </w:r>
                </w:p>
              </w:tc>
              <w:tc>
                <w:tcPr>
                  <w:tcW w:w="603" w:type="pct"/>
                  <w:vMerge w:val="restart"/>
                  <w:vAlign w:val="center"/>
                </w:tcPr>
                <w:p w14:paraId="615D73C1">
                  <w:pPr>
                    <w:adjustRightInd w:val="0"/>
                    <w:snapToGrid w:val="0"/>
                    <w:jc w:val="center"/>
                    <w:rPr>
                      <w:rFonts w:ascii="宋体" w:hAnsi="宋体" w:cs="宋体"/>
                      <w:kern w:val="0"/>
                      <w:szCs w:val="21"/>
                    </w:rPr>
                  </w:pPr>
                  <w:r>
                    <w:rPr>
                      <w:rFonts w:hint="eastAsia" w:cs="宋体"/>
                      <w:kern w:val="0"/>
                      <w:szCs w:val="21"/>
                    </w:rPr>
                    <w:t>0</w:t>
                  </w:r>
                </w:p>
              </w:tc>
            </w:tr>
            <w:tr w14:paraId="675CB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1022" w:type="pct"/>
                  <w:vAlign w:val="center"/>
                </w:tcPr>
                <w:p w14:paraId="59A81FEE">
                  <w:pPr>
                    <w:jc w:val="center"/>
                  </w:pPr>
                  <w:r>
                    <w:t>2024.11.26</w:t>
                  </w:r>
                </w:p>
              </w:tc>
              <w:tc>
                <w:tcPr>
                  <w:tcW w:w="489" w:type="pct"/>
                  <w:vMerge w:val="continue"/>
                  <w:vAlign w:val="center"/>
                </w:tcPr>
                <w:p w14:paraId="59ADDE99">
                  <w:pPr>
                    <w:adjustRightInd w:val="0"/>
                    <w:snapToGrid w:val="0"/>
                    <w:jc w:val="center"/>
                    <w:rPr>
                      <w:rFonts w:ascii="宋体" w:hAnsi="宋体" w:cs="宋体"/>
                      <w:kern w:val="0"/>
                      <w:szCs w:val="21"/>
                    </w:rPr>
                  </w:pPr>
                </w:p>
              </w:tc>
              <w:tc>
                <w:tcPr>
                  <w:tcW w:w="738" w:type="pct"/>
                  <w:vAlign w:val="center"/>
                </w:tcPr>
                <w:p w14:paraId="589D05B6">
                  <w:pPr>
                    <w:jc w:val="center"/>
                  </w:pPr>
                  <w:r>
                    <w:t>166</w:t>
                  </w:r>
                </w:p>
              </w:tc>
              <w:tc>
                <w:tcPr>
                  <w:tcW w:w="838" w:type="pct"/>
                  <w:vMerge w:val="continue"/>
                  <w:vAlign w:val="center"/>
                </w:tcPr>
                <w:p w14:paraId="5A0C1E63">
                  <w:pPr>
                    <w:adjustRightInd w:val="0"/>
                    <w:snapToGrid w:val="0"/>
                    <w:jc w:val="center"/>
                    <w:rPr>
                      <w:rFonts w:cs="宋体"/>
                      <w:kern w:val="0"/>
                      <w:szCs w:val="21"/>
                    </w:rPr>
                  </w:pPr>
                </w:p>
              </w:tc>
              <w:tc>
                <w:tcPr>
                  <w:tcW w:w="813" w:type="pct"/>
                  <w:vMerge w:val="continue"/>
                  <w:vAlign w:val="center"/>
                </w:tcPr>
                <w:p w14:paraId="02D176D3">
                  <w:pPr>
                    <w:adjustRightInd w:val="0"/>
                    <w:snapToGrid w:val="0"/>
                    <w:jc w:val="center"/>
                    <w:rPr>
                      <w:rFonts w:cs="宋体"/>
                      <w:kern w:val="0"/>
                      <w:szCs w:val="21"/>
                    </w:rPr>
                  </w:pPr>
                </w:p>
              </w:tc>
              <w:tc>
                <w:tcPr>
                  <w:tcW w:w="497" w:type="pct"/>
                  <w:vMerge w:val="continue"/>
                  <w:vAlign w:val="center"/>
                </w:tcPr>
                <w:p w14:paraId="26C5433D">
                  <w:pPr>
                    <w:adjustRightInd w:val="0"/>
                    <w:snapToGrid w:val="0"/>
                    <w:jc w:val="center"/>
                    <w:rPr>
                      <w:rFonts w:cs="宋体"/>
                      <w:kern w:val="0"/>
                      <w:szCs w:val="21"/>
                    </w:rPr>
                  </w:pPr>
                </w:p>
              </w:tc>
              <w:tc>
                <w:tcPr>
                  <w:tcW w:w="603" w:type="pct"/>
                  <w:vMerge w:val="continue"/>
                  <w:vAlign w:val="center"/>
                </w:tcPr>
                <w:p w14:paraId="2C4A005D">
                  <w:pPr>
                    <w:adjustRightInd w:val="0"/>
                    <w:snapToGrid w:val="0"/>
                    <w:jc w:val="center"/>
                    <w:rPr>
                      <w:rFonts w:cs="宋体"/>
                      <w:kern w:val="0"/>
                      <w:szCs w:val="21"/>
                    </w:rPr>
                  </w:pPr>
                </w:p>
              </w:tc>
            </w:tr>
            <w:tr w14:paraId="02DBE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2" w:hRule="atLeast"/>
              </w:trPr>
              <w:tc>
                <w:tcPr>
                  <w:tcW w:w="1022" w:type="pct"/>
                  <w:vAlign w:val="center"/>
                </w:tcPr>
                <w:p w14:paraId="29C96AFC">
                  <w:pPr>
                    <w:jc w:val="center"/>
                  </w:pPr>
                  <w:r>
                    <w:t>2024.11.27</w:t>
                  </w:r>
                </w:p>
              </w:tc>
              <w:tc>
                <w:tcPr>
                  <w:tcW w:w="489" w:type="pct"/>
                  <w:vMerge w:val="continue"/>
                  <w:vAlign w:val="center"/>
                </w:tcPr>
                <w:p w14:paraId="4F44D10B">
                  <w:pPr>
                    <w:adjustRightInd w:val="0"/>
                    <w:snapToGrid w:val="0"/>
                    <w:jc w:val="center"/>
                    <w:rPr>
                      <w:rFonts w:ascii="宋体" w:hAnsi="宋体" w:cs="宋体"/>
                      <w:kern w:val="0"/>
                      <w:szCs w:val="21"/>
                    </w:rPr>
                  </w:pPr>
                </w:p>
              </w:tc>
              <w:tc>
                <w:tcPr>
                  <w:tcW w:w="738" w:type="pct"/>
                  <w:vAlign w:val="center"/>
                </w:tcPr>
                <w:p w14:paraId="5EB8EA1C">
                  <w:pPr>
                    <w:jc w:val="center"/>
                  </w:pPr>
                  <w:r>
                    <w:t>156</w:t>
                  </w:r>
                </w:p>
              </w:tc>
              <w:tc>
                <w:tcPr>
                  <w:tcW w:w="838" w:type="pct"/>
                  <w:vMerge w:val="continue"/>
                  <w:vAlign w:val="center"/>
                </w:tcPr>
                <w:p w14:paraId="7C04A882">
                  <w:pPr>
                    <w:adjustRightInd w:val="0"/>
                    <w:snapToGrid w:val="0"/>
                    <w:jc w:val="center"/>
                    <w:rPr>
                      <w:rFonts w:cs="宋体"/>
                      <w:kern w:val="0"/>
                      <w:szCs w:val="21"/>
                    </w:rPr>
                  </w:pPr>
                </w:p>
              </w:tc>
              <w:tc>
                <w:tcPr>
                  <w:tcW w:w="813" w:type="pct"/>
                  <w:vMerge w:val="continue"/>
                  <w:vAlign w:val="center"/>
                </w:tcPr>
                <w:p w14:paraId="0655A1A6">
                  <w:pPr>
                    <w:adjustRightInd w:val="0"/>
                    <w:snapToGrid w:val="0"/>
                    <w:jc w:val="center"/>
                    <w:rPr>
                      <w:rFonts w:cs="宋体"/>
                      <w:kern w:val="0"/>
                      <w:szCs w:val="21"/>
                    </w:rPr>
                  </w:pPr>
                </w:p>
              </w:tc>
              <w:tc>
                <w:tcPr>
                  <w:tcW w:w="497" w:type="pct"/>
                  <w:vMerge w:val="continue"/>
                  <w:vAlign w:val="center"/>
                </w:tcPr>
                <w:p w14:paraId="6706E7B1">
                  <w:pPr>
                    <w:adjustRightInd w:val="0"/>
                    <w:snapToGrid w:val="0"/>
                    <w:jc w:val="center"/>
                    <w:rPr>
                      <w:rFonts w:cs="宋体"/>
                      <w:kern w:val="0"/>
                      <w:szCs w:val="21"/>
                    </w:rPr>
                  </w:pPr>
                </w:p>
              </w:tc>
              <w:tc>
                <w:tcPr>
                  <w:tcW w:w="603" w:type="pct"/>
                  <w:vMerge w:val="continue"/>
                  <w:vAlign w:val="center"/>
                </w:tcPr>
                <w:p w14:paraId="14438F7C">
                  <w:pPr>
                    <w:adjustRightInd w:val="0"/>
                    <w:snapToGrid w:val="0"/>
                    <w:jc w:val="center"/>
                    <w:rPr>
                      <w:rFonts w:cs="宋体"/>
                      <w:kern w:val="0"/>
                      <w:szCs w:val="21"/>
                    </w:rPr>
                  </w:pPr>
                </w:p>
              </w:tc>
            </w:tr>
          </w:tbl>
          <w:p w14:paraId="2439F00B">
            <w:pPr>
              <w:pageBreakBefore w:val="0"/>
              <w:kinsoku/>
              <w:wordWrap/>
              <w:overflowPunct/>
              <w:topLinePunct w:val="0"/>
              <w:autoSpaceDE/>
              <w:autoSpaceDN/>
              <w:bidi w:val="0"/>
              <w:spacing w:line="480" w:lineRule="exact"/>
              <w:ind w:firstLine="480" w:firstLineChars="200"/>
              <w:textAlignment w:val="auto"/>
              <w:rPr>
                <w:sz w:val="24"/>
                <w:szCs w:val="32"/>
                <w:highlight w:val="yellow"/>
              </w:rPr>
            </w:pPr>
            <w:r>
              <w:rPr>
                <w:rFonts w:hint="eastAsia"/>
                <w:sz w:val="24"/>
                <w:szCs w:val="32"/>
              </w:rPr>
              <w:t>根据监测数据分析结果可知：项目所在区域其他污染物TSP满足《环境空气质量标准》（GB3095-20</w:t>
            </w:r>
            <w:r>
              <w:rPr>
                <w:rFonts w:hint="eastAsia"/>
                <w:sz w:val="24"/>
                <w:szCs w:val="32"/>
                <w:lang w:val="en-US" w:eastAsia="zh-CN"/>
              </w:rPr>
              <w:t>12</w:t>
            </w:r>
            <w:r>
              <w:rPr>
                <w:rFonts w:hint="eastAsia"/>
                <w:sz w:val="24"/>
                <w:szCs w:val="32"/>
              </w:rPr>
              <w:t>）表2中二级浓度限值</w:t>
            </w:r>
            <w:r>
              <w:rPr>
                <w:rFonts w:hint="eastAsia"/>
                <w:kern w:val="21"/>
                <w:sz w:val="24"/>
                <w:lang w:val="en-US" w:eastAsia="zh-CN" w:bidi="ar"/>
              </w:rPr>
              <w:t>要求</w:t>
            </w:r>
            <w:r>
              <w:rPr>
                <w:rFonts w:hint="eastAsia"/>
                <w:sz w:val="24"/>
                <w:szCs w:val="32"/>
              </w:rPr>
              <w:t>。</w:t>
            </w:r>
          </w:p>
          <w:p w14:paraId="3553FD48">
            <w:pPr>
              <w:pStyle w:val="11"/>
              <w:pageBreakBefore w:val="0"/>
              <w:kinsoku/>
              <w:wordWrap/>
              <w:overflowPunct/>
              <w:topLinePunct w:val="0"/>
              <w:autoSpaceDE/>
              <w:autoSpaceDN/>
              <w:bidi w:val="0"/>
              <w:spacing w:before="0" w:after="0" w:line="480" w:lineRule="exact"/>
              <w:ind w:left="0" w:firstLine="482" w:firstLineChars="200"/>
              <w:textAlignment w:val="auto"/>
              <w:rPr>
                <w:color w:val="auto"/>
                <w:sz w:val="24"/>
                <w:szCs w:val="24"/>
              </w:rPr>
            </w:pPr>
            <w:r>
              <w:rPr>
                <w:rFonts w:hint="eastAsia"/>
                <w:color w:val="auto"/>
                <w:sz w:val="24"/>
                <w:szCs w:val="24"/>
              </w:rPr>
              <w:t>2.</w:t>
            </w:r>
            <w:r>
              <w:rPr>
                <w:color w:val="auto"/>
                <w:sz w:val="24"/>
                <w:szCs w:val="24"/>
              </w:rPr>
              <w:t>地表水环境质量现状</w:t>
            </w:r>
          </w:p>
          <w:p w14:paraId="4AF52B41">
            <w:pPr>
              <w:pStyle w:val="11"/>
              <w:pageBreakBefore w:val="0"/>
              <w:kinsoku/>
              <w:wordWrap/>
              <w:overflowPunct/>
              <w:topLinePunct w:val="0"/>
              <w:autoSpaceDE/>
              <w:autoSpaceDN/>
              <w:bidi w:val="0"/>
              <w:spacing w:before="0" w:after="0" w:line="480" w:lineRule="exact"/>
              <w:ind w:left="0" w:firstLine="480" w:firstLineChars="200"/>
              <w:textAlignment w:val="auto"/>
              <w:rPr>
                <w:b w:val="0"/>
                <w:bCs w:val="0"/>
                <w:color w:val="auto"/>
                <w:kern w:val="0"/>
                <w:sz w:val="24"/>
                <w:szCs w:val="24"/>
              </w:rPr>
            </w:pPr>
            <w:r>
              <w:rPr>
                <w:rFonts w:hint="eastAsia"/>
                <w:b w:val="0"/>
                <w:bCs w:val="0"/>
                <w:color w:val="auto"/>
                <w:kern w:val="0"/>
                <w:sz w:val="24"/>
                <w:szCs w:val="24"/>
              </w:rPr>
              <w:t>项目最近的地表水体为项目西侧约1.5km处的乌河，乌河为滹沱河支流。根据《山西省地表水环境功能区划》（DB14/67-2019），其水环境功能为保留区水源保护，水质要求为</w:t>
            </w:r>
            <w:r>
              <w:rPr>
                <w:rFonts w:hint="default" w:ascii="Times New Roman" w:hAnsi="Times New Roman" w:cs="Times New Roman"/>
                <w:b w:val="0"/>
                <w:bCs w:val="0"/>
                <w:color w:val="auto"/>
                <w:kern w:val="0"/>
                <w:sz w:val="24"/>
                <w:szCs w:val="24"/>
              </w:rPr>
              <w:t>Ⅲ</w:t>
            </w:r>
            <w:r>
              <w:rPr>
                <w:rFonts w:hint="eastAsia"/>
                <w:b w:val="0"/>
                <w:bCs w:val="0"/>
                <w:color w:val="auto"/>
                <w:kern w:val="0"/>
                <w:sz w:val="24"/>
                <w:szCs w:val="24"/>
              </w:rPr>
              <w:t>类。本项目最近的地表水监测断面是枣园村断面（国控断面），根据2025年10月山西省地表水环境质量报告，枣园村断面（国控断面）水质为</w:t>
            </w:r>
            <w:r>
              <w:rPr>
                <w:rFonts w:hint="default" w:ascii="Times New Roman" w:hAnsi="Times New Roman" w:cs="Times New Roman"/>
                <w:b w:val="0"/>
                <w:bCs w:val="0"/>
                <w:color w:val="auto"/>
                <w:kern w:val="0"/>
                <w:sz w:val="24"/>
                <w:szCs w:val="24"/>
              </w:rPr>
              <w:t>Ⅰ</w:t>
            </w:r>
            <w:r>
              <w:rPr>
                <w:rFonts w:hint="eastAsia"/>
                <w:b w:val="0"/>
                <w:bCs w:val="0"/>
                <w:color w:val="auto"/>
                <w:kern w:val="0"/>
                <w:sz w:val="24"/>
                <w:szCs w:val="24"/>
              </w:rPr>
              <w:t>类，水质符合《地表水环境质量标准》（GB3838-2002）Ⅲ类标准限值要求。</w:t>
            </w:r>
          </w:p>
          <w:p w14:paraId="1145246E">
            <w:pPr>
              <w:pStyle w:val="11"/>
              <w:pageBreakBefore w:val="0"/>
              <w:kinsoku/>
              <w:wordWrap/>
              <w:overflowPunct/>
              <w:topLinePunct w:val="0"/>
              <w:autoSpaceDE/>
              <w:autoSpaceDN/>
              <w:bidi w:val="0"/>
              <w:spacing w:before="0" w:after="0" w:line="480" w:lineRule="exact"/>
              <w:ind w:left="0" w:firstLine="482" w:firstLineChars="200"/>
              <w:textAlignment w:val="auto"/>
              <w:rPr>
                <w:color w:val="auto"/>
                <w:sz w:val="24"/>
                <w:szCs w:val="24"/>
              </w:rPr>
            </w:pPr>
            <w:r>
              <w:rPr>
                <w:rFonts w:hint="eastAsia"/>
                <w:color w:val="auto"/>
                <w:sz w:val="24"/>
                <w:szCs w:val="24"/>
              </w:rPr>
              <w:t>3.</w:t>
            </w:r>
            <w:r>
              <w:rPr>
                <w:color w:val="auto"/>
                <w:sz w:val="24"/>
                <w:szCs w:val="24"/>
              </w:rPr>
              <w:t>声环境质量现状</w:t>
            </w:r>
          </w:p>
          <w:p w14:paraId="219E7115">
            <w:pPr>
              <w:pageBreakBefore w:val="0"/>
              <w:kinsoku/>
              <w:wordWrap/>
              <w:overflowPunct/>
              <w:topLinePunct w:val="0"/>
              <w:autoSpaceDE/>
              <w:autoSpaceDN/>
              <w:bidi w:val="0"/>
              <w:spacing w:line="480" w:lineRule="exact"/>
              <w:ind w:firstLine="480" w:firstLineChars="200"/>
              <w:textAlignment w:val="auto"/>
              <w:rPr>
                <w:sz w:val="24"/>
              </w:rPr>
            </w:pPr>
            <w:r>
              <w:rPr>
                <w:rFonts w:hint="eastAsia"/>
                <w:sz w:val="24"/>
              </w:rPr>
              <w:t>本项目矿界</w:t>
            </w:r>
            <w:r>
              <w:rPr>
                <w:sz w:val="24"/>
              </w:rPr>
              <w:t>50m范围</w:t>
            </w:r>
            <w:r>
              <w:rPr>
                <w:rFonts w:hint="eastAsia"/>
                <w:sz w:val="24"/>
              </w:rPr>
              <w:t>外无声环境保护目标</w:t>
            </w:r>
            <w:r>
              <w:rPr>
                <w:sz w:val="24"/>
              </w:rPr>
              <w:t>，</w:t>
            </w:r>
            <w:r>
              <w:rPr>
                <w:rFonts w:hint="eastAsia"/>
                <w:sz w:val="24"/>
              </w:rPr>
              <w:t>因此未进行声环境现状监测</w:t>
            </w:r>
            <w:r>
              <w:rPr>
                <w:sz w:val="24"/>
              </w:rPr>
              <w:t>。</w:t>
            </w:r>
          </w:p>
          <w:p w14:paraId="26BE75FB">
            <w:pPr>
              <w:pStyle w:val="11"/>
              <w:pageBreakBefore w:val="0"/>
              <w:kinsoku/>
              <w:wordWrap/>
              <w:overflowPunct/>
              <w:topLinePunct w:val="0"/>
              <w:autoSpaceDE/>
              <w:autoSpaceDN/>
              <w:bidi w:val="0"/>
              <w:spacing w:before="0" w:after="0" w:line="480" w:lineRule="exact"/>
              <w:ind w:left="0" w:firstLine="482" w:firstLineChars="200"/>
              <w:textAlignment w:val="auto"/>
              <w:rPr>
                <w:color w:val="auto"/>
                <w:sz w:val="24"/>
                <w:szCs w:val="24"/>
              </w:rPr>
            </w:pPr>
            <w:r>
              <w:rPr>
                <w:rFonts w:hint="eastAsia"/>
                <w:color w:val="auto"/>
                <w:sz w:val="24"/>
                <w:szCs w:val="24"/>
              </w:rPr>
              <w:t>4.土壤、地下水环境质量现状</w:t>
            </w:r>
          </w:p>
          <w:p w14:paraId="2D88F5B4">
            <w:pPr>
              <w:pageBreakBefore w:val="0"/>
              <w:kinsoku/>
              <w:wordWrap/>
              <w:overflowPunct/>
              <w:topLinePunct w:val="0"/>
              <w:autoSpaceDE/>
              <w:autoSpaceDN/>
              <w:bidi w:val="0"/>
              <w:spacing w:line="480" w:lineRule="exact"/>
              <w:ind w:firstLine="480" w:firstLineChars="200"/>
              <w:textAlignment w:val="auto"/>
              <w:rPr>
                <w:sz w:val="24"/>
              </w:rPr>
            </w:pPr>
            <w:r>
              <w:rPr>
                <w:rFonts w:hint="eastAsia"/>
                <w:sz w:val="24"/>
              </w:rPr>
              <w:t>项目所在地附近无水源地及水源保护区，本次评价要求采取防渗措施，采取措施后，正常工况下不存在明显的地下水污染途径，根据《建设项目环境影响报告表编制技术指南（污染影响类）（试行）》，故不开展地下水环境质量现状调查。</w:t>
            </w:r>
          </w:p>
          <w:p w14:paraId="02272134">
            <w:pPr>
              <w:pStyle w:val="27"/>
              <w:pageBreakBefore w:val="0"/>
              <w:kinsoku/>
              <w:wordWrap/>
              <w:overflowPunct/>
              <w:topLinePunct w:val="0"/>
              <w:autoSpaceDE/>
              <w:autoSpaceDN/>
              <w:bidi w:val="0"/>
              <w:spacing w:line="480" w:lineRule="exact"/>
              <w:ind w:firstLine="480"/>
              <w:textAlignment w:val="auto"/>
              <w:rPr>
                <w:color w:val="auto"/>
              </w:rPr>
            </w:pPr>
            <w:r>
              <w:rPr>
                <w:color w:val="auto"/>
              </w:rPr>
              <w:t>根据《环境影响评价技术导则土壤环境》（HJ964-2018），本项目属于附录A中其他行业中Ⅳ类项目，因此无需进行现状监测。本项目属于矿山开采资源损失型项目，后期进行土地复垦和生态恢复，不存在大气沉降、地表漫流、垂直入渗等对土壤环境造成污染的途径。</w:t>
            </w:r>
            <w:r>
              <w:rPr>
                <w:rFonts w:hint="eastAsia"/>
                <w:color w:val="auto"/>
              </w:rPr>
              <w:t>因此</w:t>
            </w:r>
            <w:r>
              <w:rPr>
                <w:color w:val="auto"/>
              </w:rPr>
              <w:t>，本项目</w:t>
            </w:r>
            <w:r>
              <w:rPr>
                <w:rFonts w:hint="eastAsia"/>
                <w:color w:val="auto"/>
              </w:rPr>
              <w:t>未</w:t>
            </w:r>
            <w:r>
              <w:rPr>
                <w:color w:val="auto"/>
              </w:rPr>
              <w:t>开展土壤环境影响评价。</w:t>
            </w:r>
          </w:p>
          <w:p w14:paraId="220C1DF4">
            <w:pPr>
              <w:pStyle w:val="27"/>
              <w:spacing w:line="480" w:lineRule="exact"/>
              <w:ind w:firstLine="0" w:firstLineChars="0"/>
              <w:rPr>
                <w:color w:val="auto"/>
              </w:rPr>
            </w:pPr>
          </w:p>
        </w:tc>
      </w:tr>
      <w:tr w14:paraId="5B75EF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13" w:hRule="atLeast"/>
          <w:jc w:val="center"/>
        </w:trPr>
        <w:tc>
          <w:tcPr>
            <w:tcW w:w="702" w:type="dxa"/>
            <w:vAlign w:val="center"/>
          </w:tcPr>
          <w:p w14:paraId="54F71B2B">
            <w:pPr>
              <w:adjustRightInd w:val="0"/>
              <w:snapToGrid w:val="0"/>
              <w:ind w:left="-105" w:leftChars="-50" w:right="-105" w:rightChars="-50"/>
              <w:jc w:val="center"/>
              <w:rPr>
                <w:rFonts w:ascii="宋体" w:hAnsi="宋体" w:cs="宋体"/>
                <w:kern w:val="0"/>
                <w:sz w:val="24"/>
              </w:rPr>
            </w:pPr>
            <w:r>
              <w:rPr>
                <w:rFonts w:hint="eastAsia" w:ascii="宋体" w:hAnsi="宋体"/>
                <w:bCs/>
                <w:sz w:val="24"/>
              </w:rPr>
              <w:t>与项目有关的原有环境污染和生态破坏问题</w:t>
            </w:r>
          </w:p>
        </w:tc>
        <w:tc>
          <w:tcPr>
            <w:tcW w:w="9063" w:type="dxa"/>
            <w:vAlign w:val="center"/>
          </w:tcPr>
          <w:p w14:paraId="1831ECD4">
            <w:pPr>
              <w:keepNext w:val="0"/>
              <w:keepLines w:val="0"/>
              <w:pageBreakBefore w:val="0"/>
              <w:widowControl/>
              <w:kinsoku/>
              <w:wordWrap/>
              <w:overflowPunct/>
              <w:topLinePunct w:val="0"/>
              <w:autoSpaceDE/>
              <w:autoSpaceDN/>
              <w:bidi w:val="0"/>
              <w:spacing w:line="480" w:lineRule="exact"/>
              <w:ind w:firstLine="480" w:firstLineChars="200"/>
              <w:textAlignment w:val="auto"/>
              <w:rPr>
                <w:color w:val="auto"/>
                <w:sz w:val="24"/>
              </w:rPr>
            </w:pPr>
            <w:r>
              <w:rPr>
                <w:rFonts w:hint="eastAsia"/>
                <w:color w:val="auto"/>
                <w:sz w:val="24"/>
              </w:rPr>
              <w:t>本矿由盂县石鑫矿业有限公司与盂县西潘乡鑫盛石矿整合而成，整合区名称为盂县宋庄村1号一带整合开采区，盂县石鑫矿业有限公司于2023年</w:t>
            </w:r>
            <w:r>
              <w:rPr>
                <w:color w:val="auto"/>
                <w:sz w:val="24"/>
              </w:rPr>
              <w:t>7</w:t>
            </w:r>
            <w:r>
              <w:rPr>
                <w:rFonts w:hint="eastAsia"/>
                <w:color w:val="auto"/>
                <w:sz w:val="24"/>
              </w:rPr>
              <w:t>月竞得该采矿权。</w:t>
            </w:r>
            <w:r>
              <w:rPr>
                <w:rFonts w:hint="eastAsia" w:ascii="宋体" w:hAnsi="宋体"/>
                <w:color w:val="auto"/>
                <w:sz w:val="24"/>
              </w:rPr>
              <w:t>整合完成后矿区总面积为</w:t>
            </w:r>
            <w:r>
              <w:rPr>
                <w:rFonts w:hint="eastAsia"/>
                <w:color w:val="auto"/>
                <w:sz w:val="24"/>
              </w:rPr>
              <w:t>0.</w:t>
            </w:r>
            <w:r>
              <w:rPr>
                <w:color w:val="auto"/>
                <w:sz w:val="24"/>
              </w:rPr>
              <w:t>2046km</w:t>
            </w:r>
            <w:r>
              <w:rPr>
                <w:color w:val="auto"/>
                <w:sz w:val="24"/>
                <w:vertAlign w:val="superscript"/>
              </w:rPr>
              <w:t>2</w:t>
            </w:r>
            <w:r>
              <w:rPr>
                <w:rFonts w:hint="eastAsia"/>
                <w:color w:val="auto"/>
                <w:sz w:val="24"/>
              </w:rPr>
              <w:t>。</w:t>
            </w:r>
          </w:p>
          <w:p w14:paraId="0630F584">
            <w:pPr>
              <w:keepNext w:val="0"/>
              <w:keepLines w:val="0"/>
              <w:pageBreakBefore w:val="0"/>
              <w:kinsoku/>
              <w:wordWrap/>
              <w:overflowPunct/>
              <w:topLinePunct w:val="0"/>
              <w:autoSpaceDE/>
              <w:autoSpaceDN/>
              <w:bidi w:val="0"/>
              <w:adjustRightInd w:val="0"/>
              <w:snapToGrid w:val="0"/>
              <w:spacing w:line="480" w:lineRule="exact"/>
              <w:ind w:firstLine="482" w:firstLineChars="200"/>
              <w:textAlignment w:val="auto"/>
              <w:rPr>
                <w:rFonts w:ascii="宋体" w:hAnsi="宋体"/>
                <w:b/>
                <w:bCs/>
                <w:color w:val="auto"/>
                <w:sz w:val="24"/>
              </w:rPr>
            </w:pPr>
            <w:r>
              <w:rPr>
                <w:rFonts w:hint="eastAsia" w:ascii="宋体" w:hAnsi="宋体"/>
                <w:b/>
                <w:bCs/>
                <w:color w:val="auto"/>
                <w:sz w:val="24"/>
              </w:rPr>
              <w:t>一、生态破坏现状</w:t>
            </w:r>
          </w:p>
          <w:p w14:paraId="2D5C6CD6">
            <w:pPr>
              <w:keepNext w:val="0"/>
              <w:keepLines w:val="0"/>
              <w:pageBreakBefore w:val="0"/>
              <w:kinsoku/>
              <w:wordWrap/>
              <w:overflowPunct/>
              <w:topLinePunct w:val="0"/>
              <w:autoSpaceDE/>
              <w:autoSpaceDN/>
              <w:bidi w:val="0"/>
              <w:adjustRightInd w:val="0"/>
              <w:snapToGrid w:val="0"/>
              <w:spacing w:line="480" w:lineRule="exact"/>
              <w:ind w:firstLine="480" w:firstLineChars="200"/>
              <w:textAlignment w:val="auto"/>
              <w:rPr>
                <w:color w:val="auto"/>
                <w:sz w:val="24"/>
              </w:rPr>
            </w:pPr>
            <w:r>
              <w:rPr>
                <w:rFonts w:hint="eastAsia"/>
                <w:color w:val="auto"/>
                <w:sz w:val="24"/>
              </w:rPr>
              <w:t>（1）盂县石鑫矿业有限公司</w:t>
            </w:r>
          </w:p>
          <w:p w14:paraId="08772D8B">
            <w:pPr>
              <w:keepNext w:val="0"/>
              <w:keepLines w:val="0"/>
              <w:pageBreakBefore w:val="0"/>
              <w:kinsoku/>
              <w:wordWrap/>
              <w:overflowPunct/>
              <w:topLinePunct w:val="0"/>
              <w:autoSpaceDE/>
              <w:autoSpaceDN/>
              <w:bidi w:val="0"/>
              <w:adjustRightInd w:val="0"/>
              <w:snapToGrid w:val="0"/>
              <w:spacing w:line="480" w:lineRule="exact"/>
              <w:ind w:firstLine="480" w:firstLineChars="200"/>
              <w:textAlignment w:val="auto"/>
              <w:rPr>
                <w:rFonts w:hint="eastAsia"/>
                <w:color w:val="auto"/>
                <w:sz w:val="24"/>
                <w:highlight w:val="none"/>
              </w:rPr>
            </w:pPr>
            <w:r>
              <w:rPr>
                <w:rFonts w:hint="eastAsia"/>
                <w:color w:val="auto"/>
                <w:sz w:val="24"/>
                <w:highlight w:val="none"/>
              </w:rPr>
              <w:t>2010年12月9日，盂县环境保护局以盂环函〔2010〕245号文对《盂县西潘乡石鑫大理石矿新建年加工500m</w:t>
            </w:r>
            <w:r>
              <w:rPr>
                <w:rFonts w:hint="eastAsia"/>
                <w:color w:val="auto"/>
                <w:sz w:val="24"/>
                <w:highlight w:val="none"/>
                <w:vertAlign w:val="superscript"/>
              </w:rPr>
              <w:t>3</w:t>
            </w:r>
            <w:r>
              <w:rPr>
                <w:rFonts w:hint="eastAsia"/>
                <w:color w:val="auto"/>
                <w:sz w:val="24"/>
                <w:highlight w:val="none"/>
              </w:rPr>
              <w:t>大理石生产线项目环境影响报告表》进行了批复。2017年11月1日，盂县环境保护局出具《盂县西潘乡石鑫大理石矿新建年加工500m</w:t>
            </w:r>
            <w:r>
              <w:rPr>
                <w:rFonts w:hint="eastAsia"/>
                <w:color w:val="auto"/>
                <w:sz w:val="24"/>
                <w:highlight w:val="none"/>
                <w:vertAlign w:val="superscript"/>
              </w:rPr>
              <w:t>3</w:t>
            </w:r>
            <w:r>
              <w:rPr>
                <w:rFonts w:hint="eastAsia"/>
                <w:color w:val="auto"/>
                <w:sz w:val="24"/>
                <w:highlight w:val="none"/>
              </w:rPr>
              <w:t>大理石生产线项目竣工环境保护验收意见》（盂环函〔2017〕287号），该项目完成验收</w:t>
            </w:r>
            <w:r>
              <w:rPr>
                <w:rFonts w:hint="eastAsia"/>
                <w:color w:val="auto"/>
                <w:sz w:val="24"/>
                <w:highlight w:val="none"/>
                <w:lang w:eastAsia="zh-CN"/>
              </w:rPr>
              <w:t>。</w:t>
            </w:r>
            <w:r>
              <w:rPr>
                <w:color w:val="auto"/>
                <w:sz w:val="24"/>
                <w:highlight w:val="none"/>
              </w:rPr>
              <w:t>202</w:t>
            </w:r>
            <w:r>
              <w:rPr>
                <w:rFonts w:hint="eastAsia"/>
                <w:color w:val="auto"/>
                <w:sz w:val="24"/>
                <w:highlight w:val="none"/>
              </w:rPr>
              <w:t>2</w:t>
            </w:r>
            <w:r>
              <w:rPr>
                <w:color w:val="auto"/>
                <w:sz w:val="24"/>
                <w:highlight w:val="none"/>
              </w:rPr>
              <w:t>年4月5日，</w:t>
            </w:r>
            <w:r>
              <w:rPr>
                <w:rFonts w:hint="eastAsia"/>
                <w:color w:val="auto"/>
                <w:sz w:val="24"/>
                <w:highlight w:val="none"/>
              </w:rPr>
              <w:t>盂县西潘乡石鑫大理石矿名称变更为盂县石鑫矿业有限公司。</w:t>
            </w:r>
          </w:p>
          <w:p w14:paraId="115D383D">
            <w:pPr>
              <w:keepNext w:val="0"/>
              <w:keepLines w:val="0"/>
              <w:pageBreakBefore w:val="0"/>
              <w:kinsoku/>
              <w:wordWrap/>
              <w:overflowPunct/>
              <w:topLinePunct w:val="0"/>
              <w:autoSpaceDE/>
              <w:autoSpaceDN/>
              <w:bidi w:val="0"/>
              <w:adjustRightInd w:val="0"/>
              <w:snapToGrid w:val="0"/>
              <w:spacing w:line="480" w:lineRule="exact"/>
              <w:ind w:firstLine="480" w:firstLineChars="200"/>
              <w:textAlignment w:val="auto"/>
              <w:rPr>
                <w:rFonts w:hint="eastAsia"/>
                <w:color w:val="auto"/>
                <w:sz w:val="24"/>
              </w:rPr>
            </w:pPr>
            <w:r>
              <w:rPr>
                <w:rFonts w:hint="eastAsia"/>
                <w:color w:val="auto"/>
                <w:sz w:val="24"/>
              </w:rPr>
              <w:t>盂县石鑫矿业有限公司持有阳泉市规划和资源局颁发的采矿许可证，编号</w:t>
            </w:r>
            <w:r>
              <w:rPr>
                <w:color w:val="auto"/>
                <w:sz w:val="24"/>
              </w:rPr>
              <w:t>C1403002010047120060252</w:t>
            </w:r>
            <w:r>
              <w:rPr>
                <w:rFonts w:hint="eastAsia"/>
                <w:color w:val="auto"/>
                <w:sz w:val="24"/>
              </w:rPr>
              <w:t>，有效期自202</w:t>
            </w:r>
            <w:r>
              <w:rPr>
                <w:color w:val="auto"/>
                <w:sz w:val="24"/>
              </w:rPr>
              <w:t>2</w:t>
            </w:r>
            <w:r>
              <w:rPr>
                <w:rFonts w:hint="eastAsia"/>
                <w:color w:val="auto"/>
                <w:sz w:val="24"/>
              </w:rPr>
              <w:t>年3月3日至202</w:t>
            </w:r>
            <w:r>
              <w:rPr>
                <w:color w:val="auto"/>
                <w:sz w:val="24"/>
              </w:rPr>
              <w:t>4</w:t>
            </w:r>
            <w:r>
              <w:rPr>
                <w:rFonts w:hint="eastAsia"/>
                <w:color w:val="auto"/>
                <w:sz w:val="24"/>
              </w:rPr>
              <w:t>年3月3日。开采矿种为石灰岩；开采方式为露天开采；生产规模为20万吨/年；批采标高为1314—1200m。目前，该矿山形成一处露天采场。</w:t>
            </w:r>
          </w:p>
          <w:p w14:paraId="270E4B8E">
            <w:pPr>
              <w:keepNext w:val="0"/>
              <w:keepLines w:val="0"/>
              <w:pageBreakBefore w:val="0"/>
              <w:kinsoku/>
              <w:wordWrap/>
              <w:overflowPunct/>
              <w:topLinePunct w:val="0"/>
              <w:autoSpaceDE/>
              <w:autoSpaceDN/>
              <w:bidi w:val="0"/>
              <w:adjustRightInd w:val="0"/>
              <w:snapToGrid w:val="0"/>
              <w:spacing w:line="480" w:lineRule="exact"/>
              <w:ind w:firstLine="480" w:firstLineChars="200"/>
              <w:textAlignment w:val="auto"/>
              <w:rPr>
                <w:color w:val="auto"/>
                <w:sz w:val="24"/>
              </w:rPr>
            </w:pPr>
            <w:r>
              <w:rPr>
                <w:color w:val="auto"/>
                <w:sz w:val="24"/>
              </w:rPr>
              <w:t>①</w:t>
            </w:r>
            <w:r>
              <w:rPr>
                <w:rFonts w:hint="eastAsia"/>
                <w:color w:val="auto"/>
                <w:sz w:val="24"/>
              </w:rPr>
              <w:t>采场</w:t>
            </w:r>
            <w:r>
              <w:rPr>
                <w:color w:val="auto"/>
                <w:sz w:val="24"/>
              </w:rPr>
              <w:t>现状</w:t>
            </w:r>
          </w:p>
          <w:p w14:paraId="7414DBC8">
            <w:pPr>
              <w:keepNext w:val="0"/>
              <w:keepLines w:val="0"/>
              <w:pageBreakBefore w:val="0"/>
              <w:kinsoku/>
              <w:wordWrap/>
              <w:overflowPunct/>
              <w:topLinePunct w:val="0"/>
              <w:autoSpaceDE/>
              <w:autoSpaceDN/>
              <w:bidi w:val="0"/>
              <w:adjustRightInd w:val="0"/>
              <w:snapToGrid w:val="0"/>
              <w:spacing w:line="480" w:lineRule="exact"/>
              <w:ind w:firstLine="480" w:firstLineChars="200"/>
              <w:textAlignment w:val="auto"/>
              <w:rPr>
                <w:rFonts w:hint="eastAsia"/>
                <w:color w:val="auto"/>
                <w:sz w:val="24"/>
              </w:rPr>
            </w:pPr>
            <w:r>
              <w:rPr>
                <w:rFonts w:hint="eastAsia"/>
                <w:color w:val="auto"/>
                <w:sz w:val="24"/>
              </w:rPr>
              <w:t>采场呈不规则状，微地貌主要为开采平台以及边坡，损毁程度为重度。已采区面积</w:t>
            </w:r>
            <w:r>
              <w:rPr>
                <w:rFonts w:hint="eastAsia"/>
                <w:color w:val="auto"/>
                <w:sz w:val="24"/>
                <w:lang w:val="en-US" w:eastAsia="zh-CN"/>
              </w:rPr>
              <w:t>11.0865</w:t>
            </w:r>
            <w:r>
              <w:rPr>
                <w:rFonts w:hint="eastAsia"/>
                <w:color w:val="auto"/>
                <w:sz w:val="24"/>
              </w:rPr>
              <w:t>hm</w:t>
            </w:r>
            <w:r>
              <w:rPr>
                <w:rFonts w:hint="eastAsia"/>
                <w:color w:val="auto"/>
                <w:sz w:val="24"/>
                <w:vertAlign w:val="superscript"/>
              </w:rPr>
              <w:t>2</w:t>
            </w:r>
            <w:r>
              <w:rPr>
                <w:rFonts w:hint="eastAsia"/>
                <w:color w:val="auto"/>
                <w:sz w:val="24"/>
              </w:rPr>
              <w:t>，其形态为露采边坡环绕的一个采坑，边坡岩性为黑云母花岗岩、辉长苏长岩、黑云斜长片麻岩及斜长角闪岩等，目前已形成1110m、1100m、1090m、1080m、1</w:t>
            </w:r>
            <w:r>
              <w:rPr>
                <w:rFonts w:hint="eastAsia"/>
                <w:color w:val="auto"/>
                <w:sz w:val="24"/>
                <w:lang w:val="en-US" w:eastAsia="zh-CN"/>
              </w:rPr>
              <w:t>0</w:t>
            </w:r>
            <w:r>
              <w:rPr>
                <w:color w:val="auto"/>
                <w:sz w:val="24"/>
              </w:rPr>
              <w:t>70</w:t>
            </w:r>
            <w:r>
              <w:rPr>
                <w:rFonts w:hint="eastAsia"/>
                <w:color w:val="auto"/>
                <w:sz w:val="24"/>
              </w:rPr>
              <w:t>m标高</w:t>
            </w:r>
            <w:r>
              <w:rPr>
                <w:color w:val="auto"/>
                <w:sz w:val="24"/>
              </w:rPr>
              <w:t>5</w:t>
            </w:r>
            <w:r>
              <w:rPr>
                <w:rFonts w:hint="eastAsia"/>
                <w:color w:val="auto"/>
                <w:sz w:val="24"/>
              </w:rPr>
              <w:t>个开采台阶，台阶高度约5-45m，采场边坡角42°。</w:t>
            </w:r>
          </w:p>
          <w:p w14:paraId="130160DF">
            <w:pPr>
              <w:pStyle w:val="2"/>
              <w:keepNext w:val="0"/>
              <w:keepLines w:val="0"/>
              <w:pageBreakBefore w:val="0"/>
              <w:widowControl w:val="0"/>
              <w:kinsoku/>
              <w:wordWrap/>
              <w:overflowPunct/>
              <w:topLinePunct w:val="0"/>
              <w:autoSpaceDE/>
              <w:autoSpaceDN/>
              <w:bidi w:val="0"/>
              <w:adjustRightInd/>
              <w:snapToGrid/>
              <w:spacing w:after="0" w:line="480" w:lineRule="exact"/>
              <w:ind w:left="0" w:leftChars="0" w:firstLine="480" w:firstLineChars="200"/>
              <w:textAlignment w:val="auto"/>
              <w:rPr>
                <w:rFonts w:hint="eastAsia"/>
                <w:color w:val="auto"/>
                <w:sz w:val="24"/>
                <w:lang w:val="en-US" w:eastAsia="zh-CN"/>
              </w:rPr>
            </w:pPr>
            <w:r>
              <w:rPr>
                <w:rFonts w:hint="eastAsia"/>
                <w:color w:val="auto"/>
                <w:sz w:val="24"/>
                <w:lang w:val="en-US" w:eastAsia="zh-CN"/>
              </w:rPr>
              <w:t>根据《山西省盂县石鑫矿业有限公司饰面用花岗岩矿资源开发利用和矿山环境保护与土地复垦方案》，已采区</w:t>
            </w:r>
            <w:r>
              <w:rPr>
                <w:rFonts w:hint="eastAsia"/>
                <w:color w:val="auto"/>
                <w:sz w:val="24"/>
                <w:highlight w:val="none"/>
                <w:lang w:val="en-US" w:eastAsia="zh-CN"/>
              </w:rPr>
              <w:t>原土地利用类型</w:t>
            </w:r>
            <w:r>
              <w:rPr>
                <w:rFonts w:hint="eastAsia"/>
                <w:color w:val="auto"/>
                <w:sz w:val="24"/>
                <w:lang w:val="en-US" w:eastAsia="zh-CN"/>
              </w:rPr>
              <w:t>为灌木林地、其他林地、其他草地等，其中灌木林地约2.285hm</w:t>
            </w:r>
            <w:r>
              <w:rPr>
                <w:rFonts w:hint="eastAsia"/>
                <w:color w:val="auto"/>
                <w:sz w:val="24"/>
                <w:vertAlign w:val="superscript"/>
                <w:lang w:val="en-US" w:eastAsia="zh-CN"/>
              </w:rPr>
              <w:t>2</w:t>
            </w:r>
            <w:r>
              <w:rPr>
                <w:rFonts w:hint="eastAsia"/>
                <w:color w:val="auto"/>
                <w:sz w:val="24"/>
                <w:lang w:val="en-US" w:eastAsia="zh-CN"/>
              </w:rPr>
              <w:t>、其他林地约1.46hm</w:t>
            </w:r>
            <w:r>
              <w:rPr>
                <w:rFonts w:hint="eastAsia"/>
                <w:color w:val="auto"/>
                <w:sz w:val="24"/>
                <w:vertAlign w:val="superscript"/>
                <w:lang w:val="en-US" w:eastAsia="zh-CN"/>
              </w:rPr>
              <w:t>2</w:t>
            </w:r>
            <w:r>
              <w:rPr>
                <w:rFonts w:hint="eastAsia"/>
                <w:color w:val="auto"/>
                <w:sz w:val="24"/>
                <w:lang w:val="en-US" w:eastAsia="zh-CN"/>
              </w:rPr>
              <w:t>、其余为草地。</w:t>
            </w:r>
          </w:p>
          <w:p w14:paraId="22766613">
            <w:pPr>
              <w:pStyle w:val="2"/>
              <w:keepNext w:val="0"/>
              <w:keepLines w:val="0"/>
              <w:pageBreakBefore w:val="0"/>
              <w:suppressLineNumbers w:val="0"/>
              <w:kinsoku/>
              <w:wordWrap/>
              <w:overflowPunct/>
              <w:topLinePunct w:val="0"/>
              <w:autoSpaceDE/>
              <w:autoSpaceDN/>
              <w:bidi w:val="0"/>
              <w:adjustRightInd/>
              <w:spacing w:before="0" w:beforeAutospacing="0" w:after="0" w:afterAutospacing="0" w:line="480" w:lineRule="exact"/>
              <w:ind w:left="0" w:leftChars="0" w:right="0" w:firstLine="480" w:firstLineChars="200"/>
              <w:rPr>
                <w:rFonts w:hint="default" w:ascii="Times New Roman" w:hAnsi="Times New Roman" w:eastAsia="宋体" w:cs="Times New Roman"/>
                <w:caps w:val="0"/>
                <w:smallCaps w:val="0"/>
                <w:color w:val="auto"/>
                <w:sz w:val="24"/>
                <w:szCs w:val="24"/>
                <w:highlight w:val="none"/>
                <w:lang w:val="en-US" w:eastAsia="zh-CN"/>
              </w:rPr>
            </w:pPr>
          </w:p>
          <w:p w14:paraId="23BC7AA2">
            <w:pPr>
              <w:keepNext w:val="0"/>
              <w:keepLines w:val="0"/>
              <w:pageBreakBefore w:val="0"/>
              <w:kinsoku/>
              <w:wordWrap/>
              <w:overflowPunct/>
              <w:topLinePunct w:val="0"/>
              <w:autoSpaceDE/>
              <w:autoSpaceDN/>
              <w:bidi w:val="0"/>
              <w:adjustRightInd w:val="0"/>
              <w:snapToGrid w:val="0"/>
              <w:spacing w:line="480" w:lineRule="exact"/>
              <w:ind w:firstLine="480" w:firstLineChars="200"/>
              <w:textAlignment w:val="auto"/>
              <w:rPr>
                <w:rFonts w:eastAsia="仿宋_GB2312"/>
                <w:color w:val="auto"/>
                <w:sz w:val="24"/>
              </w:rPr>
            </w:pPr>
          </w:p>
          <w:p w14:paraId="703264FC">
            <w:pPr>
              <w:keepNext w:val="0"/>
              <w:keepLines w:val="0"/>
              <w:pageBreakBefore w:val="0"/>
              <w:kinsoku/>
              <w:wordWrap/>
              <w:overflowPunct/>
              <w:topLinePunct w:val="0"/>
              <w:autoSpaceDE/>
              <w:autoSpaceDN/>
              <w:bidi w:val="0"/>
              <w:adjustRightInd w:val="0"/>
              <w:snapToGrid w:val="0"/>
              <w:spacing w:line="480" w:lineRule="exact"/>
              <w:ind w:firstLine="480" w:firstLineChars="200"/>
              <w:textAlignment w:val="auto"/>
              <w:rPr>
                <w:rFonts w:eastAsia="仿宋_GB2312"/>
                <w:color w:val="auto"/>
                <w:sz w:val="24"/>
              </w:rPr>
            </w:pPr>
          </w:p>
          <w:p w14:paraId="6539D639">
            <w:pPr>
              <w:keepNext w:val="0"/>
              <w:keepLines w:val="0"/>
              <w:pageBreakBefore w:val="0"/>
              <w:kinsoku/>
              <w:wordWrap/>
              <w:overflowPunct/>
              <w:topLinePunct w:val="0"/>
              <w:autoSpaceDE/>
              <w:autoSpaceDN/>
              <w:bidi w:val="0"/>
              <w:adjustRightInd w:val="0"/>
              <w:snapToGrid w:val="0"/>
              <w:spacing w:line="480" w:lineRule="exact"/>
              <w:ind w:firstLine="480" w:firstLineChars="200"/>
              <w:textAlignment w:val="auto"/>
              <w:rPr>
                <w:rFonts w:eastAsia="仿宋_GB2312"/>
                <w:color w:val="auto"/>
                <w:sz w:val="24"/>
              </w:rPr>
            </w:pPr>
          </w:p>
          <w:p w14:paraId="3AFF5964">
            <w:pPr>
              <w:keepNext w:val="0"/>
              <w:keepLines w:val="0"/>
              <w:pageBreakBefore w:val="0"/>
              <w:kinsoku/>
              <w:wordWrap/>
              <w:overflowPunct/>
              <w:topLinePunct w:val="0"/>
              <w:autoSpaceDE/>
              <w:autoSpaceDN/>
              <w:bidi w:val="0"/>
              <w:adjustRightInd w:val="0"/>
              <w:snapToGrid w:val="0"/>
              <w:spacing w:line="480" w:lineRule="exact"/>
              <w:ind w:firstLine="480" w:firstLineChars="200"/>
              <w:textAlignment w:val="auto"/>
              <w:rPr>
                <w:rFonts w:eastAsia="仿宋_GB2312"/>
                <w:color w:val="auto"/>
                <w:sz w:val="24"/>
              </w:rPr>
            </w:pPr>
          </w:p>
          <w:p w14:paraId="066ADE4B">
            <w:pPr>
              <w:keepNext w:val="0"/>
              <w:keepLines w:val="0"/>
              <w:pageBreakBefore w:val="0"/>
              <w:kinsoku/>
              <w:wordWrap/>
              <w:overflowPunct/>
              <w:topLinePunct w:val="0"/>
              <w:autoSpaceDE/>
              <w:autoSpaceDN/>
              <w:bidi w:val="0"/>
              <w:adjustRightInd w:val="0"/>
              <w:snapToGrid w:val="0"/>
              <w:spacing w:line="480" w:lineRule="exact"/>
              <w:ind w:firstLine="480" w:firstLineChars="200"/>
              <w:textAlignment w:val="auto"/>
              <w:rPr>
                <w:rFonts w:eastAsia="仿宋_GB2312"/>
                <w:color w:val="auto"/>
                <w:sz w:val="24"/>
              </w:rPr>
            </w:pPr>
          </w:p>
          <w:p w14:paraId="679D1268">
            <w:pPr>
              <w:keepNext w:val="0"/>
              <w:keepLines w:val="0"/>
              <w:pageBreakBefore w:val="0"/>
              <w:kinsoku/>
              <w:wordWrap/>
              <w:overflowPunct/>
              <w:topLinePunct w:val="0"/>
              <w:autoSpaceDE/>
              <w:autoSpaceDN/>
              <w:bidi w:val="0"/>
              <w:adjustRightInd w:val="0"/>
              <w:snapToGrid w:val="0"/>
              <w:spacing w:line="480" w:lineRule="exact"/>
              <w:ind w:firstLine="420" w:firstLineChars="200"/>
              <w:textAlignment w:val="auto"/>
              <w:rPr>
                <w:rFonts w:eastAsia="仿宋_GB2312"/>
                <w:color w:val="auto"/>
                <w:sz w:val="24"/>
              </w:rPr>
            </w:pPr>
            <w:r>
              <w:rPr>
                <w:color w:val="auto"/>
              </w:rPr>
              <w:drawing>
                <wp:anchor distT="0" distB="0" distL="114300" distR="114300" simplePos="0" relativeHeight="251666432" behindDoc="1" locked="0" layoutInCell="1" allowOverlap="1">
                  <wp:simplePos x="0" y="0"/>
                  <wp:positionH relativeFrom="column">
                    <wp:posOffset>1260475</wp:posOffset>
                  </wp:positionH>
                  <wp:positionV relativeFrom="paragraph">
                    <wp:posOffset>107315</wp:posOffset>
                  </wp:positionV>
                  <wp:extent cx="3268345" cy="2497455"/>
                  <wp:effectExtent l="0" t="0" r="8255" b="17145"/>
                  <wp:wrapNone/>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1"/>
                          </pic:cNvPicPr>
                        </pic:nvPicPr>
                        <pic:blipFill>
                          <a:blip r:embed="rId11"/>
                          <a:stretch>
                            <a:fillRect/>
                          </a:stretch>
                        </pic:blipFill>
                        <pic:spPr>
                          <a:xfrm>
                            <a:off x="0" y="0"/>
                            <a:ext cx="3268345" cy="2497455"/>
                          </a:xfrm>
                          <a:prstGeom prst="rect">
                            <a:avLst/>
                          </a:prstGeom>
                          <a:noFill/>
                          <a:ln>
                            <a:noFill/>
                          </a:ln>
                        </pic:spPr>
                      </pic:pic>
                    </a:graphicData>
                  </a:graphic>
                </wp:anchor>
              </w:drawing>
            </w:r>
          </w:p>
          <w:p w14:paraId="6E016058">
            <w:pPr>
              <w:keepNext w:val="0"/>
              <w:keepLines w:val="0"/>
              <w:pageBreakBefore w:val="0"/>
              <w:kinsoku/>
              <w:wordWrap/>
              <w:overflowPunct/>
              <w:topLinePunct w:val="0"/>
              <w:autoSpaceDE/>
              <w:autoSpaceDN/>
              <w:bidi w:val="0"/>
              <w:adjustRightInd w:val="0"/>
              <w:snapToGrid w:val="0"/>
              <w:spacing w:line="480" w:lineRule="exact"/>
              <w:ind w:firstLine="420" w:firstLineChars="200"/>
              <w:textAlignment w:val="auto"/>
              <w:rPr>
                <w:color w:val="auto"/>
              </w:rPr>
            </w:pPr>
          </w:p>
          <w:p w14:paraId="759E10BE">
            <w:pPr>
              <w:keepNext w:val="0"/>
              <w:keepLines w:val="0"/>
              <w:pageBreakBefore w:val="0"/>
              <w:kinsoku/>
              <w:wordWrap/>
              <w:overflowPunct/>
              <w:topLinePunct w:val="0"/>
              <w:autoSpaceDE/>
              <w:autoSpaceDN/>
              <w:bidi w:val="0"/>
              <w:adjustRightInd w:val="0"/>
              <w:snapToGrid w:val="0"/>
              <w:spacing w:line="480" w:lineRule="exact"/>
              <w:ind w:firstLine="480" w:firstLineChars="200"/>
              <w:textAlignment w:val="auto"/>
              <w:rPr>
                <w:rFonts w:eastAsia="仿宋_GB2312"/>
                <w:color w:val="auto"/>
                <w:sz w:val="24"/>
              </w:rPr>
            </w:pPr>
          </w:p>
          <w:p w14:paraId="5DC6DA59">
            <w:pPr>
              <w:pStyle w:val="2"/>
              <w:rPr>
                <w:color w:val="auto"/>
              </w:rPr>
            </w:pPr>
          </w:p>
          <w:p w14:paraId="5E4BCA7B">
            <w:pPr>
              <w:keepNext w:val="0"/>
              <w:keepLines w:val="0"/>
              <w:pageBreakBefore w:val="0"/>
              <w:kinsoku/>
              <w:wordWrap/>
              <w:overflowPunct/>
              <w:topLinePunct w:val="0"/>
              <w:autoSpaceDE/>
              <w:autoSpaceDN/>
              <w:bidi w:val="0"/>
              <w:adjustRightInd w:val="0"/>
              <w:snapToGrid w:val="0"/>
              <w:spacing w:line="480" w:lineRule="exact"/>
              <w:ind w:firstLine="480" w:firstLineChars="200"/>
              <w:textAlignment w:val="auto"/>
              <w:rPr>
                <w:rFonts w:eastAsia="仿宋_GB2312"/>
                <w:color w:val="auto"/>
                <w:sz w:val="24"/>
              </w:rPr>
            </w:pPr>
          </w:p>
          <w:p w14:paraId="49D6A551">
            <w:pPr>
              <w:pStyle w:val="2"/>
              <w:rPr>
                <w:rFonts w:eastAsia="仿宋_GB2312"/>
                <w:color w:val="auto"/>
                <w:sz w:val="24"/>
              </w:rPr>
            </w:pPr>
          </w:p>
          <w:p w14:paraId="09330944">
            <w:pPr>
              <w:pStyle w:val="4"/>
              <w:rPr>
                <w:color w:val="auto"/>
              </w:rPr>
            </w:pPr>
          </w:p>
          <w:p w14:paraId="1969FD7F">
            <w:pPr>
              <w:keepNext w:val="0"/>
              <w:keepLines w:val="0"/>
              <w:pageBreakBefore w:val="0"/>
              <w:widowControl w:val="0"/>
              <w:kinsoku/>
              <w:wordWrap/>
              <w:overflowPunct/>
              <w:topLinePunct w:val="0"/>
              <w:autoSpaceDE/>
              <w:autoSpaceDN/>
              <w:bidi w:val="0"/>
              <w:adjustRightInd w:val="0"/>
              <w:snapToGrid w:val="0"/>
              <w:spacing w:line="600" w:lineRule="exact"/>
              <w:ind w:firstLine="0" w:firstLineChars="0"/>
              <w:jc w:val="center"/>
              <w:textAlignment w:val="auto"/>
              <w:rPr>
                <w:rFonts w:hint="eastAsia" w:ascii="Times New Roman" w:hAnsi="Times New Roman" w:cs="Times New Roman"/>
                <w:color w:val="auto"/>
                <w:sz w:val="24"/>
                <w:lang w:val="en-US" w:eastAsia="zh-CN"/>
              </w:rPr>
            </w:pPr>
          </w:p>
          <w:p w14:paraId="279FE7F7">
            <w:pPr>
              <w:keepNext w:val="0"/>
              <w:keepLines w:val="0"/>
              <w:pageBreakBefore w:val="0"/>
              <w:widowControl w:val="0"/>
              <w:kinsoku/>
              <w:wordWrap/>
              <w:overflowPunct/>
              <w:topLinePunct w:val="0"/>
              <w:autoSpaceDE/>
              <w:autoSpaceDN/>
              <w:bidi w:val="0"/>
              <w:adjustRightInd w:val="0"/>
              <w:snapToGrid w:val="0"/>
              <w:spacing w:line="600" w:lineRule="exact"/>
              <w:ind w:firstLine="0" w:firstLineChars="0"/>
              <w:jc w:val="center"/>
              <w:textAlignment w:val="auto"/>
              <w:rPr>
                <w:rFonts w:hint="eastAsia" w:ascii="Times New Roman" w:hAnsi="Times New Roman" w:cs="Times New Roman"/>
                <w:color w:val="auto"/>
                <w:sz w:val="24"/>
                <w:lang w:val="en-US" w:eastAsia="zh-CN"/>
              </w:rPr>
            </w:pPr>
            <w:r>
              <w:rPr>
                <w:rFonts w:hint="eastAsia" w:ascii="Times New Roman" w:hAnsi="Times New Roman" w:cs="Times New Roman"/>
                <w:color w:val="auto"/>
                <w:sz w:val="24"/>
                <w:lang w:val="en-US" w:eastAsia="zh-CN"/>
              </w:rPr>
              <w:t>采场现状</w:t>
            </w:r>
          </w:p>
          <w:p w14:paraId="56E4EFB5">
            <w:pPr>
              <w:keepNext w:val="0"/>
              <w:keepLines w:val="0"/>
              <w:pageBreakBefore w:val="0"/>
              <w:kinsoku/>
              <w:wordWrap/>
              <w:overflowPunct/>
              <w:topLinePunct w:val="0"/>
              <w:autoSpaceDE/>
              <w:autoSpaceDN/>
              <w:bidi w:val="0"/>
              <w:adjustRightInd w:val="0"/>
              <w:snapToGrid w:val="0"/>
              <w:spacing w:line="480" w:lineRule="exact"/>
              <w:ind w:firstLine="480" w:firstLineChars="200"/>
              <w:textAlignment w:val="auto"/>
              <w:rPr>
                <w:color w:val="auto"/>
                <w:sz w:val="24"/>
              </w:rPr>
            </w:pPr>
            <w:r>
              <w:rPr>
                <w:rFonts w:eastAsia="仿宋_GB2312"/>
                <w:color w:val="auto"/>
                <w:sz w:val="24"/>
              </w:rPr>
              <w:t>②</w:t>
            </w:r>
            <w:r>
              <w:rPr>
                <w:rFonts w:hint="eastAsia" w:ascii="宋体" w:hAnsi="宋体" w:cs="宋体"/>
                <w:color w:val="auto"/>
                <w:sz w:val="24"/>
              </w:rPr>
              <w:t>排土场</w:t>
            </w:r>
          </w:p>
          <w:p w14:paraId="62D2B999">
            <w:pPr>
              <w:keepNext w:val="0"/>
              <w:keepLines w:val="0"/>
              <w:pageBreakBefore w:val="0"/>
              <w:widowControl/>
              <w:kinsoku/>
              <w:wordWrap/>
              <w:overflowPunct/>
              <w:topLinePunct w:val="0"/>
              <w:autoSpaceDE/>
              <w:autoSpaceDN/>
              <w:bidi w:val="0"/>
              <w:spacing w:line="480" w:lineRule="exact"/>
              <w:ind w:firstLine="480" w:firstLineChars="200"/>
              <w:textAlignment w:val="auto"/>
              <w:rPr>
                <w:color w:val="auto"/>
                <w:kern w:val="0"/>
                <w:sz w:val="24"/>
                <w:lang w:bidi="ar"/>
              </w:rPr>
            </w:pPr>
            <w:r>
              <w:rPr>
                <w:color w:val="auto"/>
                <w:kern w:val="0"/>
                <w:sz w:val="24"/>
                <w:lang w:bidi="ar"/>
              </w:rPr>
              <w:t>排土场位于矿界东</w:t>
            </w:r>
            <w:r>
              <w:rPr>
                <w:rFonts w:hint="eastAsia"/>
                <w:color w:val="auto"/>
                <w:kern w:val="0"/>
                <w:sz w:val="24"/>
                <w:lang w:bidi="ar"/>
              </w:rPr>
              <w:t>北</w:t>
            </w:r>
            <w:r>
              <w:rPr>
                <w:color w:val="auto"/>
                <w:kern w:val="0"/>
                <w:sz w:val="24"/>
                <w:lang w:bidi="ar"/>
              </w:rPr>
              <w:t>侧的沟谷中</w:t>
            </w:r>
            <w:r>
              <w:rPr>
                <w:rFonts w:hint="eastAsia"/>
                <w:color w:val="auto"/>
                <w:kern w:val="0"/>
                <w:sz w:val="24"/>
                <w:lang w:eastAsia="zh-CN" w:bidi="ar"/>
              </w:rPr>
              <w:t>，</w:t>
            </w:r>
            <w:r>
              <w:rPr>
                <w:color w:val="auto"/>
                <w:kern w:val="0"/>
                <w:sz w:val="24"/>
                <w:lang w:bidi="ar"/>
              </w:rPr>
              <w:t>为沟谷型排土场</w:t>
            </w:r>
            <w:r>
              <w:rPr>
                <w:rFonts w:hint="eastAsia"/>
                <w:color w:val="auto"/>
                <w:kern w:val="0"/>
                <w:sz w:val="24"/>
                <w:vertAlign w:val="baseline"/>
                <w:lang w:eastAsia="zh-CN" w:bidi="ar"/>
              </w:rPr>
              <w:t>，</w:t>
            </w:r>
            <w:r>
              <w:rPr>
                <w:rFonts w:hint="eastAsia"/>
                <w:color w:val="auto"/>
                <w:kern w:val="0"/>
                <w:sz w:val="24"/>
                <w:vertAlign w:val="baseline"/>
                <w:lang w:val="en-US" w:eastAsia="zh-CN" w:bidi="ar"/>
              </w:rPr>
              <w:t>建设有拦渣坝</w:t>
            </w:r>
            <w:r>
              <w:rPr>
                <w:color w:val="auto"/>
                <w:kern w:val="0"/>
                <w:sz w:val="24"/>
                <w:lang w:bidi="ar"/>
              </w:rPr>
              <w:t>。本次设计继续使用，总占地面积约5.9595</w:t>
            </w:r>
            <w:r>
              <w:rPr>
                <w:rFonts w:hint="eastAsia"/>
                <w:color w:val="auto"/>
                <w:kern w:val="0"/>
                <w:sz w:val="24"/>
                <w:lang w:bidi="ar"/>
              </w:rPr>
              <w:t>hm</w:t>
            </w:r>
            <w:r>
              <w:rPr>
                <w:color w:val="auto"/>
                <w:kern w:val="0"/>
                <w:sz w:val="24"/>
                <w:vertAlign w:val="superscript"/>
                <w:lang w:bidi="ar"/>
              </w:rPr>
              <w:t>2</w:t>
            </w:r>
            <w:r>
              <w:rPr>
                <w:color w:val="auto"/>
                <w:kern w:val="0"/>
                <w:sz w:val="24"/>
                <w:lang w:bidi="ar"/>
              </w:rPr>
              <w:t>，</w:t>
            </w:r>
            <w:r>
              <w:rPr>
                <w:rFonts w:hint="eastAsia"/>
                <w:color w:val="auto"/>
                <w:kern w:val="0"/>
                <w:sz w:val="24"/>
                <w:lang w:bidi="ar"/>
              </w:rPr>
              <w:t>总容积940.66万m</w:t>
            </w:r>
            <w:r>
              <w:rPr>
                <w:rFonts w:hint="eastAsia"/>
                <w:color w:val="auto"/>
                <w:kern w:val="0"/>
                <w:sz w:val="24"/>
                <w:vertAlign w:val="superscript"/>
                <w:lang w:bidi="ar"/>
              </w:rPr>
              <w:t>3</w:t>
            </w:r>
            <w:r>
              <w:rPr>
                <w:rFonts w:hint="eastAsia"/>
                <w:color w:val="auto"/>
                <w:kern w:val="0"/>
                <w:sz w:val="24"/>
                <w:lang w:bidi="ar"/>
              </w:rPr>
              <w:t>，</w:t>
            </w:r>
            <w:r>
              <w:rPr>
                <w:color w:val="auto"/>
                <w:kern w:val="0"/>
                <w:sz w:val="24"/>
                <w:lang w:bidi="ar"/>
              </w:rPr>
              <w:t>目前排放占用约</w:t>
            </w:r>
            <w:r>
              <w:rPr>
                <w:rFonts w:hint="eastAsia"/>
                <w:color w:val="auto"/>
                <w:kern w:val="0"/>
                <w:sz w:val="24"/>
                <w:lang w:bidi="ar"/>
              </w:rPr>
              <w:t>408.6万m</w:t>
            </w:r>
            <w:r>
              <w:rPr>
                <w:rFonts w:hint="eastAsia"/>
                <w:color w:val="auto"/>
                <w:kern w:val="0"/>
                <w:sz w:val="24"/>
                <w:vertAlign w:val="superscript"/>
                <w:lang w:bidi="ar"/>
              </w:rPr>
              <w:t>3</w:t>
            </w:r>
            <w:r>
              <w:rPr>
                <w:rFonts w:hint="eastAsia"/>
                <w:color w:val="auto"/>
                <w:kern w:val="0"/>
                <w:sz w:val="24"/>
                <w:vertAlign w:val="baseline"/>
                <w:lang w:eastAsia="zh-CN" w:bidi="ar"/>
              </w:rPr>
              <w:t>，</w:t>
            </w:r>
            <w:r>
              <w:rPr>
                <w:rFonts w:hint="default" w:ascii="Times New Roman" w:hAnsi="Times New Roman" w:eastAsia="宋体" w:cs="Times New Roman"/>
                <w:color w:val="auto"/>
                <w:kern w:val="0"/>
                <w:sz w:val="24"/>
                <w:szCs w:val="24"/>
                <w:lang w:val="en-US" w:eastAsia="zh-CN" w:bidi="ar"/>
              </w:rPr>
              <w:t>形成</w:t>
            </w:r>
            <w:r>
              <w:rPr>
                <w:rFonts w:hint="eastAsia" w:ascii="Times New Roman" w:hAnsi="Times New Roman" w:cs="Times New Roman"/>
                <w:color w:val="auto"/>
                <w:kern w:val="0"/>
                <w:sz w:val="24"/>
                <w:szCs w:val="24"/>
                <w:lang w:val="en-US" w:eastAsia="zh-CN" w:bidi="ar"/>
              </w:rPr>
              <w:t>960</w:t>
            </w:r>
            <w:r>
              <w:rPr>
                <w:rFonts w:hint="default" w:ascii="Times New Roman" w:hAnsi="Times New Roman" w:eastAsia="宋体" w:cs="Times New Roman"/>
                <w:color w:val="auto"/>
                <w:kern w:val="0"/>
                <w:sz w:val="24"/>
                <w:szCs w:val="24"/>
                <w:lang w:val="en-US" w:eastAsia="zh-CN" w:bidi="ar"/>
              </w:rPr>
              <w:t>m、</w:t>
            </w:r>
            <w:r>
              <w:rPr>
                <w:rFonts w:hint="eastAsia" w:ascii="Times New Roman" w:hAnsi="Times New Roman" w:cs="Times New Roman"/>
                <w:color w:val="auto"/>
                <w:kern w:val="0"/>
                <w:sz w:val="24"/>
                <w:szCs w:val="24"/>
                <w:lang w:val="en-US" w:eastAsia="zh-CN" w:bidi="ar"/>
              </w:rPr>
              <w:t>980</w:t>
            </w:r>
            <w:r>
              <w:rPr>
                <w:rFonts w:hint="default" w:ascii="Times New Roman" w:hAnsi="Times New Roman" w:eastAsia="宋体" w:cs="Times New Roman"/>
                <w:color w:val="auto"/>
                <w:kern w:val="0"/>
                <w:sz w:val="24"/>
                <w:szCs w:val="24"/>
                <w:lang w:val="en-US" w:eastAsia="zh-CN" w:bidi="ar"/>
              </w:rPr>
              <w:t>m排土作业平台</w:t>
            </w:r>
            <w:r>
              <w:rPr>
                <w:color w:val="auto"/>
                <w:kern w:val="0"/>
                <w:sz w:val="24"/>
                <w:lang w:bidi="ar"/>
              </w:rPr>
              <w:t>。后续严格按照设计排土方案进行排土作业，确保排土场安全稳定。</w:t>
            </w:r>
          </w:p>
          <w:p w14:paraId="6F2E53D3">
            <w:pPr>
              <w:pStyle w:val="2"/>
              <w:keepNext w:val="0"/>
              <w:keepLines w:val="0"/>
              <w:pageBreakBefore w:val="0"/>
              <w:kinsoku/>
              <w:wordWrap/>
              <w:overflowPunct/>
              <w:topLinePunct w:val="0"/>
              <w:autoSpaceDE/>
              <w:autoSpaceDN/>
              <w:bidi w:val="0"/>
              <w:spacing w:after="0" w:line="480" w:lineRule="exact"/>
              <w:ind w:left="0" w:leftChars="0" w:firstLine="480" w:firstLineChars="200"/>
              <w:textAlignment w:val="auto"/>
              <w:rPr>
                <w:rFonts w:hint="eastAsia" w:ascii="宋体" w:hAnsi="宋体" w:cs="宋体"/>
                <w:color w:val="auto"/>
                <w:sz w:val="24"/>
                <w:highlight w:val="none"/>
              </w:rPr>
            </w:pPr>
            <w:r>
              <w:rPr>
                <w:rFonts w:hint="eastAsia"/>
                <w:color w:val="auto"/>
                <w:kern w:val="0"/>
                <w:sz w:val="24"/>
                <w:highlight w:val="none"/>
                <w:lang w:val="en-US" w:eastAsia="zh-CN" w:bidi="ar"/>
              </w:rPr>
              <w:t>排土场卸料过程采用雾炮机抑尘。排土场已</w:t>
            </w:r>
            <w:r>
              <w:rPr>
                <w:color w:val="auto"/>
                <w:kern w:val="0"/>
                <w:sz w:val="24"/>
                <w:highlight w:val="none"/>
                <w:lang w:bidi="ar"/>
              </w:rPr>
              <w:t>修筑拦渣坝，</w:t>
            </w:r>
            <w:r>
              <w:rPr>
                <w:rFonts w:hint="eastAsia"/>
                <w:color w:val="auto"/>
                <w:kern w:val="0"/>
                <w:sz w:val="24"/>
                <w:highlight w:val="none"/>
                <w:lang w:val="en-US" w:eastAsia="zh-CN" w:bidi="ar"/>
              </w:rPr>
              <w:t>无截排水设施</w:t>
            </w:r>
            <w:r>
              <w:rPr>
                <w:color w:val="auto"/>
                <w:kern w:val="0"/>
                <w:sz w:val="24"/>
                <w:highlight w:val="none"/>
                <w:lang w:bidi="ar"/>
              </w:rPr>
              <w:t>，</w:t>
            </w:r>
            <w:r>
              <w:rPr>
                <w:rFonts w:hint="eastAsia"/>
                <w:color w:val="auto"/>
                <w:kern w:val="0"/>
                <w:sz w:val="24"/>
                <w:highlight w:val="none"/>
                <w:lang w:val="en-US" w:eastAsia="zh-CN" w:bidi="ar"/>
              </w:rPr>
              <w:t>已</w:t>
            </w:r>
            <w:r>
              <w:rPr>
                <w:rFonts w:hint="default" w:ascii="Times New Roman" w:hAnsi="Times New Roman" w:eastAsia="宋体" w:cs="Times New Roman"/>
                <w:color w:val="auto"/>
                <w:kern w:val="0"/>
                <w:sz w:val="24"/>
                <w:szCs w:val="24"/>
                <w:highlight w:val="none"/>
                <w:lang w:val="en-US" w:eastAsia="zh-CN" w:bidi="ar"/>
              </w:rPr>
              <w:t>形成</w:t>
            </w:r>
            <w:r>
              <w:rPr>
                <w:rFonts w:hint="eastAsia" w:cs="Times New Roman"/>
                <w:color w:val="auto"/>
                <w:kern w:val="0"/>
                <w:sz w:val="24"/>
                <w:szCs w:val="24"/>
                <w:highlight w:val="none"/>
                <w:lang w:val="en-US" w:eastAsia="zh-CN" w:bidi="ar"/>
              </w:rPr>
              <w:t>的</w:t>
            </w:r>
            <w:r>
              <w:rPr>
                <w:rFonts w:hint="eastAsia" w:ascii="Times New Roman" w:hAnsi="Times New Roman" w:cs="Times New Roman"/>
                <w:color w:val="auto"/>
                <w:kern w:val="0"/>
                <w:sz w:val="24"/>
                <w:szCs w:val="24"/>
                <w:highlight w:val="none"/>
                <w:lang w:val="en-US" w:eastAsia="zh-CN" w:bidi="ar"/>
              </w:rPr>
              <w:t>960</w:t>
            </w:r>
            <w:r>
              <w:rPr>
                <w:rFonts w:hint="default" w:ascii="Times New Roman" w:hAnsi="Times New Roman" w:eastAsia="宋体" w:cs="Times New Roman"/>
                <w:color w:val="auto"/>
                <w:kern w:val="0"/>
                <w:sz w:val="24"/>
                <w:szCs w:val="24"/>
                <w:highlight w:val="none"/>
                <w:lang w:val="en-US" w:eastAsia="zh-CN" w:bidi="ar"/>
              </w:rPr>
              <w:t>m、</w:t>
            </w:r>
            <w:r>
              <w:rPr>
                <w:rFonts w:hint="eastAsia" w:ascii="Times New Roman" w:hAnsi="Times New Roman" w:cs="Times New Roman"/>
                <w:color w:val="auto"/>
                <w:kern w:val="0"/>
                <w:sz w:val="24"/>
                <w:szCs w:val="24"/>
                <w:highlight w:val="none"/>
                <w:lang w:val="en-US" w:eastAsia="zh-CN" w:bidi="ar"/>
              </w:rPr>
              <w:t>980</w:t>
            </w:r>
            <w:r>
              <w:rPr>
                <w:rFonts w:hint="default" w:ascii="Times New Roman" w:hAnsi="Times New Roman" w:eastAsia="宋体" w:cs="Times New Roman"/>
                <w:color w:val="auto"/>
                <w:kern w:val="0"/>
                <w:sz w:val="24"/>
                <w:szCs w:val="24"/>
                <w:highlight w:val="none"/>
                <w:lang w:val="en-US" w:eastAsia="zh-CN" w:bidi="ar"/>
              </w:rPr>
              <w:t>m排土作业平台</w:t>
            </w:r>
            <w:r>
              <w:rPr>
                <w:rFonts w:hint="eastAsia" w:cs="Times New Roman"/>
                <w:color w:val="auto"/>
                <w:kern w:val="0"/>
                <w:sz w:val="24"/>
                <w:szCs w:val="24"/>
                <w:highlight w:val="none"/>
                <w:lang w:val="en-US" w:eastAsia="zh-CN" w:bidi="ar"/>
              </w:rPr>
              <w:t>未</w:t>
            </w:r>
            <w:r>
              <w:rPr>
                <w:color w:val="auto"/>
                <w:kern w:val="0"/>
                <w:sz w:val="24"/>
                <w:highlight w:val="none"/>
                <w:lang w:bidi="ar"/>
              </w:rPr>
              <w:t>进行绿化。</w:t>
            </w:r>
          </w:p>
          <w:p w14:paraId="1AD9072A">
            <w:pPr>
              <w:pStyle w:val="2"/>
              <w:keepNext w:val="0"/>
              <w:keepLines w:val="0"/>
              <w:pageBreakBefore w:val="0"/>
              <w:kinsoku/>
              <w:wordWrap/>
              <w:overflowPunct/>
              <w:topLinePunct w:val="0"/>
              <w:autoSpaceDE/>
              <w:autoSpaceDN/>
              <w:bidi w:val="0"/>
              <w:spacing w:after="0" w:line="480" w:lineRule="exact"/>
              <w:ind w:left="0" w:leftChars="0" w:firstLine="480" w:firstLineChars="200"/>
              <w:textAlignment w:val="auto"/>
              <w:rPr>
                <w:color w:val="auto"/>
                <w:sz w:val="24"/>
              </w:rPr>
            </w:pPr>
            <w:r>
              <w:rPr>
                <w:rFonts w:hint="eastAsia" w:ascii="宋体" w:hAnsi="宋体" w:cs="宋体"/>
                <w:color w:val="auto"/>
                <w:sz w:val="24"/>
              </w:rPr>
              <w:t>③办公生活区</w:t>
            </w:r>
          </w:p>
          <w:p w14:paraId="26214EEA">
            <w:pPr>
              <w:pStyle w:val="2"/>
              <w:keepNext w:val="0"/>
              <w:keepLines w:val="0"/>
              <w:pageBreakBefore w:val="0"/>
              <w:kinsoku/>
              <w:wordWrap/>
              <w:overflowPunct/>
              <w:topLinePunct w:val="0"/>
              <w:autoSpaceDE/>
              <w:autoSpaceDN/>
              <w:bidi w:val="0"/>
              <w:spacing w:after="0" w:line="480" w:lineRule="exact"/>
              <w:ind w:left="0" w:leftChars="0" w:firstLine="480" w:firstLineChars="200"/>
              <w:textAlignment w:val="auto"/>
              <w:rPr>
                <w:rFonts w:hint="eastAsia"/>
                <w:color w:val="auto"/>
                <w:kern w:val="0"/>
                <w:sz w:val="24"/>
                <w:lang w:bidi="ar"/>
              </w:rPr>
            </w:pPr>
            <w:r>
              <w:rPr>
                <w:rFonts w:hint="eastAsia"/>
                <w:color w:val="auto"/>
                <w:sz w:val="24"/>
              </w:rPr>
              <w:t>占地</w:t>
            </w:r>
            <w:r>
              <w:rPr>
                <w:rFonts w:hint="eastAsia"/>
                <w:color w:val="auto"/>
                <w:sz w:val="24"/>
                <w:highlight w:val="none"/>
              </w:rPr>
              <w:t>0.</w:t>
            </w:r>
            <w:r>
              <w:rPr>
                <w:color w:val="auto"/>
                <w:sz w:val="24"/>
                <w:highlight w:val="none"/>
              </w:rPr>
              <w:t>1782</w:t>
            </w:r>
            <w:r>
              <w:rPr>
                <w:rFonts w:hint="eastAsia"/>
                <w:color w:val="auto"/>
                <w:sz w:val="24"/>
              </w:rPr>
              <w:t>hm²，建设有办公用房（占地</w:t>
            </w:r>
            <w:r>
              <w:rPr>
                <w:color w:val="auto"/>
                <w:sz w:val="24"/>
              </w:rPr>
              <w:t>400</w:t>
            </w:r>
            <w:r>
              <w:rPr>
                <w:rFonts w:hint="eastAsia"/>
                <w:color w:val="auto"/>
                <w:sz w:val="24"/>
              </w:rPr>
              <w:t>m</w:t>
            </w:r>
            <w:r>
              <w:rPr>
                <w:rFonts w:hint="eastAsia"/>
                <w:color w:val="auto"/>
                <w:sz w:val="24"/>
                <w:vertAlign w:val="superscript"/>
              </w:rPr>
              <w:t>2</w:t>
            </w:r>
            <w:r>
              <w:rPr>
                <w:rFonts w:hint="eastAsia"/>
                <w:color w:val="auto"/>
                <w:sz w:val="24"/>
              </w:rPr>
              <w:t>），办公、生活污水用于厂区洒水抑尘。</w:t>
            </w:r>
            <w:r>
              <w:rPr>
                <w:color w:val="auto"/>
                <w:kern w:val="0"/>
                <w:sz w:val="24"/>
                <w:lang w:bidi="ar"/>
              </w:rPr>
              <w:t>本次设计继续使用</w:t>
            </w:r>
            <w:r>
              <w:rPr>
                <w:rFonts w:hint="eastAsia"/>
                <w:color w:val="auto"/>
                <w:kern w:val="0"/>
                <w:sz w:val="24"/>
                <w:lang w:bidi="ar"/>
              </w:rPr>
              <w:t>该办公生活区。</w:t>
            </w:r>
          </w:p>
          <w:p w14:paraId="47D39142">
            <w:pPr>
              <w:pStyle w:val="2"/>
              <w:keepNext w:val="0"/>
              <w:keepLines w:val="0"/>
              <w:pageBreakBefore w:val="0"/>
              <w:kinsoku/>
              <w:wordWrap/>
              <w:overflowPunct/>
              <w:topLinePunct w:val="0"/>
              <w:autoSpaceDE/>
              <w:autoSpaceDN/>
              <w:bidi w:val="0"/>
              <w:spacing w:after="0" w:line="480" w:lineRule="exact"/>
              <w:ind w:left="0" w:leftChars="0" w:firstLine="480" w:firstLineChars="200"/>
              <w:textAlignment w:val="auto"/>
              <w:rPr>
                <w:color w:val="auto"/>
                <w:sz w:val="24"/>
              </w:rPr>
            </w:pPr>
            <w:r>
              <w:rPr>
                <w:rFonts w:hint="eastAsia"/>
                <w:color w:val="auto"/>
                <w:sz w:val="24"/>
              </w:rPr>
              <w:t>③运矿道路</w:t>
            </w:r>
          </w:p>
          <w:p w14:paraId="4408DF61">
            <w:pPr>
              <w:keepNext w:val="0"/>
              <w:keepLines w:val="0"/>
              <w:pageBreakBefore w:val="0"/>
              <w:kinsoku/>
              <w:wordWrap/>
              <w:overflowPunct/>
              <w:topLinePunct w:val="0"/>
              <w:autoSpaceDE/>
              <w:autoSpaceDN/>
              <w:bidi w:val="0"/>
              <w:adjustRightInd w:val="0"/>
              <w:snapToGrid w:val="0"/>
              <w:spacing w:line="480" w:lineRule="exact"/>
              <w:ind w:firstLine="480" w:firstLineChars="200"/>
              <w:textAlignment w:val="auto"/>
              <w:rPr>
                <w:color w:val="auto"/>
                <w:sz w:val="24"/>
              </w:rPr>
            </w:pPr>
            <w:r>
              <w:rPr>
                <w:rFonts w:hint="eastAsia"/>
                <w:color w:val="auto"/>
                <w:sz w:val="24"/>
              </w:rPr>
              <w:t>现场遗留有一条运矿道路，</w:t>
            </w:r>
            <w:r>
              <w:rPr>
                <w:rFonts w:hint="eastAsia"/>
                <w:color w:val="auto"/>
                <w:sz w:val="24"/>
                <w:lang w:val="en-US" w:eastAsia="zh-CN"/>
              </w:rPr>
              <w:t>素土路面，</w:t>
            </w:r>
            <w:r>
              <w:rPr>
                <w:rFonts w:hint="eastAsia"/>
                <w:color w:val="auto"/>
                <w:sz w:val="24"/>
              </w:rPr>
              <w:t>长</w:t>
            </w:r>
            <w:r>
              <w:rPr>
                <w:color w:val="auto"/>
                <w:sz w:val="24"/>
              </w:rPr>
              <w:t>2310</w:t>
            </w:r>
            <w:r>
              <w:rPr>
                <w:rFonts w:hint="eastAsia"/>
                <w:color w:val="auto"/>
                <w:sz w:val="24"/>
              </w:rPr>
              <w:t>m，宽4.5～6.5m，占地</w:t>
            </w:r>
            <w:r>
              <w:rPr>
                <w:color w:val="auto"/>
                <w:sz w:val="24"/>
              </w:rPr>
              <w:t>0.9365</w:t>
            </w:r>
            <w:r>
              <w:rPr>
                <w:rFonts w:hint="eastAsia"/>
                <w:color w:val="auto"/>
                <w:sz w:val="24"/>
              </w:rPr>
              <w:t>hm</w:t>
            </w:r>
            <w:r>
              <w:rPr>
                <w:rFonts w:hint="eastAsia"/>
                <w:color w:val="auto"/>
                <w:sz w:val="24"/>
                <w:vertAlign w:val="superscript"/>
              </w:rPr>
              <w:t>2</w:t>
            </w:r>
            <w:r>
              <w:rPr>
                <w:rFonts w:hint="eastAsia"/>
                <w:color w:val="auto"/>
                <w:sz w:val="24"/>
              </w:rPr>
              <w:t>。</w:t>
            </w:r>
            <w:r>
              <w:rPr>
                <w:color w:val="auto"/>
                <w:kern w:val="0"/>
                <w:sz w:val="24"/>
                <w:lang w:bidi="ar"/>
              </w:rPr>
              <w:t>本次设计继续使用</w:t>
            </w:r>
            <w:r>
              <w:rPr>
                <w:rFonts w:hint="eastAsia"/>
                <w:color w:val="auto"/>
                <w:kern w:val="0"/>
                <w:sz w:val="24"/>
                <w:lang w:bidi="ar"/>
              </w:rPr>
              <w:t>该运矿道路。</w:t>
            </w:r>
          </w:p>
          <w:p w14:paraId="32AAAC68">
            <w:pPr>
              <w:keepNext w:val="0"/>
              <w:keepLines w:val="0"/>
              <w:pageBreakBefore w:val="0"/>
              <w:kinsoku/>
              <w:wordWrap/>
              <w:overflowPunct/>
              <w:topLinePunct w:val="0"/>
              <w:autoSpaceDE/>
              <w:autoSpaceDN/>
              <w:bidi w:val="0"/>
              <w:adjustRightInd w:val="0"/>
              <w:snapToGrid w:val="0"/>
              <w:spacing w:line="480" w:lineRule="exact"/>
              <w:ind w:firstLine="480" w:firstLineChars="200"/>
              <w:textAlignment w:val="auto"/>
              <w:rPr>
                <w:color w:val="auto"/>
                <w:sz w:val="24"/>
              </w:rPr>
            </w:pPr>
            <w:r>
              <w:rPr>
                <w:rFonts w:hint="eastAsia"/>
                <w:color w:val="auto"/>
                <w:sz w:val="24"/>
              </w:rPr>
              <w:t>（2）原盂县西潘乡鑫盛石矿</w:t>
            </w:r>
          </w:p>
          <w:p w14:paraId="2CC91C6C">
            <w:pPr>
              <w:keepNext w:val="0"/>
              <w:keepLines w:val="0"/>
              <w:pageBreakBefore w:val="0"/>
              <w:kinsoku/>
              <w:wordWrap/>
              <w:overflowPunct/>
              <w:topLinePunct w:val="0"/>
              <w:autoSpaceDE/>
              <w:autoSpaceDN/>
              <w:bidi w:val="0"/>
              <w:adjustRightInd w:val="0"/>
              <w:snapToGrid w:val="0"/>
              <w:spacing w:line="480" w:lineRule="exact"/>
              <w:ind w:firstLine="480" w:firstLineChars="200"/>
              <w:textAlignment w:val="auto"/>
              <w:rPr>
                <w:rFonts w:hint="eastAsia"/>
                <w:color w:val="auto"/>
                <w:sz w:val="24"/>
              </w:rPr>
            </w:pPr>
            <w:r>
              <w:rPr>
                <w:rFonts w:hint="eastAsia"/>
                <w:color w:val="auto"/>
                <w:sz w:val="24"/>
              </w:rPr>
              <w:t>2017年11月22日，盂县环境保护局以盂环函〔2017〕323号文对《盂县西潘乡鑫盛石矿年采0.2万m</w:t>
            </w:r>
            <w:r>
              <w:rPr>
                <w:rFonts w:hint="eastAsia"/>
                <w:color w:val="auto"/>
                <w:sz w:val="24"/>
                <w:vertAlign w:val="superscript"/>
              </w:rPr>
              <w:t>3</w:t>
            </w:r>
            <w:r>
              <w:rPr>
                <w:rFonts w:hint="eastAsia"/>
                <w:color w:val="auto"/>
                <w:sz w:val="24"/>
              </w:rPr>
              <w:t>石料开采项目环境影响报告表》进行了批复。</w:t>
            </w:r>
          </w:p>
          <w:p w14:paraId="2207088C">
            <w:pPr>
              <w:keepNext w:val="0"/>
              <w:keepLines w:val="0"/>
              <w:pageBreakBefore w:val="0"/>
              <w:kinsoku/>
              <w:wordWrap/>
              <w:overflowPunct/>
              <w:topLinePunct w:val="0"/>
              <w:autoSpaceDE/>
              <w:autoSpaceDN/>
              <w:bidi w:val="0"/>
              <w:adjustRightInd w:val="0"/>
              <w:snapToGrid w:val="0"/>
              <w:spacing w:line="480" w:lineRule="exact"/>
              <w:ind w:firstLine="480" w:firstLineChars="200"/>
              <w:textAlignment w:val="auto"/>
              <w:rPr>
                <w:color w:val="auto"/>
                <w:sz w:val="24"/>
              </w:rPr>
            </w:pPr>
            <w:r>
              <w:rPr>
                <w:rFonts w:hint="eastAsia"/>
                <w:color w:val="auto"/>
                <w:sz w:val="24"/>
              </w:rPr>
              <w:t>原盂县西潘乡鑫盛石矿持有阳泉市规划和资源局颁发的采矿许可证，编号C1403002011017120103543，自2022年12月25日至2024年12月30日。开采方式：露天开采，生产规模0.20万立方米/年，批采标高：1152-940m。目前，该矿山形成一处露天采场。</w:t>
            </w:r>
            <w:bookmarkStart w:id="20" w:name="_Hlk214489427"/>
          </w:p>
          <w:p w14:paraId="70A607BB">
            <w:pPr>
              <w:keepNext w:val="0"/>
              <w:keepLines w:val="0"/>
              <w:pageBreakBefore w:val="0"/>
              <w:kinsoku/>
              <w:wordWrap/>
              <w:overflowPunct/>
              <w:topLinePunct w:val="0"/>
              <w:autoSpaceDE/>
              <w:autoSpaceDN/>
              <w:bidi w:val="0"/>
              <w:adjustRightInd w:val="0"/>
              <w:snapToGrid w:val="0"/>
              <w:spacing w:line="480" w:lineRule="exact"/>
              <w:ind w:firstLine="480" w:firstLineChars="200"/>
              <w:textAlignment w:val="auto"/>
              <w:rPr>
                <w:color w:val="auto"/>
                <w:sz w:val="24"/>
              </w:rPr>
            </w:pPr>
            <w:r>
              <w:rPr>
                <w:color w:val="auto"/>
                <w:sz w:val="24"/>
              </w:rPr>
              <w:t>①</w:t>
            </w:r>
            <w:r>
              <w:rPr>
                <w:rFonts w:hint="eastAsia"/>
                <w:color w:val="auto"/>
                <w:sz w:val="24"/>
              </w:rPr>
              <w:t>采场</w:t>
            </w:r>
            <w:r>
              <w:rPr>
                <w:color w:val="auto"/>
                <w:sz w:val="24"/>
              </w:rPr>
              <w:t>现状</w:t>
            </w:r>
          </w:p>
          <w:p w14:paraId="1E873C1E">
            <w:pPr>
              <w:keepNext w:val="0"/>
              <w:keepLines w:val="0"/>
              <w:pageBreakBefore w:val="0"/>
              <w:kinsoku/>
              <w:wordWrap/>
              <w:overflowPunct/>
              <w:topLinePunct w:val="0"/>
              <w:autoSpaceDE/>
              <w:autoSpaceDN/>
              <w:bidi w:val="0"/>
              <w:adjustRightInd w:val="0"/>
              <w:snapToGrid w:val="0"/>
              <w:spacing w:line="480" w:lineRule="exact"/>
              <w:ind w:firstLine="480" w:firstLineChars="200"/>
              <w:textAlignment w:val="auto"/>
              <w:rPr>
                <w:color w:val="auto"/>
                <w:kern w:val="0"/>
                <w:sz w:val="24"/>
                <w:lang w:bidi="ar"/>
              </w:rPr>
            </w:pPr>
            <w:r>
              <w:rPr>
                <w:rFonts w:hint="eastAsia"/>
                <w:color w:val="auto"/>
                <w:sz w:val="24"/>
              </w:rPr>
              <w:t>采场呈不规则状，微地貌主要为开采平台以及边坡，损毁程度为重度。已采区面积</w:t>
            </w:r>
            <w:r>
              <w:rPr>
                <w:rFonts w:hint="eastAsia"/>
                <w:color w:val="auto"/>
                <w:sz w:val="24"/>
                <w:lang w:val="en-US" w:eastAsia="zh-CN"/>
              </w:rPr>
              <w:t>16.3679</w:t>
            </w:r>
            <w:r>
              <w:rPr>
                <w:rFonts w:hint="eastAsia"/>
                <w:color w:val="auto"/>
                <w:sz w:val="24"/>
              </w:rPr>
              <w:t>hm</w:t>
            </w:r>
            <w:r>
              <w:rPr>
                <w:rFonts w:hint="eastAsia"/>
                <w:color w:val="auto"/>
                <w:sz w:val="24"/>
                <w:vertAlign w:val="superscript"/>
              </w:rPr>
              <w:t>2</w:t>
            </w:r>
            <w:r>
              <w:rPr>
                <w:rFonts w:hint="eastAsia"/>
                <w:color w:val="auto"/>
                <w:sz w:val="24"/>
              </w:rPr>
              <w:t>，其形态为露采边坡环绕的一个采坑，边坡岩性为黑云母花岗岩、辉长苏长岩、黑云斜长片麻岩等，目前已形成1080m、1065m、1050m、1035m标高</w:t>
            </w:r>
            <w:r>
              <w:rPr>
                <w:color w:val="auto"/>
                <w:sz w:val="24"/>
              </w:rPr>
              <w:t>4</w:t>
            </w:r>
            <w:r>
              <w:rPr>
                <w:rFonts w:hint="eastAsia"/>
                <w:color w:val="auto"/>
                <w:sz w:val="24"/>
              </w:rPr>
              <w:t>个开采台阶，台阶高度约5-4</w:t>
            </w:r>
            <w:r>
              <w:rPr>
                <w:color w:val="auto"/>
                <w:sz w:val="24"/>
              </w:rPr>
              <w:t>0</w:t>
            </w:r>
            <w:r>
              <w:rPr>
                <w:rFonts w:hint="eastAsia"/>
                <w:color w:val="auto"/>
                <w:sz w:val="24"/>
              </w:rPr>
              <w:t>m，采场边坡角4</w:t>
            </w:r>
            <w:r>
              <w:rPr>
                <w:color w:val="auto"/>
                <w:sz w:val="24"/>
              </w:rPr>
              <w:t>5</w:t>
            </w:r>
            <w:r>
              <w:rPr>
                <w:rFonts w:hint="eastAsia"/>
                <w:color w:val="auto"/>
                <w:sz w:val="24"/>
              </w:rPr>
              <w:t>°。</w:t>
            </w:r>
          </w:p>
          <w:p w14:paraId="4AA48D50">
            <w:pPr>
              <w:pStyle w:val="2"/>
              <w:keepNext w:val="0"/>
              <w:keepLines w:val="0"/>
              <w:pageBreakBefore w:val="0"/>
              <w:kinsoku/>
              <w:wordWrap/>
              <w:overflowPunct/>
              <w:topLinePunct w:val="0"/>
              <w:autoSpaceDE/>
              <w:autoSpaceDN/>
              <w:bidi w:val="0"/>
              <w:spacing w:after="0" w:line="480" w:lineRule="exact"/>
              <w:ind w:left="0" w:leftChars="0" w:firstLine="480" w:firstLineChars="200"/>
              <w:textAlignment w:val="auto"/>
              <w:rPr>
                <w:color w:val="auto"/>
                <w:sz w:val="24"/>
              </w:rPr>
            </w:pPr>
            <w:r>
              <w:rPr>
                <w:rFonts w:hint="eastAsia" w:ascii="宋体" w:hAnsi="宋体" w:cs="宋体"/>
                <w:color w:val="auto"/>
                <w:sz w:val="24"/>
                <w:lang w:val="en-US" w:eastAsia="zh-CN"/>
              </w:rPr>
              <w:t>②</w:t>
            </w:r>
            <w:r>
              <w:rPr>
                <w:rFonts w:hint="eastAsia" w:ascii="宋体" w:hAnsi="宋体" w:cs="宋体"/>
                <w:color w:val="auto"/>
                <w:sz w:val="24"/>
              </w:rPr>
              <w:t>办公生活区</w:t>
            </w:r>
          </w:p>
          <w:p w14:paraId="363D73C4">
            <w:pPr>
              <w:pStyle w:val="2"/>
              <w:keepNext w:val="0"/>
              <w:keepLines w:val="0"/>
              <w:pageBreakBefore w:val="0"/>
              <w:kinsoku/>
              <w:wordWrap/>
              <w:overflowPunct/>
              <w:topLinePunct w:val="0"/>
              <w:autoSpaceDE/>
              <w:autoSpaceDN/>
              <w:bidi w:val="0"/>
              <w:spacing w:after="0" w:line="480" w:lineRule="exact"/>
              <w:ind w:left="0" w:leftChars="0" w:firstLine="480" w:firstLineChars="200"/>
              <w:textAlignment w:val="auto"/>
              <w:rPr>
                <w:color w:val="auto"/>
                <w:sz w:val="24"/>
              </w:rPr>
            </w:pPr>
            <w:r>
              <w:rPr>
                <w:rFonts w:hint="eastAsia"/>
                <w:color w:val="auto"/>
                <w:sz w:val="24"/>
              </w:rPr>
              <w:t>占地0.</w:t>
            </w:r>
            <w:r>
              <w:rPr>
                <w:color w:val="auto"/>
                <w:sz w:val="24"/>
              </w:rPr>
              <w:t>1180</w:t>
            </w:r>
            <w:r>
              <w:rPr>
                <w:rFonts w:hint="eastAsia"/>
                <w:color w:val="auto"/>
                <w:sz w:val="24"/>
              </w:rPr>
              <w:t>m²，建设有一排宿舍、食堂，占地面积550m</w:t>
            </w:r>
            <w:r>
              <w:rPr>
                <w:rFonts w:hint="eastAsia"/>
                <w:color w:val="auto"/>
                <w:sz w:val="24"/>
                <w:vertAlign w:val="superscript"/>
              </w:rPr>
              <w:t>2</w:t>
            </w:r>
            <w:r>
              <w:rPr>
                <w:rFonts w:hint="eastAsia"/>
                <w:color w:val="auto"/>
                <w:sz w:val="24"/>
              </w:rPr>
              <w:t>，生活污水排入旱厕，由附近村民定期清掏。</w:t>
            </w:r>
            <w:r>
              <w:rPr>
                <w:color w:val="auto"/>
                <w:kern w:val="0"/>
                <w:sz w:val="24"/>
                <w:lang w:bidi="ar"/>
              </w:rPr>
              <w:t>本次设计继续使用</w:t>
            </w:r>
            <w:r>
              <w:rPr>
                <w:rFonts w:hint="eastAsia"/>
                <w:color w:val="auto"/>
                <w:kern w:val="0"/>
                <w:sz w:val="24"/>
                <w:lang w:bidi="ar"/>
              </w:rPr>
              <w:t>该办公生活区。</w:t>
            </w:r>
          </w:p>
          <w:p w14:paraId="540E3423">
            <w:pPr>
              <w:pStyle w:val="2"/>
              <w:keepNext w:val="0"/>
              <w:keepLines w:val="0"/>
              <w:pageBreakBefore w:val="0"/>
              <w:kinsoku/>
              <w:wordWrap/>
              <w:overflowPunct/>
              <w:topLinePunct w:val="0"/>
              <w:autoSpaceDE/>
              <w:autoSpaceDN/>
              <w:bidi w:val="0"/>
              <w:spacing w:after="0" w:line="480" w:lineRule="exact"/>
              <w:ind w:left="0" w:leftChars="0" w:firstLine="482" w:firstLineChars="200"/>
              <w:textAlignment w:val="auto"/>
              <w:rPr>
                <w:rFonts w:hint="eastAsia"/>
                <w:color w:val="auto"/>
                <w:sz w:val="24"/>
              </w:rPr>
            </w:pPr>
            <w:r>
              <w:rPr>
                <w:rFonts w:eastAsia="宋体"/>
                <w:b/>
                <w:color w:val="auto"/>
                <w:sz w:val="24"/>
                <w:szCs w:val="24"/>
                <w:highlight w:val="none"/>
                <w:lang w:bidi="ar"/>
              </w:rPr>
              <w:drawing>
                <wp:anchor distT="0" distB="0" distL="114300" distR="114300" simplePos="0" relativeHeight="251666432" behindDoc="1" locked="0" layoutInCell="1" allowOverlap="1">
                  <wp:simplePos x="0" y="0"/>
                  <wp:positionH relativeFrom="column">
                    <wp:posOffset>1602105</wp:posOffset>
                  </wp:positionH>
                  <wp:positionV relativeFrom="paragraph">
                    <wp:posOffset>126365</wp:posOffset>
                  </wp:positionV>
                  <wp:extent cx="2592705" cy="2113915"/>
                  <wp:effectExtent l="0" t="0" r="17145" b="635"/>
                  <wp:wrapNone/>
                  <wp:docPr id="22" name="图片 4" descr="IMG_0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descr="IMG_0862"/>
                          <pic:cNvPicPr>
                            <a:picLocks noChangeAspect="1"/>
                          </pic:cNvPicPr>
                        </pic:nvPicPr>
                        <pic:blipFill>
                          <a:blip r:embed="rId12"/>
                          <a:srcRect t="18129" r="23242" b="-1558"/>
                          <a:stretch>
                            <a:fillRect/>
                          </a:stretch>
                        </pic:blipFill>
                        <pic:spPr>
                          <a:xfrm>
                            <a:off x="0" y="0"/>
                            <a:ext cx="2592705" cy="2113915"/>
                          </a:xfrm>
                          <a:prstGeom prst="rect">
                            <a:avLst/>
                          </a:prstGeom>
                          <a:noFill/>
                          <a:ln>
                            <a:noFill/>
                          </a:ln>
                        </pic:spPr>
                      </pic:pic>
                    </a:graphicData>
                  </a:graphic>
                </wp:anchor>
              </w:drawing>
            </w:r>
          </w:p>
          <w:p w14:paraId="6B99AB78">
            <w:pPr>
              <w:pStyle w:val="2"/>
              <w:keepNext w:val="0"/>
              <w:keepLines w:val="0"/>
              <w:pageBreakBefore w:val="0"/>
              <w:kinsoku/>
              <w:wordWrap/>
              <w:overflowPunct/>
              <w:topLinePunct w:val="0"/>
              <w:autoSpaceDE/>
              <w:autoSpaceDN/>
              <w:bidi w:val="0"/>
              <w:spacing w:after="0" w:line="480" w:lineRule="exact"/>
              <w:ind w:left="0" w:leftChars="0" w:firstLine="480" w:firstLineChars="200"/>
              <w:textAlignment w:val="auto"/>
              <w:rPr>
                <w:rFonts w:hint="eastAsia"/>
                <w:color w:val="auto"/>
                <w:sz w:val="24"/>
              </w:rPr>
            </w:pPr>
          </w:p>
          <w:p w14:paraId="3FB1EAB6">
            <w:pPr>
              <w:pStyle w:val="2"/>
              <w:keepNext w:val="0"/>
              <w:keepLines w:val="0"/>
              <w:pageBreakBefore w:val="0"/>
              <w:kinsoku/>
              <w:wordWrap/>
              <w:overflowPunct/>
              <w:topLinePunct w:val="0"/>
              <w:autoSpaceDE/>
              <w:autoSpaceDN/>
              <w:bidi w:val="0"/>
              <w:spacing w:after="0" w:line="480" w:lineRule="exact"/>
              <w:ind w:left="0" w:leftChars="0" w:firstLine="480" w:firstLineChars="200"/>
              <w:textAlignment w:val="auto"/>
              <w:rPr>
                <w:rFonts w:hint="eastAsia"/>
                <w:color w:val="auto"/>
                <w:sz w:val="24"/>
              </w:rPr>
            </w:pPr>
          </w:p>
          <w:p w14:paraId="226CB385">
            <w:pPr>
              <w:pStyle w:val="2"/>
              <w:keepNext w:val="0"/>
              <w:keepLines w:val="0"/>
              <w:pageBreakBefore w:val="0"/>
              <w:kinsoku/>
              <w:wordWrap/>
              <w:overflowPunct/>
              <w:topLinePunct w:val="0"/>
              <w:autoSpaceDE/>
              <w:autoSpaceDN/>
              <w:bidi w:val="0"/>
              <w:spacing w:after="0" w:line="480" w:lineRule="exact"/>
              <w:ind w:left="0" w:leftChars="0" w:firstLine="480" w:firstLineChars="200"/>
              <w:textAlignment w:val="auto"/>
              <w:rPr>
                <w:rFonts w:hint="eastAsia"/>
                <w:color w:val="auto"/>
                <w:sz w:val="24"/>
              </w:rPr>
            </w:pPr>
          </w:p>
          <w:p w14:paraId="4B11EC6D">
            <w:pPr>
              <w:pStyle w:val="2"/>
              <w:keepNext w:val="0"/>
              <w:keepLines w:val="0"/>
              <w:pageBreakBefore w:val="0"/>
              <w:kinsoku/>
              <w:wordWrap/>
              <w:overflowPunct/>
              <w:topLinePunct w:val="0"/>
              <w:autoSpaceDE/>
              <w:autoSpaceDN/>
              <w:bidi w:val="0"/>
              <w:spacing w:after="0" w:line="480" w:lineRule="exact"/>
              <w:ind w:left="0" w:leftChars="0" w:firstLine="480" w:firstLineChars="200"/>
              <w:textAlignment w:val="auto"/>
              <w:rPr>
                <w:rFonts w:hint="eastAsia"/>
                <w:color w:val="auto"/>
                <w:sz w:val="24"/>
              </w:rPr>
            </w:pPr>
          </w:p>
          <w:p w14:paraId="350DB051">
            <w:pPr>
              <w:pStyle w:val="2"/>
              <w:keepNext w:val="0"/>
              <w:keepLines w:val="0"/>
              <w:pageBreakBefore w:val="0"/>
              <w:kinsoku/>
              <w:wordWrap/>
              <w:overflowPunct/>
              <w:topLinePunct w:val="0"/>
              <w:autoSpaceDE/>
              <w:autoSpaceDN/>
              <w:bidi w:val="0"/>
              <w:spacing w:after="0" w:line="480" w:lineRule="exact"/>
              <w:ind w:left="0" w:leftChars="0" w:firstLine="480" w:firstLineChars="200"/>
              <w:textAlignment w:val="auto"/>
              <w:rPr>
                <w:rFonts w:hint="eastAsia"/>
                <w:color w:val="auto"/>
                <w:sz w:val="24"/>
              </w:rPr>
            </w:pPr>
          </w:p>
          <w:p w14:paraId="47E64EC8">
            <w:pPr>
              <w:pStyle w:val="2"/>
              <w:keepNext w:val="0"/>
              <w:keepLines w:val="0"/>
              <w:pageBreakBefore w:val="0"/>
              <w:kinsoku/>
              <w:wordWrap/>
              <w:overflowPunct/>
              <w:topLinePunct w:val="0"/>
              <w:autoSpaceDE/>
              <w:autoSpaceDN/>
              <w:bidi w:val="0"/>
              <w:spacing w:after="0" w:line="480" w:lineRule="exact"/>
              <w:ind w:left="0" w:leftChars="0" w:firstLine="480" w:firstLineChars="200"/>
              <w:textAlignment w:val="auto"/>
              <w:rPr>
                <w:rFonts w:hint="eastAsia"/>
                <w:color w:val="auto"/>
                <w:sz w:val="24"/>
              </w:rPr>
            </w:pPr>
          </w:p>
          <w:p w14:paraId="1B537AC8">
            <w:pPr>
              <w:pStyle w:val="2"/>
              <w:keepNext w:val="0"/>
              <w:keepLines w:val="0"/>
              <w:pageBreakBefore w:val="0"/>
              <w:widowControl w:val="0"/>
              <w:kinsoku/>
              <w:wordWrap/>
              <w:overflowPunct/>
              <w:topLinePunct w:val="0"/>
              <w:autoSpaceDE/>
              <w:autoSpaceDN/>
              <w:bidi w:val="0"/>
              <w:adjustRightInd/>
              <w:snapToGrid/>
              <w:spacing w:after="0" w:line="480" w:lineRule="exact"/>
              <w:ind w:left="0" w:leftChars="0" w:firstLine="0" w:firstLineChars="0"/>
              <w:jc w:val="center"/>
              <w:textAlignment w:val="auto"/>
              <w:rPr>
                <w:rFonts w:hint="eastAsia"/>
                <w:color w:val="auto"/>
                <w:sz w:val="24"/>
              </w:rPr>
            </w:pPr>
            <w:r>
              <w:rPr>
                <w:rFonts w:hint="eastAsia" w:ascii="宋体" w:hAnsi="宋体" w:cs="宋体"/>
                <w:color w:val="auto"/>
                <w:sz w:val="24"/>
              </w:rPr>
              <w:t>办公生活区</w:t>
            </w:r>
            <w:r>
              <w:rPr>
                <w:rFonts w:hint="eastAsia" w:ascii="Times New Roman" w:hAnsi="Times New Roman" w:cs="Times New Roman"/>
                <w:color w:val="auto"/>
                <w:sz w:val="24"/>
                <w:lang w:val="en-US" w:eastAsia="zh-CN"/>
              </w:rPr>
              <w:t>现状</w:t>
            </w:r>
          </w:p>
          <w:p w14:paraId="00A4B519">
            <w:pPr>
              <w:pStyle w:val="2"/>
              <w:keepNext w:val="0"/>
              <w:keepLines w:val="0"/>
              <w:pageBreakBefore w:val="0"/>
              <w:kinsoku/>
              <w:wordWrap/>
              <w:overflowPunct/>
              <w:topLinePunct w:val="0"/>
              <w:autoSpaceDE/>
              <w:autoSpaceDN/>
              <w:bidi w:val="0"/>
              <w:spacing w:after="0" w:line="480" w:lineRule="exact"/>
              <w:ind w:left="0" w:leftChars="0" w:firstLine="480" w:firstLineChars="200"/>
              <w:textAlignment w:val="auto"/>
              <w:rPr>
                <w:color w:val="auto"/>
                <w:sz w:val="24"/>
              </w:rPr>
            </w:pPr>
            <w:r>
              <w:rPr>
                <w:rFonts w:hint="eastAsia"/>
                <w:color w:val="auto"/>
                <w:sz w:val="24"/>
              </w:rPr>
              <w:t>③运矿道路</w:t>
            </w:r>
          </w:p>
          <w:p w14:paraId="01D4F3C2">
            <w:pPr>
              <w:keepNext w:val="0"/>
              <w:keepLines w:val="0"/>
              <w:pageBreakBefore w:val="0"/>
              <w:kinsoku/>
              <w:wordWrap/>
              <w:overflowPunct/>
              <w:topLinePunct w:val="0"/>
              <w:autoSpaceDE/>
              <w:autoSpaceDN/>
              <w:bidi w:val="0"/>
              <w:adjustRightInd w:val="0"/>
              <w:snapToGrid w:val="0"/>
              <w:spacing w:line="480" w:lineRule="exact"/>
              <w:ind w:firstLine="480" w:firstLineChars="200"/>
              <w:textAlignment w:val="auto"/>
              <w:rPr>
                <w:color w:val="auto"/>
                <w:sz w:val="24"/>
              </w:rPr>
            </w:pPr>
            <w:r>
              <w:rPr>
                <w:rFonts w:hint="eastAsia"/>
                <w:color w:val="auto"/>
                <w:sz w:val="24"/>
              </w:rPr>
              <w:t>现场遗留有一条运矿道路，</w:t>
            </w:r>
            <w:r>
              <w:rPr>
                <w:rFonts w:hint="eastAsia"/>
                <w:color w:val="auto"/>
                <w:sz w:val="24"/>
                <w:lang w:val="en-US" w:eastAsia="zh-CN"/>
              </w:rPr>
              <w:t>素土路面，</w:t>
            </w:r>
            <w:r>
              <w:rPr>
                <w:rFonts w:hint="eastAsia"/>
                <w:color w:val="auto"/>
                <w:sz w:val="24"/>
              </w:rPr>
              <w:t>长</w:t>
            </w:r>
            <w:r>
              <w:rPr>
                <w:color w:val="auto"/>
                <w:sz w:val="24"/>
              </w:rPr>
              <w:t>750</w:t>
            </w:r>
            <w:r>
              <w:rPr>
                <w:rFonts w:hint="eastAsia"/>
                <w:color w:val="auto"/>
                <w:sz w:val="24"/>
              </w:rPr>
              <w:t>m，宽4.5～6.5m，占地</w:t>
            </w:r>
            <w:r>
              <w:rPr>
                <w:color w:val="auto"/>
                <w:sz w:val="24"/>
              </w:rPr>
              <w:t>0.3674</w:t>
            </w:r>
            <w:r>
              <w:rPr>
                <w:rFonts w:hint="eastAsia"/>
                <w:color w:val="auto"/>
                <w:sz w:val="24"/>
              </w:rPr>
              <w:t>hm</w:t>
            </w:r>
            <w:r>
              <w:rPr>
                <w:rFonts w:hint="eastAsia"/>
                <w:color w:val="auto"/>
                <w:sz w:val="24"/>
                <w:vertAlign w:val="superscript"/>
              </w:rPr>
              <w:t>2</w:t>
            </w:r>
            <w:r>
              <w:rPr>
                <w:rFonts w:hint="eastAsia"/>
                <w:color w:val="auto"/>
                <w:sz w:val="24"/>
              </w:rPr>
              <w:t>。</w:t>
            </w:r>
            <w:r>
              <w:rPr>
                <w:color w:val="auto"/>
                <w:kern w:val="0"/>
                <w:sz w:val="24"/>
                <w:lang w:bidi="ar"/>
              </w:rPr>
              <w:t>本次设计继续使用</w:t>
            </w:r>
            <w:r>
              <w:rPr>
                <w:rFonts w:hint="eastAsia"/>
                <w:color w:val="auto"/>
                <w:kern w:val="0"/>
                <w:sz w:val="24"/>
                <w:lang w:bidi="ar"/>
              </w:rPr>
              <w:t>该运矿道路。</w:t>
            </w:r>
          </w:p>
          <w:p w14:paraId="2BFE88A1">
            <w:pPr>
              <w:keepNext w:val="0"/>
              <w:keepLines w:val="0"/>
              <w:pageBreakBefore w:val="0"/>
              <w:kinsoku/>
              <w:wordWrap/>
              <w:overflowPunct/>
              <w:topLinePunct w:val="0"/>
              <w:autoSpaceDE/>
              <w:autoSpaceDN/>
              <w:bidi w:val="0"/>
              <w:adjustRightInd w:val="0"/>
              <w:snapToGrid w:val="0"/>
              <w:spacing w:line="480" w:lineRule="exact"/>
              <w:ind w:firstLine="422" w:firstLineChars="200"/>
              <w:textAlignment w:val="auto"/>
              <w:rPr>
                <w:rFonts w:hint="eastAsia"/>
                <w:b/>
                <w:bCs/>
                <w:color w:val="auto"/>
                <w:sz w:val="24"/>
              </w:rPr>
            </w:pPr>
            <w:r>
              <w:rPr>
                <w:rFonts w:ascii="Times New Roman" w:hAnsi="Times New Roman" w:eastAsia="宋体" w:cs="Times New Roman"/>
                <w:b/>
                <w:bCs/>
                <w:color w:val="auto"/>
                <w:highlight w:val="none"/>
              </w:rPr>
              <w:drawing>
                <wp:anchor distT="0" distB="0" distL="114300" distR="114300" simplePos="0" relativeHeight="251666432" behindDoc="1" locked="0" layoutInCell="1" allowOverlap="1">
                  <wp:simplePos x="0" y="0"/>
                  <wp:positionH relativeFrom="column">
                    <wp:posOffset>1542415</wp:posOffset>
                  </wp:positionH>
                  <wp:positionV relativeFrom="paragraph">
                    <wp:posOffset>1270</wp:posOffset>
                  </wp:positionV>
                  <wp:extent cx="2617470" cy="2003425"/>
                  <wp:effectExtent l="0" t="0" r="11430" b="15875"/>
                  <wp:wrapNone/>
                  <wp:docPr id="23" name="图片 5" descr="IMG_0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5" descr="IMG_0878"/>
                          <pic:cNvPicPr>
                            <a:picLocks noChangeAspect="1"/>
                          </pic:cNvPicPr>
                        </pic:nvPicPr>
                        <pic:blipFill>
                          <a:blip r:embed="rId13"/>
                          <a:srcRect t="23224" r="25044" b="322"/>
                          <a:stretch>
                            <a:fillRect/>
                          </a:stretch>
                        </pic:blipFill>
                        <pic:spPr>
                          <a:xfrm>
                            <a:off x="0" y="0"/>
                            <a:ext cx="2617470" cy="2003425"/>
                          </a:xfrm>
                          <a:prstGeom prst="rect">
                            <a:avLst/>
                          </a:prstGeom>
                          <a:noFill/>
                          <a:ln>
                            <a:noFill/>
                          </a:ln>
                        </pic:spPr>
                      </pic:pic>
                    </a:graphicData>
                  </a:graphic>
                </wp:anchor>
              </w:drawing>
            </w:r>
          </w:p>
          <w:p w14:paraId="6B6DDCE3">
            <w:pPr>
              <w:keepNext w:val="0"/>
              <w:keepLines w:val="0"/>
              <w:pageBreakBefore w:val="0"/>
              <w:kinsoku/>
              <w:wordWrap/>
              <w:overflowPunct/>
              <w:topLinePunct w:val="0"/>
              <w:autoSpaceDE/>
              <w:autoSpaceDN/>
              <w:bidi w:val="0"/>
              <w:adjustRightInd w:val="0"/>
              <w:snapToGrid w:val="0"/>
              <w:spacing w:line="480" w:lineRule="exact"/>
              <w:ind w:firstLine="482" w:firstLineChars="200"/>
              <w:textAlignment w:val="auto"/>
              <w:rPr>
                <w:rFonts w:hint="eastAsia"/>
                <w:b/>
                <w:bCs/>
                <w:color w:val="auto"/>
                <w:sz w:val="24"/>
              </w:rPr>
            </w:pPr>
          </w:p>
          <w:p w14:paraId="04B2A48E">
            <w:pPr>
              <w:keepNext w:val="0"/>
              <w:keepLines w:val="0"/>
              <w:pageBreakBefore w:val="0"/>
              <w:kinsoku/>
              <w:wordWrap/>
              <w:overflowPunct/>
              <w:topLinePunct w:val="0"/>
              <w:autoSpaceDE/>
              <w:autoSpaceDN/>
              <w:bidi w:val="0"/>
              <w:adjustRightInd w:val="0"/>
              <w:snapToGrid w:val="0"/>
              <w:spacing w:line="480" w:lineRule="exact"/>
              <w:ind w:firstLine="482" w:firstLineChars="200"/>
              <w:textAlignment w:val="auto"/>
              <w:rPr>
                <w:rFonts w:hint="eastAsia"/>
                <w:b/>
                <w:bCs/>
                <w:color w:val="auto"/>
                <w:sz w:val="24"/>
              </w:rPr>
            </w:pPr>
          </w:p>
          <w:p w14:paraId="311B400D">
            <w:pPr>
              <w:keepNext w:val="0"/>
              <w:keepLines w:val="0"/>
              <w:pageBreakBefore w:val="0"/>
              <w:kinsoku/>
              <w:wordWrap/>
              <w:overflowPunct/>
              <w:topLinePunct w:val="0"/>
              <w:autoSpaceDE/>
              <w:autoSpaceDN/>
              <w:bidi w:val="0"/>
              <w:adjustRightInd w:val="0"/>
              <w:snapToGrid w:val="0"/>
              <w:spacing w:line="480" w:lineRule="exact"/>
              <w:ind w:firstLine="482" w:firstLineChars="200"/>
              <w:textAlignment w:val="auto"/>
              <w:rPr>
                <w:rFonts w:hint="eastAsia"/>
                <w:b/>
                <w:bCs/>
                <w:color w:val="auto"/>
                <w:sz w:val="24"/>
              </w:rPr>
            </w:pPr>
          </w:p>
          <w:p w14:paraId="0061D799">
            <w:pPr>
              <w:keepNext w:val="0"/>
              <w:keepLines w:val="0"/>
              <w:pageBreakBefore w:val="0"/>
              <w:kinsoku/>
              <w:wordWrap/>
              <w:overflowPunct/>
              <w:topLinePunct w:val="0"/>
              <w:autoSpaceDE/>
              <w:autoSpaceDN/>
              <w:bidi w:val="0"/>
              <w:adjustRightInd w:val="0"/>
              <w:snapToGrid w:val="0"/>
              <w:spacing w:line="480" w:lineRule="exact"/>
              <w:ind w:firstLine="482" w:firstLineChars="200"/>
              <w:textAlignment w:val="auto"/>
              <w:rPr>
                <w:rFonts w:hint="eastAsia"/>
                <w:b/>
                <w:bCs/>
                <w:color w:val="auto"/>
                <w:sz w:val="24"/>
              </w:rPr>
            </w:pPr>
          </w:p>
          <w:p w14:paraId="484DEB0F">
            <w:pPr>
              <w:keepNext w:val="0"/>
              <w:keepLines w:val="0"/>
              <w:pageBreakBefore w:val="0"/>
              <w:kinsoku/>
              <w:wordWrap/>
              <w:overflowPunct/>
              <w:topLinePunct w:val="0"/>
              <w:autoSpaceDE/>
              <w:autoSpaceDN/>
              <w:bidi w:val="0"/>
              <w:adjustRightInd w:val="0"/>
              <w:snapToGrid w:val="0"/>
              <w:spacing w:line="480" w:lineRule="exact"/>
              <w:ind w:firstLine="482" w:firstLineChars="200"/>
              <w:textAlignment w:val="auto"/>
              <w:rPr>
                <w:rFonts w:hint="eastAsia"/>
                <w:b/>
                <w:bCs/>
                <w:color w:val="auto"/>
                <w:sz w:val="24"/>
              </w:rPr>
            </w:pPr>
          </w:p>
          <w:p w14:paraId="55820D7C">
            <w:pPr>
              <w:keepNext w:val="0"/>
              <w:keepLines w:val="0"/>
              <w:pageBreakBefore w:val="0"/>
              <w:widowControl w:val="0"/>
              <w:kinsoku/>
              <w:wordWrap/>
              <w:overflowPunct/>
              <w:topLinePunct w:val="0"/>
              <w:autoSpaceDE/>
              <w:autoSpaceDN/>
              <w:bidi w:val="0"/>
              <w:adjustRightInd w:val="0"/>
              <w:snapToGrid w:val="0"/>
              <w:spacing w:line="700" w:lineRule="exact"/>
              <w:ind w:firstLine="0" w:firstLineChars="0"/>
              <w:jc w:val="center"/>
              <w:textAlignment w:val="auto"/>
              <w:rPr>
                <w:rFonts w:hint="eastAsia" w:eastAsia="宋体"/>
                <w:b/>
                <w:bCs/>
                <w:color w:val="auto"/>
                <w:sz w:val="24"/>
                <w:lang w:val="en-US" w:eastAsia="zh-CN"/>
              </w:rPr>
            </w:pPr>
            <w:r>
              <w:rPr>
                <w:rFonts w:hint="eastAsia"/>
                <w:color w:val="auto"/>
                <w:sz w:val="24"/>
              </w:rPr>
              <w:t>运矿道路</w:t>
            </w:r>
            <w:r>
              <w:rPr>
                <w:rFonts w:hint="eastAsia"/>
                <w:color w:val="auto"/>
                <w:sz w:val="24"/>
                <w:lang w:val="en-US" w:eastAsia="zh-CN"/>
              </w:rPr>
              <w:t>现状</w:t>
            </w:r>
          </w:p>
          <w:p w14:paraId="499ED276">
            <w:pPr>
              <w:pStyle w:val="2"/>
              <w:keepNext w:val="0"/>
              <w:keepLines w:val="0"/>
              <w:pageBreakBefore w:val="0"/>
              <w:kinsoku/>
              <w:wordWrap/>
              <w:overflowPunct/>
              <w:topLinePunct w:val="0"/>
              <w:autoSpaceDE/>
              <w:autoSpaceDN/>
              <w:bidi w:val="0"/>
              <w:spacing w:after="0" w:line="480" w:lineRule="exact"/>
              <w:ind w:left="0" w:leftChars="0" w:firstLine="480" w:firstLineChars="200"/>
              <w:textAlignment w:val="auto"/>
              <w:rPr>
                <w:rFonts w:hint="eastAsia"/>
                <w:color w:val="auto"/>
                <w:sz w:val="24"/>
                <w:lang w:val="en-US" w:eastAsia="zh-CN"/>
              </w:rPr>
            </w:pPr>
          </w:p>
          <w:p w14:paraId="081B3AEC">
            <w:pPr>
              <w:pStyle w:val="2"/>
              <w:keepNext w:val="0"/>
              <w:keepLines w:val="0"/>
              <w:pageBreakBefore w:val="0"/>
              <w:kinsoku/>
              <w:wordWrap/>
              <w:overflowPunct/>
              <w:topLinePunct w:val="0"/>
              <w:autoSpaceDE/>
              <w:autoSpaceDN/>
              <w:bidi w:val="0"/>
              <w:spacing w:after="0" w:line="480" w:lineRule="exact"/>
              <w:ind w:left="0" w:leftChars="0" w:firstLine="480" w:firstLineChars="200"/>
              <w:textAlignment w:val="auto"/>
              <w:rPr>
                <w:rFonts w:hint="eastAsia"/>
                <w:color w:val="auto"/>
                <w:sz w:val="24"/>
                <w:lang w:val="en-US" w:eastAsia="zh-CN"/>
              </w:rPr>
            </w:pPr>
            <w:r>
              <w:rPr>
                <w:rFonts w:hint="eastAsia"/>
                <w:color w:val="auto"/>
                <w:sz w:val="24"/>
                <w:lang w:val="en-US" w:eastAsia="zh-CN"/>
              </w:rPr>
              <w:t>④排土场</w:t>
            </w:r>
          </w:p>
          <w:p w14:paraId="2B44CE6E">
            <w:pPr>
              <w:keepNext w:val="0"/>
              <w:keepLines w:val="0"/>
              <w:pageBreakBefore w:val="0"/>
              <w:kinsoku/>
              <w:wordWrap/>
              <w:overflowPunct/>
              <w:topLinePunct w:val="0"/>
              <w:autoSpaceDE/>
              <w:autoSpaceDN/>
              <w:bidi w:val="0"/>
              <w:adjustRightInd w:val="0"/>
              <w:snapToGrid w:val="0"/>
              <w:spacing w:line="480" w:lineRule="exact"/>
              <w:ind w:firstLine="480" w:firstLineChars="200"/>
              <w:textAlignment w:val="auto"/>
              <w:rPr>
                <w:rFonts w:hint="default" w:eastAsia="宋体"/>
                <w:color w:val="auto"/>
                <w:sz w:val="24"/>
                <w:lang w:val="en-US" w:eastAsia="zh-CN"/>
              </w:rPr>
            </w:pPr>
            <w:r>
              <w:rPr>
                <w:rFonts w:hint="eastAsia"/>
                <w:color w:val="auto"/>
                <w:sz w:val="24"/>
              </w:rPr>
              <w:t>原盂县西潘乡鑫盛石矿</w:t>
            </w:r>
            <w:r>
              <w:rPr>
                <w:rFonts w:hint="eastAsia"/>
                <w:color w:val="auto"/>
                <w:sz w:val="24"/>
                <w:lang w:val="en-US" w:eastAsia="zh-CN"/>
              </w:rPr>
              <w:t>与原</w:t>
            </w:r>
            <w:r>
              <w:rPr>
                <w:rFonts w:hint="eastAsia"/>
                <w:color w:val="auto"/>
                <w:sz w:val="24"/>
              </w:rPr>
              <w:t>盂县石鑫矿业有限公司</w:t>
            </w:r>
            <w:r>
              <w:rPr>
                <w:rFonts w:hint="eastAsia"/>
                <w:color w:val="auto"/>
                <w:sz w:val="24"/>
                <w:lang w:val="en-US" w:eastAsia="zh-CN"/>
              </w:rPr>
              <w:t>共用一处排土场。</w:t>
            </w:r>
          </w:p>
          <w:p w14:paraId="5DD6D9D2">
            <w:pPr>
              <w:keepNext w:val="0"/>
              <w:keepLines w:val="0"/>
              <w:pageBreakBefore w:val="0"/>
              <w:kinsoku/>
              <w:wordWrap/>
              <w:overflowPunct/>
              <w:topLinePunct w:val="0"/>
              <w:autoSpaceDE/>
              <w:autoSpaceDN/>
              <w:bidi w:val="0"/>
              <w:adjustRightInd w:val="0"/>
              <w:snapToGrid w:val="0"/>
              <w:spacing w:line="480" w:lineRule="exact"/>
              <w:ind w:firstLine="482" w:firstLineChars="200"/>
              <w:textAlignment w:val="auto"/>
              <w:rPr>
                <w:color w:val="auto"/>
                <w:sz w:val="24"/>
              </w:rPr>
            </w:pPr>
            <w:r>
              <w:rPr>
                <w:rFonts w:hint="eastAsia"/>
                <w:b/>
                <w:bCs/>
                <w:color w:val="auto"/>
                <w:sz w:val="24"/>
              </w:rPr>
              <w:t>二、现存生态问题的整改措施</w:t>
            </w:r>
          </w:p>
          <w:p w14:paraId="4D729C7E">
            <w:pPr>
              <w:keepNext w:val="0"/>
              <w:keepLines w:val="0"/>
              <w:pageBreakBefore w:val="0"/>
              <w:kinsoku/>
              <w:wordWrap/>
              <w:overflowPunct/>
              <w:topLinePunct w:val="0"/>
              <w:autoSpaceDE/>
              <w:autoSpaceDN/>
              <w:bidi w:val="0"/>
              <w:adjustRightInd w:val="0"/>
              <w:snapToGrid w:val="0"/>
              <w:spacing w:line="480" w:lineRule="exact"/>
              <w:ind w:firstLine="480" w:firstLineChars="200"/>
              <w:textAlignment w:val="auto"/>
              <w:rPr>
                <w:rFonts w:hint="eastAsia"/>
                <w:color w:val="auto"/>
                <w:sz w:val="24"/>
              </w:rPr>
            </w:pPr>
            <w:r>
              <w:rPr>
                <w:rFonts w:hint="default" w:ascii="Times New Roman" w:hAnsi="Times New Roman" w:eastAsia="宋体" w:cs="Times New Roman"/>
                <w:caps w:val="0"/>
                <w:smallCaps w:val="0"/>
                <w:color w:val="auto"/>
                <w:sz w:val="24"/>
                <w:szCs w:val="24"/>
                <w:highlight w:val="none"/>
                <w:lang w:val="en-US" w:eastAsia="zh-CN"/>
              </w:rPr>
              <w:t>《绿色矿山评价通则》（GB/T 44823-2024）</w:t>
            </w:r>
            <w:r>
              <w:rPr>
                <w:rFonts w:hint="eastAsia" w:ascii="Times New Roman" w:hAnsi="Times New Roman" w:eastAsia="宋体" w:cs="Times New Roman"/>
                <w:caps w:val="0"/>
                <w:smallCaps w:val="0"/>
                <w:color w:val="auto"/>
                <w:sz w:val="24"/>
                <w:szCs w:val="24"/>
                <w:highlight w:val="none"/>
                <w:lang w:val="en-US" w:eastAsia="zh-CN"/>
              </w:rPr>
              <w:t>、《砂石行业绿色矿山建设规范》（DZ/T0316-2018）等文件、标准、规范均要求“谁开采、谁治理，边开采、边治理”。本项目</w:t>
            </w:r>
            <w:r>
              <w:rPr>
                <w:rFonts w:hint="default" w:ascii="Times New Roman" w:hAnsi="Times New Roman" w:eastAsia="宋体" w:cs="Times New Roman"/>
                <w:caps w:val="0"/>
                <w:smallCaps w:val="0"/>
                <w:color w:val="auto"/>
                <w:sz w:val="24"/>
                <w:szCs w:val="24"/>
                <w:highlight w:val="none"/>
                <w:lang w:val="en-US" w:eastAsia="zh-CN"/>
              </w:rPr>
              <w:t>矿山拟扩大生产规模，扩大矿区范围、调整矿区标高</w:t>
            </w:r>
            <w:r>
              <w:rPr>
                <w:rFonts w:hint="eastAsia" w:ascii="Times New Roman" w:hAnsi="Times New Roman" w:eastAsia="宋体" w:cs="Times New Roman"/>
                <w:caps w:val="0"/>
                <w:smallCaps w:val="0"/>
                <w:color w:val="auto"/>
                <w:sz w:val="24"/>
                <w:szCs w:val="24"/>
                <w:highlight w:val="none"/>
                <w:lang w:val="en-US" w:eastAsia="zh-CN"/>
              </w:rPr>
              <w:t>，</w:t>
            </w:r>
            <w:r>
              <w:rPr>
                <w:rFonts w:hint="default" w:ascii="Times New Roman" w:hAnsi="Times New Roman" w:eastAsia="宋体" w:cs="Times New Roman"/>
                <w:caps w:val="0"/>
                <w:smallCaps w:val="0"/>
                <w:color w:val="auto"/>
                <w:sz w:val="24"/>
                <w:szCs w:val="24"/>
                <w:highlight w:val="none"/>
                <w:lang w:val="en-US" w:eastAsia="zh-CN"/>
              </w:rPr>
              <w:t>重新制定开采、治理和保护方案</w:t>
            </w:r>
            <w:r>
              <w:rPr>
                <w:rFonts w:hint="eastAsia" w:ascii="Times New Roman" w:hAnsi="Times New Roman" w:eastAsia="宋体" w:cs="Times New Roman"/>
                <w:caps w:val="0"/>
                <w:smallCaps w:val="0"/>
                <w:color w:val="auto"/>
                <w:sz w:val="24"/>
                <w:szCs w:val="24"/>
                <w:highlight w:val="none"/>
                <w:lang w:val="en-US" w:eastAsia="zh-CN"/>
              </w:rPr>
              <w:t>，暂未进行生态恢复</w:t>
            </w:r>
            <w:r>
              <w:rPr>
                <w:rFonts w:hint="default" w:ascii="Times New Roman" w:hAnsi="Times New Roman" w:eastAsia="宋体" w:cs="Times New Roman"/>
                <w:caps w:val="0"/>
                <w:smallCaps w:val="0"/>
                <w:color w:val="auto"/>
                <w:sz w:val="24"/>
                <w:szCs w:val="24"/>
                <w:highlight w:val="none"/>
                <w:lang w:val="en-US" w:eastAsia="zh-CN"/>
              </w:rPr>
              <w:t>。</w:t>
            </w:r>
            <w:r>
              <w:rPr>
                <w:rFonts w:hint="eastAsia" w:ascii="Times New Roman" w:hAnsi="Times New Roman" w:eastAsia="宋体" w:cs="Times New Roman"/>
                <w:caps w:val="0"/>
                <w:smallCaps w:val="0"/>
                <w:color w:val="auto"/>
                <w:sz w:val="24"/>
                <w:szCs w:val="24"/>
                <w:highlight w:val="none"/>
                <w:lang w:val="en-US" w:eastAsia="zh-CN"/>
              </w:rPr>
              <w:t>本次评价要求建设单</w:t>
            </w:r>
            <w:r>
              <w:rPr>
                <w:rFonts w:hint="eastAsia" w:cs="Times New Roman"/>
                <w:caps w:val="0"/>
                <w:smallCaps w:val="0"/>
                <w:color w:val="auto"/>
                <w:sz w:val="24"/>
                <w:szCs w:val="24"/>
                <w:highlight w:val="none"/>
                <w:lang w:val="en-US" w:eastAsia="zh-CN"/>
              </w:rPr>
              <w:t>位在</w:t>
            </w:r>
            <w:r>
              <w:rPr>
                <w:rFonts w:hint="eastAsia" w:ascii="Times New Roman" w:hAnsi="Times New Roman" w:eastAsia="宋体" w:cs="Times New Roman"/>
                <w:caps w:val="0"/>
                <w:smallCaps w:val="0"/>
                <w:color w:val="auto"/>
                <w:sz w:val="24"/>
                <w:szCs w:val="24"/>
                <w:highlight w:val="none"/>
                <w:lang w:val="en-US" w:eastAsia="zh-CN"/>
              </w:rPr>
              <w:t>2026年10月前完成对已采取、排土场已形成平台及边坡的生态恢复，后续开采过程严格执行“谁开采、谁治理，边开采、边治理”的要求。</w:t>
            </w:r>
          </w:p>
          <w:p w14:paraId="3786FD4C">
            <w:pPr>
              <w:keepNext w:val="0"/>
              <w:keepLines w:val="0"/>
              <w:pageBreakBefore w:val="0"/>
              <w:kinsoku/>
              <w:wordWrap/>
              <w:overflowPunct/>
              <w:topLinePunct w:val="0"/>
              <w:autoSpaceDE/>
              <w:autoSpaceDN/>
              <w:bidi w:val="0"/>
              <w:adjustRightInd w:val="0"/>
              <w:snapToGrid w:val="0"/>
              <w:spacing w:line="480" w:lineRule="exact"/>
              <w:ind w:firstLine="480" w:firstLineChars="200"/>
              <w:textAlignment w:val="auto"/>
              <w:rPr>
                <w:color w:val="auto"/>
                <w:sz w:val="24"/>
              </w:rPr>
            </w:pPr>
            <w:r>
              <w:rPr>
                <w:rFonts w:hint="eastAsia"/>
                <w:color w:val="auto"/>
                <w:sz w:val="24"/>
              </w:rPr>
              <w:t>（1）盂县石鑫矿业有限公司</w:t>
            </w:r>
          </w:p>
          <w:p w14:paraId="15CFBD47">
            <w:pPr>
              <w:keepNext w:val="0"/>
              <w:keepLines w:val="0"/>
              <w:pageBreakBefore w:val="0"/>
              <w:kinsoku/>
              <w:wordWrap/>
              <w:overflowPunct/>
              <w:topLinePunct w:val="0"/>
              <w:autoSpaceDE/>
              <w:autoSpaceDN/>
              <w:bidi w:val="0"/>
              <w:adjustRightInd w:val="0"/>
              <w:snapToGrid w:val="0"/>
              <w:spacing w:line="480" w:lineRule="exact"/>
              <w:ind w:firstLine="480" w:firstLineChars="200"/>
              <w:textAlignment w:val="auto"/>
              <w:rPr>
                <w:rFonts w:ascii="宋体" w:hAnsi="宋体" w:cs="宋体"/>
                <w:color w:val="auto"/>
                <w:sz w:val="24"/>
              </w:rPr>
            </w:pPr>
            <w:bookmarkStart w:id="21" w:name="_Hlk214395337"/>
            <w:r>
              <w:rPr>
                <w:rFonts w:hint="eastAsia"/>
                <w:color w:val="auto"/>
                <w:sz w:val="24"/>
              </w:rPr>
              <w:t>原盂县石鑫矿业有限公司</w:t>
            </w:r>
            <w:r>
              <w:rPr>
                <w:rFonts w:hint="eastAsia" w:ascii="宋体" w:hAnsi="宋体" w:cs="宋体"/>
                <w:color w:val="auto"/>
                <w:sz w:val="24"/>
              </w:rPr>
              <w:t>矿山现状实际损毁区域包括露天采场的开挖，损毁的总面积</w:t>
            </w:r>
            <w:r>
              <w:rPr>
                <w:rFonts w:hint="eastAsia"/>
                <w:color w:val="auto"/>
                <w:sz w:val="24"/>
                <w:lang w:val="en-US" w:eastAsia="zh-CN"/>
              </w:rPr>
              <w:t>10.0865</w:t>
            </w:r>
            <w:r>
              <w:rPr>
                <w:color w:val="auto"/>
                <w:sz w:val="24"/>
              </w:rPr>
              <w:t>hm</w:t>
            </w:r>
            <w:r>
              <w:rPr>
                <w:color w:val="auto"/>
                <w:sz w:val="24"/>
                <w:vertAlign w:val="superscript"/>
              </w:rPr>
              <w:t>2</w:t>
            </w:r>
            <w:r>
              <w:rPr>
                <w:rFonts w:hint="eastAsia" w:ascii="宋体" w:hAnsi="宋体" w:cs="宋体"/>
                <w:color w:val="auto"/>
                <w:sz w:val="24"/>
              </w:rPr>
              <w:t>。</w:t>
            </w:r>
            <w:r>
              <w:rPr>
                <w:rFonts w:hint="eastAsia"/>
                <w:color w:val="auto"/>
                <w:sz w:val="24"/>
              </w:rPr>
              <w:t>已破坏区需继续开采且位于本项目首采区，暂不进行生态恢复，按照“边开采、边治理”原则，逐步进行生态恢复。</w:t>
            </w:r>
          </w:p>
          <w:bookmarkEnd w:id="21"/>
          <w:p w14:paraId="4A92E0A4">
            <w:pPr>
              <w:keepNext w:val="0"/>
              <w:keepLines w:val="0"/>
              <w:pageBreakBefore w:val="0"/>
              <w:kinsoku/>
              <w:wordWrap/>
              <w:overflowPunct/>
              <w:topLinePunct w:val="0"/>
              <w:autoSpaceDE/>
              <w:autoSpaceDN/>
              <w:bidi w:val="0"/>
              <w:adjustRightInd w:val="0"/>
              <w:snapToGrid w:val="0"/>
              <w:spacing w:line="480" w:lineRule="exact"/>
              <w:ind w:firstLine="480" w:firstLineChars="200"/>
              <w:textAlignment w:val="auto"/>
              <w:rPr>
                <w:rFonts w:ascii="宋体" w:hAnsi="宋体" w:cs="宋体"/>
                <w:color w:val="auto"/>
                <w:sz w:val="24"/>
              </w:rPr>
            </w:pPr>
            <w:r>
              <w:rPr>
                <w:rFonts w:hint="eastAsia" w:ascii="宋体" w:hAnsi="宋体" w:cs="宋体"/>
                <w:color w:val="auto"/>
                <w:sz w:val="24"/>
              </w:rPr>
              <w:t>①危岩体清理</w:t>
            </w:r>
          </w:p>
          <w:p w14:paraId="6CBA225E">
            <w:pPr>
              <w:keepNext w:val="0"/>
              <w:keepLines w:val="0"/>
              <w:pageBreakBefore w:val="0"/>
              <w:kinsoku/>
              <w:wordWrap/>
              <w:overflowPunct/>
              <w:topLinePunct w:val="0"/>
              <w:autoSpaceDE/>
              <w:autoSpaceDN/>
              <w:bidi w:val="0"/>
              <w:adjustRightInd w:val="0"/>
              <w:snapToGrid w:val="0"/>
              <w:spacing w:line="480" w:lineRule="exact"/>
              <w:ind w:firstLine="480" w:firstLineChars="200"/>
              <w:textAlignment w:val="auto"/>
              <w:rPr>
                <w:color w:val="auto"/>
                <w:sz w:val="24"/>
              </w:rPr>
            </w:pPr>
            <w:r>
              <w:rPr>
                <w:rFonts w:hint="eastAsia"/>
                <w:color w:val="auto"/>
                <w:sz w:val="24"/>
              </w:rPr>
              <w:t>对已开采的1110m、1100m、1090m、1080m、1170m台阶终了边坡清理危岩体，边坡总长度约</w:t>
            </w:r>
            <w:r>
              <w:rPr>
                <w:color w:val="auto"/>
                <w:sz w:val="24"/>
              </w:rPr>
              <w:t>2</w:t>
            </w:r>
            <w:r>
              <w:rPr>
                <w:rFonts w:hint="eastAsia"/>
                <w:color w:val="auto"/>
                <w:sz w:val="24"/>
              </w:rPr>
              <w:t>1</w:t>
            </w:r>
            <w:r>
              <w:rPr>
                <w:color w:val="auto"/>
                <w:sz w:val="24"/>
              </w:rPr>
              <w:t>98</w:t>
            </w:r>
            <w:r>
              <w:rPr>
                <w:rFonts w:hint="eastAsia"/>
                <w:color w:val="auto"/>
                <w:sz w:val="24"/>
              </w:rPr>
              <w:t>m，可能产生的危岩体量</w:t>
            </w:r>
            <w:r>
              <w:rPr>
                <w:color w:val="auto"/>
                <w:sz w:val="24"/>
              </w:rPr>
              <w:t>1759</w:t>
            </w:r>
            <w:r>
              <w:rPr>
                <w:rFonts w:hint="eastAsia"/>
                <w:color w:val="auto"/>
                <w:sz w:val="24"/>
              </w:rPr>
              <w:t>m</w:t>
            </w:r>
            <w:r>
              <w:rPr>
                <w:rFonts w:hint="eastAsia"/>
                <w:color w:val="auto"/>
                <w:sz w:val="24"/>
                <w:vertAlign w:val="superscript"/>
              </w:rPr>
              <w:t>3</w:t>
            </w:r>
            <w:r>
              <w:rPr>
                <w:rFonts w:hint="eastAsia"/>
                <w:color w:val="auto"/>
                <w:sz w:val="24"/>
              </w:rPr>
              <w:t>，露天采场周边设立警示牌，禁止行人进入，对该台阶设置监测点。</w:t>
            </w:r>
          </w:p>
          <w:p w14:paraId="1CAB3FCC">
            <w:pPr>
              <w:keepNext w:val="0"/>
              <w:keepLines w:val="0"/>
              <w:pageBreakBefore w:val="0"/>
              <w:kinsoku/>
              <w:wordWrap/>
              <w:overflowPunct/>
              <w:topLinePunct w:val="0"/>
              <w:autoSpaceDE/>
              <w:autoSpaceDN/>
              <w:bidi w:val="0"/>
              <w:adjustRightInd w:val="0"/>
              <w:snapToGrid w:val="0"/>
              <w:spacing w:line="480" w:lineRule="exact"/>
              <w:ind w:firstLine="480" w:firstLineChars="200"/>
              <w:textAlignment w:val="auto"/>
              <w:rPr>
                <w:rFonts w:hint="default"/>
                <w:color w:val="auto"/>
                <w:sz w:val="24"/>
                <w:lang w:val="en-US" w:eastAsia="zh-CN"/>
              </w:rPr>
            </w:pPr>
            <w:r>
              <w:rPr>
                <w:rFonts w:hint="eastAsia"/>
                <w:color w:val="auto"/>
                <w:sz w:val="24"/>
                <w:lang w:val="en-US" w:eastAsia="zh-CN"/>
              </w:rPr>
              <w:t>②排土场</w:t>
            </w:r>
          </w:p>
          <w:p w14:paraId="523D1C22">
            <w:pPr>
              <w:pStyle w:val="2"/>
              <w:keepNext w:val="0"/>
              <w:keepLines w:val="0"/>
              <w:pageBreakBefore w:val="0"/>
              <w:kinsoku/>
              <w:wordWrap/>
              <w:overflowPunct/>
              <w:topLinePunct w:val="0"/>
              <w:autoSpaceDE/>
              <w:autoSpaceDN/>
              <w:bidi w:val="0"/>
              <w:spacing w:after="0" w:line="480" w:lineRule="exact"/>
              <w:ind w:left="0" w:leftChars="0" w:firstLine="480" w:firstLineChars="200"/>
              <w:textAlignment w:val="auto"/>
              <w:rPr>
                <w:rFonts w:hint="eastAsia" w:ascii="宋体" w:hAnsi="宋体" w:cs="宋体"/>
                <w:color w:val="auto"/>
                <w:sz w:val="24"/>
                <w:highlight w:val="none"/>
                <w:lang w:val="en-US" w:eastAsia="zh-CN"/>
              </w:rPr>
            </w:pPr>
            <w:r>
              <w:rPr>
                <w:rFonts w:hint="default" w:ascii="宋体" w:hAnsi="宋体" w:cs="宋体"/>
                <w:color w:val="auto"/>
                <w:sz w:val="24"/>
                <w:highlight w:val="none"/>
                <w:lang w:val="en-US" w:eastAsia="zh-CN"/>
              </w:rPr>
              <w:t>排土场</w:t>
            </w:r>
            <w:r>
              <w:rPr>
                <w:rFonts w:hint="eastAsia" w:ascii="宋体" w:hAnsi="宋体" w:cs="宋体"/>
                <w:color w:val="auto"/>
                <w:sz w:val="24"/>
                <w:highlight w:val="none"/>
                <w:lang w:val="en-US" w:eastAsia="zh-CN"/>
              </w:rPr>
              <w:t>边坡</w:t>
            </w:r>
            <w:r>
              <w:rPr>
                <w:rFonts w:hint="default" w:ascii="宋体" w:hAnsi="宋体" w:cs="宋体"/>
                <w:color w:val="auto"/>
                <w:sz w:val="24"/>
                <w:highlight w:val="none"/>
                <w:lang w:val="en-US" w:eastAsia="zh-CN"/>
              </w:rPr>
              <w:t>现状不稳定，</w:t>
            </w:r>
            <w:r>
              <w:rPr>
                <w:rFonts w:hint="eastAsia"/>
                <w:color w:val="auto"/>
                <w:kern w:val="0"/>
                <w:sz w:val="24"/>
                <w:highlight w:val="none"/>
                <w:lang w:val="en-US" w:eastAsia="zh-CN" w:bidi="ar"/>
              </w:rPr>
              <w:t>无截排水设施，</w:t>
            </w:r>
            <w:r>
              <w:rPr>
                <w:rFonts w:hint="eastAsia" w:ascii="宋体" w:hAnsi="宋体" w:cs="宋体"/>
                <w:color w:val="auto"/>
                <w:sz w:val="24"/>
                <w:highlight w:val="none"/>
                <w:lang w:val="en-US" w:eastAsia="zh-CN"/>
              </w:rPr>
              <w:t>未进行生态恢复。</w:t>
            </w:r>
          </w:p>
          <w:p w14:paraId="3094C749">
            <w:pPr>
              <w:keepNext w:val="0"/>
              <w:keepLines w:val="0"/>
              <w:pageBreakBefore w:val="0"/>
              <w:kinsoku/>
              <w:wordWrap/>
              <w:overflowPunct/>
              <w:topLinePunct w:val="0"/>
              <w:autoSpaceDE/>
              <w:autoSpaceDN/>
              <w:bidi w:val="0"/>
              <w:adjustRightInd w:val="0"/>
              <w:snapToGrid w:val="0"/>
              <w:spacing w:line="480" w:lineRule="exact"/>
              <w:ind w:firstLine="480" w:firstLineChars="200"/>
              <w:textAlignment w:val="auto"/>
              <w:rPr>
                <w:rFonts w:hint="eastAsia" w:eastAsia="宋体"/>
                <w:color w:val="auto"/>
                <w:sz w:val="24"/>
                <w:lang w:val="en-US" w:eastAsia="zh-CN"/>
              </w:rPr>
            </w:pPr>
            <w:r>
              <w:rPr>
                <w:rFonts w:hint="eastAsia" w:ascii="Times New Roman" w:hAnsi="Times New Roman" w:eastAsia="宋体" w:cs="Times New Roman"/>
                <w:color w:val="auto"/>
                <w:kern w:val="0"/>
                <w:sz w:val="24"/>
                <w:szCs w:val="24"/>
                <w:lang w:val="en-US" w:eastAsia="zh-CN" w:bidi="ar"/>
              </w:rPr>
              <w:t>排土场已</w:t>
            </w:r>
            <w:r>
              <w:rPr>
                <w:rFonts w:hint="default" w:ascii="Times New Roman" w:hAnsi="Times New Roman" w:eastAsia="宋体" w:cs="Times New Roman"/>
                <w:color w:val="auto"/>
                <w:kern w:val="0"/>
                <w:sz w:val="24"/>
                <w:szCs w:val="24"/>
                <w:lang w:val="en-US" w:eastAsia="zh-CN" w:bidi="ar"/>
              </w:rPr>
              <w:t>形成</w:t>
            </w:r>
            <w:r>
              <w:rPr>
                <w:rFonts w:hint="eastAsia" w:ascii="Times New Roman" w:hAnsi="Times New Roman" w:cs="Times New Roman"/>
                <w:color w:val="auto"/>
                <w:kern w:val="0"/>
                <w:sz w:val="24"/>
                <w:szCs w:val="24"/>
                <w:lang w:val="en-US" w:eastAsia="zh-CN" w:bidi="ar"/>
              </w:rPr>
              <w:t>2个</w:t>
            </w:r>
            <w:r>
              <w:rPr>
                <w:rFonts w:hint="default" w:ascii="Times New Roman" w:hAnsi="Times New Roman" w:eastAsia="宋体" w:cs="Times New Roman"/>
                <w:color w:val="auto"/>
                <w:kern w:val="0"/>
                <w:sz w:val="24"/>
                <w:szCs w:val="24"/>
                <w:lang w:val="en-US" w:eastAsia="zh-CN" w:bidi="ar"/>
              </w:rPr>
              <w:t>排土平台</w:t>
            </w:r>
            <w:r>
              <w:rPr>
                <w:rFonts w:hint="eastAsia" w:ascii="Times New Roman" w:hAnsi="Times New Roman" w:eastAsia="宋体" w:cs="Times New Roman"/>
                <w:color w:val="auto"/>
                <w:kern w:val="0"/>
                <w:sz w:val="24"/>
                <w:szCs w:val="24"/>
                <w:lang w:val="en-US" w:eastAsia="zh-CN" w:bidi="ar"/>
              </w:rPr>
              <w:t>及边坡需进行生态恢复，恢复总面积1.3976</w:t>
            </w:r>
            <w:r>
              <w:rPr>
                <w:color w:val="auto"/>
                <w:sz w:val="24"/>
              </w:rPr>
              <w:t>hm</w:t>
            </w:r>
            <w:r>
              <w:rPr>
                <w:color w:val="auto"/>
                <w:sz w:val="24"/>
                <w:vertAlign w:val="superscript"/>
              </w:rPr>
              <w:t>2</w:t>
            </w:r>
            <w:r>
              <w:rPr>
                <w:rFonts w:hint="eastAsia"/>
                <w:color w:val="auto"/>
                <w:sz w:val="24"/>
                <w:vertAlign w:val="baseline"/>
                <w:lang w:eastAsia="zh-CN"/>
              </w:rPr>
              <w:t>。</w:t>
            </w:r>
            <w:r>
              <w:rPr>
                <w:rFonts w:hint="default" w:ascii="Times New Roman" w:hAnsi="Times New Roman" w:eastAsia="宋体" w:cs="Times New Roman"/>
                <w:color w:val="auto"/>
                <w:kern w:val="0"/>
                <w:sz w:val="24"/>
                <w:szCs w:val="24"/>
                <w:lang w:val="en-US" w:eastAsia="zh-CN" w:bidi="ar"/>
              </w:rPr>
              <w:t>排土平台</w:t>
            </w:r>
            <w:r>
              <w:rPr>
                <w:rFonts w:hint="eastAsia" w:ascii="Times New Roman" w:hAnsi="Times New Roman" w:eastAsia="宋体" w:cs="Times New Roman"/>
                <w:color w:val="auto"/>
                <w:kern w:val="0"/>
                <w:sz w:val="24"/>
                <w:szCs w:val="24"/>
                <w:lang w:val="en-US" w:eastAsia="zh-CN" w:bidi="ar"/>
              </w:rPr>
              <w:t>恢复面积0.26</w:t>
            </w:r>
            <w:r>
              <w:rPr>
                <w:color w:val="auto"/>
                <w:sz w:val="24"/>
              </w:rPr>
              <w:t>hm</w:t>
            </w:r>
            <w:r>
              <w:rPr>
                <w:color w:val="auto"/>
                <w:sz w:val="24"/>
                <w:vertAlign w:val="superscript"/>
              </w:rPr>
              <w:t>2</w:t>
            </w:r>
            <w:r>
              <w:rPr>
                <w:rFonts w:hint="eastAsia"/>
                <w:color w:val="auto"/>
                <w:sz w:val="24"/>
                <w:vertAlign w:val="baseline"/>
                <w:lang w:eastAsia="zh-CN"/>
              </w:rPr>
              <w:t>，</w:t>
            </w:r>
            <w:r>
              <w:rPr>
                <w:color w:val="auto"/>
                <w:sz w:val="24"/>
              </w:rPr>
              <w:t>复垦为乔木林地</w:t>
            </w:r>
            <w:r>
              <w:rPr>
                <w:rFonts w:hint="eastAsia"/>
                <w:color w:val="auto"/>
                <w:sz w:val="24"/>
              </w:rPr>
              <w:t>，</w:t>
            </w:r>
            <w:r>
              <w:rPr>
                <w:bCs/>
                <w:color w:val="auto"/>
                <w:sz w:val="24"/>
              </w:rPr>
              <w:t>乔木为5年生油松，株行距为2m×3m，种植密度为1667株/hm</w:t>
            </w:r>
            <w:r>
              <w:rPr>
                <w:bCs/>
                <w:color w:val="auto"/>
                <w:sz w:val="24"/>
                <w:vertAlign w:val="superscript"/>
              </w:rPr>
              <w:t>2</w:t>
            </w:r>
            <w:r>
              <w:rPr>
                <w:bCs/>
                <w:color w:val="auto"/>
                <w:sz w:val="24"/>
              </w:rPr>
              <w:t>，整地方式与规格为圆形穴坑整地，采用0.6×0.6×0.6m的圆穴。林下撒播草籽，草种选择紫花苜蓿和披碱草，种植密度各15kg/hm</w:t>
            </w:r>
            <w:r>
              <w:rPr>
                <w:bCs/>
                <w:color w:val="auto"/>
                <w:sz w:val="24"/>
                <w:vertAlign w:val="superscript"/>
              </w:rPr>
              <w:t>2</w:t>
            </w:r>
            <w:r>
              <w:rPr>
                <w:color w:val="auto"/>
                <w:sz w:val="24"/>
              </w:rPr>
              <w:t>。</w:t>
            </w:r>
            <w:r>
              <w:rPr>
                <w:rFonts w:hint="eastAsia" w:ascii="Times New Roman" w:hAnsi="Times New Roman" w:eastAsia="宋体" w:cs="Times New Roman"/>
                <w:color w:val="auto"/>
                <w:kern w:val="0"/>
                <w:sz w:val="24"/>
                <w:szCs w:val="24"/>
                <w:lang w:val="en-US" w:eastAsia="zh-CN" w:bidi="ar"/>
              </w:rPr>
              <w:t>边坡恢复面积1.1376</w:t>
            </w:r>
            <w:r>
              <w:rPr>
                <w:color w:val="auto"/>
                <w:sz w:val="24"/>
              </w:rPr>
              <w:t>hm</w:t>
            </w:r>
            <w:r>
              <w:rPr>
                <w:color w:val="auto"/>
                <w:sz w:val="24"/>
                <w:vertAlign w:val="superscript"/>
              </w:rPr>
              <w:t>2</w:t>
            </w:r>
            <w:r>
              <w:rPr>
                <w:rFonts w:hint="eastAsia"/>
                <w:color w:val="auto"/>
                <w:sz w:val="24"/>
                <w:vertAlign w:val="baseline"/>
                <w:lang w:eastAsia="zh-CN"/>
              </w:rPr>
              <w:t>，</w:t>
            </w:r>
            <w:r>
              <w:rPr>
                <w:color w:val="auto"/>
                <w:sz w:val="24"/>
              </w:rPr>
              <w:t>复垦为</w:t>
            </w:r>
            <w:r>
              <w:rPr>
                <w:rFonts w:hint="eastAsia"/>
                <w:color w:val="auto"/>
                <w:sz w:val="24"/>
              </w:rPr>
              <w:t>灌木</w:t>
            </w:r>
            <w:r>
              <w:rPr>
                <w:color w:val="auto"/>
                <w:sz w:val="24"/>
              </w:rPr>
              <w:t>林地</w:t>
            </w:r>
            <w:r>
              <w:rPr>
                <w:rFonts w:hint="eastAsia"/>
                <w:color w:val="auto"/>
                <w:sz w:val="24"/>
                <w:lang w:eastAsia="zh-CN"/>
              </w:rPr>
              <w:t>，</w:t>
            </w:r>
            <w:r>
              <w:rPr>
                <w:bCs/>
                <w:color w:val="auto"/>
                <w:sz w:val="24"/>
              </w:rPr>
              <w:t>灌木选择3年生紫穗槐，株行距为1m×1m，种植密度为10000株/hm</w:t>
            </w:r>
            <w:r>
              <w:rPr>
                <w:bCs/>
                <w:color w:val="auto"/>
                <w:sz w:val="24"/>
                <w:vertAlign w:val="superscript"/>
              </w:rPr>
              <w:t>2</w:t>
            </w:r>
            <w:r>
              <w:rPr>
                <w:bCs/>
                <w:color w:val="auto"/>
                <w:sz w:val="24"/>
              </w:rPr>
              <w:t>，整地方式与规格为圆形穴坑整地，采用0.3×0.3×0.3m的圆穴。并撒播紫花苜蓿和披碱草，撒播量为30kg/hm</w:t>
            </w:r>
            <w:r>
              <w:rPr>
                <w:bCs/>
                <w:color w:val="auto"/>
                <w:sz w:val="24"/>
                <w:vertAlign w:val="superscript"/>
              </w:rPr>
              <w:t>2</w:t>
            </w:r>
            <w:r>
              <w:rPr>
                <w:rFonts w:hint="eastAsia"/>
                <w:bCs/>
                <w:color w:val="auto"/>
                <w:sz w:val="24"/>
                <w:vertAlign w:val="baseline"/>
                <w:lang w:eastAsia="zh-CN"/>
              </w:rPr>
              <w:t>。</w:t>
            </w:r>
          </w:p>
          <w:p w14:paraId="3D6585B2">
            <w:pPr>
              <w:pStyle w:val="81"/>
              <w:keepNext w:val="0"/>
              <w:keepLines w:val="0"/>
              <w:pageBreakBefore w:val="0"/>
              <w:kinsoku/>
              <w:wordWrap/>
              <w:overflowPunct/>
              <w:topLinePunct w:val="0"/>
              <w:autoSpaceDE/>
              <w:autoSpaceDN/>
              <w:bidi w:val="0"/>
              <w:adjustRightInd/>
              <w:snapToGrid/>
              <w:ind w:firstLine="0"/>
              <w:jc w:val="center"/>
              <w:textAlignment w:val="auto"/>
              <w:rPr>
                <w:rFonts w:hint="eastAsia" w:ascii="宋体" w:hAnsi="宋体" w:eastAsia="宋体" w:cs="宋体"/>
                <w:color w:val="auto"/>
                <w:szCs w:val="21"/>
                <w:lang w:val="zh-CN" w:bidi="ar"/>
              </w:rPr>
            </w:pPr>
          </w:p>
          <w:p w14:paraId="03D93124">
            <w:pPr>
              <w:pStyle w:val="81"/>
              <w:keepNext w:val="0"/>
              <w:keepLines w:val="0"/>
              <w:pageBreakBefore w:val="0"/>
              <w:kinsoku/>
              <w:wordWrap/>
              <w:overflowPunct/>
              <w:topLinePunct w:val="0"/>
              <w:autoSpaceDE/>
              <w:autoSpaceDN/>
              <w:bidi w:val="0"/>
              <w:adjustRightInd/>
              <w:snapToGrid/>
              <w:ind w:firstLine="0"/>
              <w:jc w:val="center"/>
              <w:textAlignment w:val="auto"/>
              <w:rPr>
                <w:rFonts w:hint="eastAsia" w:ascii="宋体" w:hAnsi="宋体" w:eastAsia="宋体" w:cs="宋体"/>
                <w:color w:val="auto"/>
                <w:szCs w:val="21"/>
                <w:lang w:val="zh-CN" w:bidi="ar"/>
              </w:rPr>
            </w:pPr>
          </w:p>
          <w:p w14:paraId="362D5807">
            <w:pPr>
              <w:pStyle w:val="81"/>
              <w:keepNext w:val="0"/>
              <w:keepLines w:val="0"/>
              <w:pageBreakBefore w:val="0"/>
              <w:kinsoku/>
              <w:wordWrap/>
              <w:overflowPunct/>
              <w:topLinePunct w:val="0"/>
              <w:autoSpaceDE/>
              <w:autoSpaceDN/>
              <w:bidi w:val="0"/>
              <w:adjustRightInd/>
              <w:snapToGrid/>
              <w:ind w:firstLine="0"/>
              <w:jc w:val="center"/>
              <w:textAlignment w:val="auto"/>
              <w:rPr>
                <w:rFonts w:ascii="宋体" w:hAnsi="宋体" w:eastAsia="宋体" w:cs="宋体"/>
                <w:color w:val="auto"/>
                <w:szCs w:val="21"/>
                <w:lang w:val="zh-CN" w:bidi="ar"/>
              </w:rPr>
            </w:pPr>
            <w:r>
              <w:rPr>
                <w:rFonts w:hint="eastAsia" w:ascii="宋体" w:hAnsi="宋体" w:eastAsia="宋体" w:cs="宋体"/>
                <w:color w:val="auto"/>
                <w:szCs w:val="21"/>
                <w:lang w:val="zh-CN" w:bidi="ar"/>
              </w:rPr>
              <w:t>表</w:t>
            </w:r>
            <w:r>
              <w:rPr>
                <w:rFonts w:hint="eastAsia" w:eastAsia="宋体"/>
                <w:color w:val="auto"/>
                <w:szCs w:val="21"/>
                <w:lang w:val="en-US" w:eastAsia="zh-CN" w:bidi="ar"/>
              </w:rPr>
              <w:t>3-6</w:t>
            </w:r>
            <w:r>
              <w:rPr>
                <w:rFonts w:hint="eastAsia" w:ascii="宋体" w:hAnsi="宋体" w:eastAsia="宋体" w:cs="宋体"/>
                <w:color w:val="auto"/>
                <w:szCs w:val="21"/>
                <w:lang w:val="zh-CN" w:bidi="ar"/>
              </w:rPr>
              <w:t xml:space="preserve"> </w:t>
            </w:r>
            <w:r>
              <w:rPr>
                <w:rFonts w:hint="eastAsia" w:ascii="宋体" w:hAnsi="宋体" w:eastAsia="宋体" w:cs="宋体"/>
                <w:color w:val="auto"/>
                <w:szCs w:val="21"/>
                <w:lang w:val="en-US" w:eastAsia="zh-CN" w:bidi="ar"/>
              </w:rPr>
              <w:t xml:space="preserve">  </w:t>
            </w:r>
            <w:r>
              <w:rPr>
                <w:rFonts w:hint="eastAsia" w:ascii="宋体" w:hAnsi="宋体" w:eastAsia="宋体" w:cs="宋体"/>
                <w:color w:val="auto"/>
                <w:szCs w:val="21"/>
                <w:lang w:val="zh-CN" w:bidi="ar"/>
              </w:rPr>
              <w:t xml:space="preserve"> 排土场已形成平台植物措施配置表</w:t>
            </w:r>
          </w:p>
          <w:tbl>
            <w:tblPr>
              <w:tblStyle w:val="29"/>
              <w:tblW w:w="9103" w:type="dxa"/>
              <w:tblInd w:w="0" w:type="dxa"/>
              <w:tblLayout w:type="autofit"/>
              <w:tblCellMar>
                <w:top w:w="0" w:type="dxa"/>
                <w:left w:w="108" w:type="dxa"/>
                <w:bottom w:w="0" w:type="dxa"/>
                <w:right w:w="108" w:type="dxa"/>
              </w:tblCellMar>
            </w:tblPr>
            <w:tblGrid>
              <w:gridCol w:w="685"/>
              <w:gridCol w:w="1277"/>
              <w:gridCol w:w="1049"/>
              <w:gridCol w:w="1802"/>
              <w:gridCol w:w="1663"/>
              <w:gridCol w:w="1416"/>
              <w:gridCol w:w="1211"/>
            </w:tblGrid>
            <w:tr w14:paraId="5EF9811B">
              <w:tblPrEx>
                <w:tblCellMar>
                  <w:top w:w="0" w:type="dxa"/>
                  <w:left w:w="108" w:type="dxa"/>
                  <w:bottom w:w="0" w:type="dxa"/>
                  <w:right w:w="108" w:type="dxa"/>
                </w:tblCellMar>
              </w:tblPrEx>
              <w:trPr>
                <w:trHeight w:val="315" w:hRule="atLeast"/>
              </w:trPr>
              <w:tc>
                <w:tcPr>
                  <w:tcW w:w="37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C2C42A6">
                  <w:pPr>
                    <w:widowControl/>
                    <w:jc w:val="center"/>
                    <w:textAlignment w:val="center"/>
                    <w:rPr>
                      <w:color w:val="auto"/>
                      <w:sz w:val="21"/>
                      <w:szCs w:val="21"/>
                    </w:rPr>
                  </w:pPr>
                  <w:r>
                    <w:rPr>
                      <w:color w:val="auto"/>
                      <w:kern w:val="0"/>
                      <w:sz w:val="21"/>
                      <w:szCs w:val="21"/>
                      <w:lang w:bidi="ar"/>
                    </w:rPr>
                    <w:t>编号</w:t>
                  </w:r>
                </w:p>
              </w:tc>
              <w:tc>
                <w:tcPr>
                  <w:tcW w:w="70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166991E">
                  <w:pPr>
                    <w:widowControl/>
                    <w:jc w:val="center"/>
                    <w:textAlignment w:val="center"/>
                    <w:rPr>
                      <w:color w:val="auto"/>
                      <w:sz w:val="21"/>
                      <w:szCs w:val="21"/>
                    </w:rPr>
                  </w:pPr>
                  <w:r>
                    <w:rPr>
                      <w:color w:val="auto"/>
                      <w:kern w:val="0"/>
                      <w:sz w:val="21"/>
                      <w:szCs w:val="21"/>
                      <w:lang w:bidi="ar"/>
                    </w:rPr>
                    <w:t>树种或草种</w:t>
                  </w:r>
                </w:p>
              </w:tc>
              <w:tc>
                <w:tcPr>
                  <w:tcW w:w="57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EB3C775">
                  <w:pPr>
                    <w:widowControl/>
                    <w:jc w:val="center"/>
                    <w:textAlignment w:val="center"/>
                    <w:rPr>
                      <w:color w:val="auto"/>
                      <w:sz w:val="21"/>
                      <w:szCs w:val="21"/>
                    </w:rPr>
                  </w:pPr>
                  <w:r>
                    <w:rPr>
                      <w:color w:val="auto"/>
                      <w:kern w:val="0"/>
                      <w:sz w:val="21"/>
                      <w:szCs w:val="21"/>
                      <w:lang w:bidi="ar"/>
                    </w:rPr>
                    <w:t>株行距（m</w:t>
                  </w:r>
                  <w:r>
                    <w:rPr>
                      <w:rFonts w:hint="eastAsia" w:ascii="宋体" w:hAnsi="宋体" w:cs="宋体"/>
                      <w:color w:val="auto"/>
                      <w:kern w:val="0"/>
                      <w:sz w:val="21"/>
                      <w:szCs w:val="21"/>
                      <w:lang w:bidi="ar"/>
                    </w:rPr>
                    <w:t>）</w:t>
                  </w:r>
                </w:p>
              </w:tc>
              <w:tc>
                <w:tcPr>
                  <w:tcW w:w="98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C079D3C">
                  <w:pPr>
                    <w:widowControl/>
                    <w:jc w:val="center"/>
                    <w:textAlignment w:val="center"/>
                    <w:rPr>
                      <w:color w:val="auto"/>
                      <w:sz w:val="21"/>
                      <w:szCs w:val="21"/>
                    </w:rPr>
                  </w:pPr>
                  <w:r>
                    <w:rPr>
                      <w:color w:val="auto"/>
                      <w:kern w:val="0"/>
                      <w:sz w:val="21"/>
                      <w:szCs w:val="21"/>
                      <w:lang w:bidi="ar"/>
                    </w:rPr>
                    <w:t>植树密度/</w:t>
                  </w:r>
                  <w:r>
                    <w:rPr>
                      <w:rFonts w:hint="eastAsia" w:ascii="宋体" w:hAnsi="宋体" w:cs="宋体"/>
                      <w:color w:val="auto"/>
                      <w:kern w:val="0"/>
                      <w:sz w:val="21"/>
                      <w:szCs w:val="21"/>
                      <w:lang w:bidi="ar"/>
                    </w:rPr>
                    <w:t>播种量</w:t>
                  </w:r>
                </w:p>
              </w:tc>
              <w:tc>
                <w:tcPr>
                  <w:tcW w:w="91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99BCF7D">
                  <w:pPr>
                    <w:widowControl/>
                    <w:jc w:val="center"/>
                    <w:textAlignment w:val="center"/>
                    <w:rPr>
                      <w:color w:val="auto"/>
                      <w:sz w:val="21"/>
                      <w:szCs w:val="21"/>
                    </w:rPr>
                  </w:pPr>
                  <w:r>
                    <w:rPr>
                      <w:color w:val="auto"/>
                      <w:kern w:val="0"/>
                      <w:sz w:val="21"/>
                      <w:szCs w:val="21"/>
                      <w:lang w:bidi="ar"/>
                    </w:rPr>
                    <w:t>种植面积（hm</w:t>
                  </w:r>
                  <w:r>
                    <w:rPr>
                      <w:color w:val="auto"/>
                      <w:kern w:val="0"/>
                      <w:sz w:val="21"/>
                      <w:szCs w:val="21"/>
                      <w:vertAlign w:val="superscript"/>
                      <w:lang w:bidi="ar"/>
                    </w:rPr>
                    <w:t>2</w:t>
                  </w:r>
                  <w:r>
                    <w:rPr>
                      <w:rFonts w:hint="eastAsia" w:ascii="宋体" w:hAnsi="宋体" w:cs="宋体"/>
                      <w:color w:val="auto"/>
                      <w:kern w:val="0"/>
                      <w:sz w:val="21"/>
                      <w:szCs w:val="21"/>
                      <w:lang w:bidi="ar"/>
                    </w:rPr>
                    <w:t>）</w:t>
                  </w:r>
                </w:p>
              </w:tc>
              <w:tc>
                <w:tcPr>
                  <w:tcW w:w="7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0F824B">
                  <w:pPr>
                    <w:widowControl/>
                    <w:jc w:val="center"/>
                    <w:textAlignment w:val="center"/>
                    <w:rPr>
                      <w:color w:val="auto"/>
                      <w:sz w:val="21"/>
                      <w:szCs w:val="21"/>
                    </w:rPr>
                  </w:pPr>
                  <w:r>
                    <w:rPr>
                      <w:color w:val="auto"/>
                      <w:kern w:val="0"/>
                      <w:sz w:val="21"/>
                      <w:szCs w:val="21"/>
                      <w:lang w:bidi="ar"/>
                    </w:rPr>
                    <w:t>种植</w:t>
                  </w:r>
                </w:p>
              </w:tc>
              <w:tc>
                <w:tcPr>
                  <w:tcW w:w="66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A064C24">
                  <w:pPr>
                    <w:widowControl/>
                    <w:jc w:val="center"/>
                    <w:textAlignment w:val="center"/>
                    <w:rPr>
                      <w:color w:val="auto"/>
                      <w:sz w:val="21"/>
                      <w:szCs w:val="21"/>
                    </w:rPr>
                  </w:pPr>
                  <w:r>
                    <w:rPr>
                      <w:color w:val="auto"/>
                      <w:kern w:val="0"/>
                      <w:sz w:val="21"/>
                      <w:szCs w:val="21"/>
                      <w:lang w:bidi="ar"/>
                    </w:rPr>
                    <w:t>播种方式</w:t>
                  </w:r>
                </w:p>
              </w:tc>
            </w:tr>
            <w:tr w14:paraId="15E5F361">
              <w:tblPrEx>
                <w:tblCellMar>
                  <w:top w:w="0" w:type="dxa"/>
                  <w:left w:w="108" w:type="dxa"/>
                  <w:bottom w:w="0" w:type="dxa"/>
                  <w:right w:w="108" w:type="dxa"/>
                </w:tblCellMar>
              </w:tblPrEx>
              <w:trPr>
                <w:trHeight w:val="315" w:hRule="atLeast"/>
              </w:trPr>
              <w:tc>
                <w:tcPr>
                  <w:tcW w:w="37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60F852">
                  <w:pPr>
                    <w:jc w:val="center"/>
                    <w:rPr>
                      <w:color w:val="auto"/>
                      <w:sz w:val="21"/>
                      <w:szCs w:val="21"/>
                    </w:rPr>
                  </w:pPr>
                </w:p>
              </w:tc>
              <w:tc>
                <w:tcPr>
                  <w:tcW w:w="70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4C8109">
                  <w:pPr>
                    <w:jc w:val="center"/>
                    <w:rPr>
                      <w:color w:val="auto"/>
                      <w:sz w:val="21"/>
                      <w:szCs w:val="21"/>
                    </w:rPr>
                  </w:pPr>
                </w:p>
              </w:tc>
              <w:tc>
                <w:tcPr>
                  <w:tcW w:w="57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DD274D">
                  <w:pPr>
                    <w:jc w:val="center"/>
                    <w:rPr>
                      <w:color w:val="auto"/>
                      <w:sz w:val="21"/>
                      <w:szCs w:val="21"/>
                    </w:rPr>
                  </w:pPr>
                </w:p>
              </w:tc>
              <w:tc>
                <w:tcPr>
                  <w:tcW w:w="9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28BF3E">
                  <w:pPr>
                    <w:jc w:val="center"/>
                    <w:rPr>
                      <w:color w:val="auto"/>
                      <w:sz w:val="21"/>
                      <w:szCs w:val="21"/>
                    </w:rPr>
                  </w:pPr>
                </w:p>
              </w:tc>
              <w:tc>
                <w:tcPr>
                  <w:tcW w:w="91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002B74">
                  <w:pPr>
                    <w:jc w:val="center"/>
                    <w:rPr>
                      <w:color w:val="auto"/>
                      <w:sz w:val="21"/>
                      <w:szCs w:val="21"/>
                    </w:rPr>
                  </w:pPr>
                </w:p>
              </w:tc>
              <w:tc>
                <w:tcPr>
                  <w:tcW w:w="7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264773">
                  <w:pPr>
                    <w:widowControl/>
                    <w:jc w:val="center"/>
                    <w:textAlignment w:val="center"/>
                    <w:rPr>
                      <w:color w:val="auto"/>
                      <w:sz w:val="21"/>
                      <w:szCs w:val="21"/>
                    </w:rPr>
                  </w:pPr>
                  <w:r>
                    <w:rPr>
                      <w:color w:val="auto"/>
                      <w:kern w:val="0"/>
                      <w:sz w:val="21"/>
                      <w:szCs w:val="21"/>
                      <w:lang w:bidi="ar"/>
                    </w:rPr>
                    <w:t>数量</w:t>
                  </w:r>
                </w:p>
              </w:tc>
              <w:tc>
                <w:tcPr>
                  <w:tcW w:w="66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C177D1">
                  <w:pPr>
                    <w:jc w:val="center"/>
                    <w:rPr>
                      <w:color w:val="auto"/>
                      <w:sz w:val="21"/>
                      <w:szCs w:val="21"/>
                    </w:rPr>
                  </w:pPr>
                </w:p>
              </w:tc>
            </w:tr>
            <w:tr w14:paraId="73870298">
              <w:tblPrEx>
                <w:tblCellMar>
                  <w:top w:w="0" w:type="dxa"/>
                  <w:left w:w="108" w:type="dxa"/>
                  <w:bottom w:w="0" w:type="dxa"/>
                  <w:right w:w="108" w:type="dxa"/>
                </w:tblCellMar>
              </w:tblPrEx>
              <w:trPr>
                <w:trHeight w:val="315" w:hRule="atLeast"/>
              </w:trPr>
              <w:tc>
                <w:tcPr>
                  <w:tcW w:w="3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CF8A0F">
                  <w:pPr>
                    <w:widowControl/>
                    <w:jc w:val="center"/>
                    <w:textAlignment w:val="center"/>
                    <w:rPr>
                      <w:color w:val="auto"/>
                      <w:sz w:val="21"/>
                      <w:szCs w:val="21"/>
                    </w:rPr>
                  </w:pPr>
                  <w:r>
                    <w:rPr>
                      <w:color w:val="auto"/>
                      <w:kern w:val="0"/>
                      <w:sz w:val="21"/>
                      <w:szCs w:val="21"/>
                      <w:lang w:bidi="ar"/>
                    </w:rPr>
                    <w:t>1</w:t>
                  </w:r>
                </w:p>
              </w:tc>
              <w:tc>
                <w:tcPr>
                  <w:tcW w:w="7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6BF7E8">
                  <w:pPr>
                    <w:widowControl/>
                    <w:jc w:val="center"/>
                    <w:textAlignment w:val="center"/>
                    <w:rPr>
                      <w:rFonts w:ascii="宋体" w:hAnsi="宋体" w:cs="宋体"/>
                      <w:color w:val="auto"/>
                      <w:sz w:val="21"/>
                      <w:szCs w:val="21"/>
                    </w:rPr>
                  </w:pPr>
                  <w:r>
                    <w:rPr>
                      <w:rFonts w:hint="eastAsia" w:ascii="宋体" w:hAnsi="宋体" w:cs="宋体"/>
                      <w:color w:val="auto"/>
                      <w:kern w:val="0"/>
                      <w:sz w:val="21"/>
                      <w:szCs w:val="21"/>
                      <w:lang w:bidi="ar"/>
                    </w:rPr>
                    <w:t>油松</w:t>
                  </w: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7D6E10">
                  <w:pPr>
                    <w:widowControl/>
                    <w:jc w:val="center"/>
                    <w:textAlignment w:val="center"/>
                    <w:rPr>
                      <w:color w:val="auto"/>
                      <w:sz w:val="21"/>
                      <w:szCs w:val="21"/>
                    </w:rPr>
                  </w:pPr>
                  <w:r>
                    <w:rPr>
                      <w:color w:val="auto"/>
                      <w:kern w:val="0"/>
                      <w:sz w:val="21"/>
                      <w:szCs w:val="21"/>
                      <w:lang w:bidi="ar"/>
                    </w:rPr>
                    <w:t>2×3</w:t>
                  </w:r>
                </w:p>
              </w:tc>
              <w:tc>
                <w:tcPr>
                  <w:tcW w:w="9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1FAA24">
                  <w:pPr>
                    <w:widowControl/>
                    <w:jc w:val="center"/>
                    <w:textAlignment w:val="center"/>
                    <w:rPr>
                      <w:color w:val="auto"/>
                      <w:sz w:val="21"/>
                      <w:szCs w:val="21"/>
                    </w:rPr>
                  </w:pPr>
                  <w:r>
                    <w:rPr>
                      <w:color w:val="auto"/>
                      <w:kern w:val="0"/>
                      <w:sz w:val="21"/>
                      <w:szCs w:val="21"/>
                      <w:lang w:bidi="ar"/>
                    </w:rPr>
                    <w:t>1667</w:t>
                  </w:r>
                  <w:r>
                    <w:rPr>
                      <w:rFonts w:hint="eastAsia" w:ascii="宋体" w:hAnsi="宋体" w:cs="宋体"/>
                      <w:color w:val="auto"/>
                      <w:kern w:val="0"/>
                      <w:sz w:val="21"/>
                      <w:szCs w:val="21"/>
                      <w:lang w:bidi="ar"/>
                    </w:rPr>
                    <w:t>株</w:t>
                  </w:r>
                  <w:r>
                    <w:rPr>
                      <w:color w:val="auto"/>
                      <w:kern w:val="0"/>
                      <w:sz w:val="21"/>
                      <w:szCs w:val="21"/>
                      <w:lang w:bidi="ar"/>
                    </w:rPr>
                    <w:t>/hm</w:t>
                  </w:r>
                  <w:r>
                    <w:rPr>
                      <w:color w:val="auto"/>
                      <w:kern w:val="0"/>
                      <w:sz w:val="21"/>
                      <w:szCs w:val="21"/>
                      <w:vertAlign w:val="superscript"/>
                      <w:lang w:bidi="ar"/>
                    </w:rPr>
                    <w:t>2</w:t>
                  </w:r>
                </w:p>
              </w:tc>
              <w:tc>
                <w:tcPr>
                  <w:tcW w:w="9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D7D819">
                  <w:pPr>
                    <w:widowControl/>
                    <w:jc w:val="center"/>
                    <w:textAlignment w:val="center"/>
                    <w:rPr>
                      <w:rFonts w:hint="default" w:eastAsia="宋体"/>
                      <w:color w:val="auto"/>
                      <w:sz w:val="21"/>
                      <w:szCs w:val="21"/>
                      <w:lang w:val="en-US" w:eastAsia="zh-CN"/>
                    </w:rPr>
                  </w:pPr>
                  <w:r>
                    <w:rPr>
                      <w:rFonts w:hint="eastAsia"/>
                      <w:color w:val="auto"/>
                      <w:sz w:val="21"/>
                      <w:szCs w:val="21"/>
                      <w:lang w:val="en-US" w:eastAsia="zh-CN"/>
                    </w:rPr>
                    <w:t>0.26</w:t>
                  </w:r>
                </w:p>
              </w:tc>
              <w:tc>
                <w:tcPr>
                  <w:tcW w:w="7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C551CE">
                  <w:pPr>
                    <w:widowControl/>
                    <w:jc w:val="center"/>
                    <w:textAlignment w:val="center"/>
                    <w:rPr>
                      <w:rFonts w:hint="default" w:eastAsia="宋体"/>
                      <w:color w:val="auto"/>
                      <w:sz w:val="21"/>
                      <w:szCs w:val="21"/>
                      <w:lang w:val="en-US" w:eastAsia="zh-CN"/>
                    </w:rPr>
                  </w:pPr>
                  <w:r>
                    <w:rPr>
                      <w:rFonts w:hint="eastAsia"/>
                      <w:color w:val="auto"/>
                      <w:kern w:val="0"/>
                      <w:sz w:val="21"/>
                      <w:szCs w:val="21"/>
                      <w:lang w:val="en-US" w:eastAsia="zh-CN" w:bidi="ar"/>
                    </w:rPr>
                    <w:t>434</w:t>
                  </w:r>
                </w:p>
              </w:tc>
              <w:tc>
                <w:tcPr>
                  <w:tcW w:w="6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279F79">
                  <w:pPr>
                    <w:keepNext w:val="0"/>
                    <w:keepLines w:val="0"/>
                    <w:pageBreakBefore w:val="0"/>
                    <w:widowControl/>
                    <w:kinsoku/>
                    <w:wordWrap/>
                    <w:overflowPunct/>
                    <w:topLinePunct w:val="0"/>
                    <w:autoSpaceDE/>
                    <w:autoSpaceDN/>
                    <w:bidi w:val="0"/>
                    <w:adjustRightInd/>
                    <w:snapToGrid/>
                    <w:ind w:left="-105" w:leftChars="-50" w:right="-105" w:rightChars="-50"/>
                    <w:jc w:val="center"/>
                    <w:textAlignment w:val="center"/>
                    <w:rPr>
                      <w:color w:val="auto"/>
                      <w:sz w:val="21"/>
                      <w:szCs w:val="21"/>
                    </w:rPr>
                  </w:pPr>
                  <w:r>
                    <w:rPr>
                      <w:color w:val="auto"/>
                      <w:kern w:val="0"/>
                      <w:sz w:val="21"/>
                      <w:szCs w:val="21"/>
                      <w:lang w:bidi="ar"/>
                    </w:rPr>
                    <w:t>带土球移植</w:t>
                  </w:r>
                </w:p>
              </w:tc>
            </w:tr>
            <w:tr w14:paraId="51D416A7">
              <w:tblPrEx>
                <w:tblCellMar>
                  <w:top w:w="0" w:type="dxa"/>
                  <w:left w:w="108" w:type="dxa"/>
                  <w:bottom w:w="0" w:type="dxa"/>
                  <w:right w:w="108" w:type="dxa"/>
                </w:tblCellMar>
              </w:tblPrEx>
              <w:trPr>
                <w:trHeight w:val="315" w:hRule="atLeast"/>
              </w:trPr>
              <w:tc>
                <w:tcPr>
                  <w:tcW w:w="3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2894EA">
                  <w:pPr>
                    <w:widowControl/>
                    <w:jc w:val="center"/>
                    <w:textAlignment w:val="center"/>
                    <w:rPr>
                      <w:color w:val="auto"/>
                      <w:sz w:val="21"/>
                      <w:szCs w:val="21"/>
                    </w:rPr>
                  </w:pPr>
                  <w:r>
                    <w:rPr>
                      <w:color w:val="auto"/>
                      <w:kern w:val="0"/>
                      <w:sz w:val="21"/>
                      <w:szCs w:val="21"/>
                      <w:lang w:bidi="ar"/>
                    </w:rPr>
                    <w:t>2</w:t>
                  </w:r>
                </w:p>
              </w:tc>
              <w:tc>
                <w:tcPr>
                  <w:tcW w:w="7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627EE9">
                  <w:pPr>
                    <w:widowControl/>
                    <w:jc w:val="center"/>
                    <w:textAlignment w:val="center"/>
                    <w:rPr>
                      <w:color w:val="auto"/>
                      <w:sz w:val="21"/>
                      <w:szCs w:val="21"/>
                    </w:rPr>
                  </w:pPr>
                  <w:r>
                    <w:rPr>
                      <w:color w:val="auto"/>
                      <w:kern w:val="0"/>
                      <w:sz w:val="21"/>
                      <w:szCs w:val="21"/>
                      <w:lang w:bidi="ar"/>
                    </w:rPr>
                    <w:t>紫花苜蓿</w:t>
                  </w: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D5A0E3">
                  <w:pPr>
                    <w:widowControl/>
                    <w:jc w:val="center"/>
                    <w:textAlignment w:val="center"/>
                    <w:rPr>
                      <w:color w:val="auto"/>
                      <w:sz w:val="21"/>
                      <w:szCs w:val="21"/>
                    </w:rPr>
                  </w:pPr>
                  <w:r>
                    <w:rPr>
                      <w:color w:val="auto"/>
                      <w:kern w:val="0"/>
                      <w:sz w:val="21"/>
                      <w:szCs w:val="21"/>
                      <w:lang w:bidi="ar"/>
                    </w:rPr>
                    <w:t>——</w:t>
                  </w:r>
                </w:p>
              </w:tc>
              <w:tc>
                <w:tcPr>
                  <w:tcW w:w="9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9E85A9">
                  <w:pPr>
                    <w:widowControl/>
                    <w:jc w:val="center"/>
                    <w:textAlignment w:val="center"/>
                    <w:rPr>
                      <w:color w:val="auto"/>
                      <w:sz w:val="21"/>
                      <w:szCs w:val="21"/>
                    </w:rPr>
                  </w:pPr>
                  <w:r>
                    <w:rPr>
                      <w:color w:val="auto"/>
                      <w:kern w:val="0"/>
                      <w:sz w:val="21"/>
                      <w:szCs w:val="21"/>
                      <w:lang w:bidi="ar"/>
                    </w:rPr>
                    <w:t>15kg/hm</w:t>
                  </w:r>
                  <w:r>
                    <w:rPr>
                      <w:color w:val="auto"/>
                      <w:kern w:val="0"/>
                      <w:sz w:val="21"/>
                      <w:szCs w:val="21"/>
                      <w:vertAlign w:val="superscript"/>
                      <w:lang w:bidi="ar"/>
                    </w:rPr>
                    <w:t>2</w:t>
                  </w:r>
                </w:p>
              </w:tc>
              <w:tc>
                <w:tcPr>
                  <w:tcW w:w="9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811A87">
                  <w:pPr>
                    <w:widowControl/>
                    <w:jc w:val="center"/>
                    <w:textAlignment w:val="center"/>
                    <w:rPr>
                      <w:color w:val="auto"/>
                      <w:sz w:val="21"/>
                      <w:szCs w:val="21"/>
                    </w:rPr>
                  </w:pPr>
                  <w:r>
                    <w:rPr>
                      <w:rFonts w:hint="eastAsia"/>
                      <w:color w:val="auto"/>
                      <w:sz w:val="21"/>
                      <w:szCs w:val="21"/>
                      <w:lang w:val="en-US" w:eastAsia="zh-CN"/>
                    </w:rPr>
                    <w:t>0.26</w:t>
                  </w:r>
                </w:p>
              </w:tc>
              <w:tc>
                <w:tcPr>
                  <w:tcW w:w="7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B8D098">
                  <w:pPr>
                    <w:widowControl/>
                    <w:jc w:val="center"/>
                    <w:textAlignment w:val="center"/>
                    <w:rPr>
                      <w:rFonts w:hint="default" w:eastAsia="宋体"/>
                      <w:color w:val="auto"/>
                      <w:sz w:val="21"/>
                      <w:szCs w:val="21"/>
                      <w:lang w:val="en-US" w:eastAsia="zh-CN"/>
                    </w:rPr>
                  </w:pPr>
                  <w:r>
                    <w:rPr>
                      <w:rFonts w:hint="eastAsia"/>
                      <w:color w:val="auto"/>
                      <w:kern w:val="0"/>
                      <w:sz w:val="21"/>
                      <w:szCs w:val="21"/>
                      <w:lang w:val="en-US" w:eastAsia="zh-CN" w:bidi="ar"/>
                    </w:rPr>
                    <w:t>3.9</w:t>
                  </w:r>
                </w:p>
              </w:tc>
              <w:tc>
                <w:tcPr>
                  <w:tcW w:w="6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454F30">
                  <w:pPr>
                    <w:widowControl/>
                    <w:jc w:val="center"/>
                    <w:textAlignment w:val="center"/>
                    <w:rPr>
                      <w:color w:val="auto"/>
                      <w:sz w:val="21"/>
                      <w:szCs w:val="21"/>
                    </w:rPr>
                  </w:pPr>
                  <w:r>
                    <w:rPr>
                      <w:color w:val="auto"/>
                      <w:kern w:val="0"/>
                      <w:sz w:val="21"/>
                      <w:szCs w:val="21"/>
                      <w:lang w:bidi="ar"/>
                    </w:rPr>
                    <w:t>撒播</w:t>
                  </w:r>
                </w:p>
              </w:tc>
            </w:tr>
            <w:tr w14:paraId="2EECBE2B">
              <w:tblPrEx>
                <w:tblCellMar>
                  <w:top w:w="0" w:type="dxa"/>
                  <w:left w:w="108" w:type="dxa"/>
                  <w:bottom w:w="0" w:type="dxa"/>
                  <w:right w:w="108" w:type="dxa"/>
                </w:tblCellMar>
              </w:tblPrEx>
              <w:trPr>
                <w:trHeight w:val="315" w:hRule="atLeast"/>
              </w:trPr>
              <w:tc>
                <w:tcPr>
                  <w:tcW w:w="3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47FBB6">
                  <w:pPr>
                    <w:widowControl/>
                    <w:jc w:val="center"/>
                    <w:textAlignment w:val="center"/>
                    <w:rPr>
                      <w:color w:val="auto"/>
                      <w:kern w:val="0"/>
                      <w:sz w:val="21"/>
                      <w:szCs w:val="21"/>
                      <w:lang w:bidi="ar"/>
                    </w:rPr>
                  </w:pPr>
                  <w:r>
                    <w:rPr>
                      <w:rFonts w:hint="eastAsia"/>
                      <w:color w:val="auto"/>
                      <w:kern w:val="0"/>
                      <w:sz w:val="21"/>
                      <w:szCs w:val="21"/>
                      <w:lang w:bidi="ar"/>
                    </w:rPr>
                    <w:t>3</w:t>
                  </w:r>
                </w:p>
              </w:tc>
              <w:tc>
                <w:tcPr>
                  <w:tcW w:w="7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8610E7">
                  <w:pPr>
                    <w:widowControl/>
                    <w:jc w:val="center"/>
                    <w:textAlignment w:val="center"/>
                    <w:rPr>
                      <w:color w:val="auto"/>
                      <w:kern w:val="0"/>
                      <w:sz w:val="21"/>
                      <w:szCs w:val="21"/>
                      <w:lang w:bidi="ar"/>
                    </w:rPr>
                  </w:pPr>
                  <w:r>
                    <w:rPr>
                      <w:rFonts w:hint="eastAsia"/>
                      <w:color w:val="auto"/>
                      <w:kern w:val="0"/>
                      <w:sz w:val="21"/>
                      <w:szCs w:val="21"/>
                      <w:lang w:bidi="ar"/>
                    </w:rPr>
                    <w:t>披碱草</w:t>
                  </w: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5642C9">
                  <w:pPr>
                    <w:widowControl/>
                    <w:jc w:val="center"/>
                    <w:textAlignment w:val="center"/>
                    <w:rPr>
                      <w:color w:val="auto"/>
                      <w:sz w:val="21"/>
                      <w:szCs w:val="21"/>
                    </w:rPr>
                  </w:pPr>
                  <w:r>
                    <w:rPr>
                      <w:color w:val="auto"/>
                      <w:kern w:val="0"/>
                      <w:sz w:val="21"/>
                      <w:szCs w:val="21"/>
                      <w:lang w:bidi="ar"/>
                    </w:rPr>
                    <w:t>——</w:t>
                  </w:r>
                </w:p>
              </w:tc>
              <w:tc>
                <w:tcPr>
                  <w:tcW w:w="9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1243C1">
                  <w:pPr>
                    <w:widowControl/>
                    <w:jc w:val="center"/>
                    <w:textAlignment w:val="center"/>
                    <w:rPr>
                      <w:color w:val="auto"/>
                      <w:sz w:val="21"/>
                      <w:szCs w:val="21"/>
                    </w:rPr>
                  </w:pPr>
                  <w:r>
                    <w:rPr>
                      <w:color w:val="auto"/>
                      <w:kern w:val="0"/>
                      <w:sz w:val="21"/>
                      <w:szCs w:val="21"/>
                      <w:lang w:bidi="ar"/>
                    </w:rPr>
                    <w:t>15kg/hm</w:t>
                  </w:r>
                  <w:r>
                    <w:rPr>
                      <w:color w:val="auto"/>
                      <w:kern w:val="0"/>
                      <w:sz w:val="21"/>
                      <w:szCs w:val="21"/>
                      <w:vertAlign w:val="superscript"/>
                      <w:lang w:bidi="ar"/>
                    </w:rPr>
                    <w:t>2</w:t>
                  </w:r>
                </w:p>
              </w:tc>
              <w:tc>
                <w:tcPr>
                  <w:tcW w:w="9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1F06EE">
                  <w:pPr>
                    <w:widowControl/>
                    <w:jc w:val="center"/>
                    <w:textAlignment w:val="center"/>
                    <w:rPr>
                      <w:color w:val="auto"/>
                      <w:sz w:val="21"/>
                      <w:szCs w:val="21"/>
                    </w:rPr>
                  </w:pPr>
                  <w:r>
                    <w:rPr>
                      <w:rFonts w:hint="eastAsia"/>
                      <w:color w:val="auto"/>
                      <w:sz w:val="21"/>
                      <w:szCs w:val="21"/>
                      <w:lang w:val="en-US" w:eastAsia="zh-CN"/>
                    </w:rPr>
                    <w:t>0.26</w:t>
                  </w:r>
                </w:p>
              </w:tc>
              <w:tc>
                <w:tcPr>
                  <w:tcW w:w="7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F01E76">
                  <w:pPr>
                    <w:widowControl/>
                    <w:jc w:val="center"/>
                    <w:textAlignment w:val="center"/>
                    <w:rPr>
                      <w:rFonts w:hint="default" w:eastAsia="宋体"/>
                      <w:color w:val="auto"/>
                      <w:sz w:val="21"/>
                      <w:szCs w:val="21"/>
                      <w:lang w:val="en-US" w:eastAsia="zh-CN"/>
                    </w:rPr>
                  </w:pPr>
                  <w:r>
                    <w:rPr>
                      <w:rFonts w:hint="eastAsia"/>
                      <w:color w:val="auto"/>
                      <w:kern w:val="0"/>
                      <w:sz w:val="21"/>
                      <w:szCs w:val="21"/>
                      <w:lang w:val="en-US" w:eastAsia="zh-CN" w:bidi="ar"/>
                    </w:rPr>
                    <w:t>3.9</w:t>
                  </w:r>
                </w:p>
              </w:tc>
              <w:tc>
                <w:tcPr>
                  <w:tcW w:w="6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D6B196">
                  <w:pPr>
                    <w:widowControl/>
                    <w:jc w:val="center"/>
                    <w:textAlignment w:val="center"/>
                    <w:rPr>
                      <w:color w:val="auto"/>
                      <w:sz w:val="21"/>
                      <w:szCs w:val="21"/>
                    </w:rPr>
                  </w:pPr>
                  <w:r>
                    <w:rPr>
                      <w:color w:val="auto"/>
                      <w:kern w:val="0"/>
                      <w:sz w:val="21"/>
                      <w:szCs w:val="21"/>
                      <w:lang w:bidi="ar"/>
                    </w:rPr>
                    <w:t>撒播</w:t>
                  </w:r>
                </w:p>
              </w:tc>
            </w:tr>
          </w:tbl>
          <w:p w14:paraId="0ECCA8BD">
            <w:pPr>
              <w:pStyle w:val="81"/>
              <w:keepNext w:val="0"/>
              <w:keepLines w:val="0"/>
              <w:pageBreakBefore w:val="0"/>
              <w:widowControl w:val="0"/>
              <w:kinsoku/>
              <w:wordWrap/>
              <w:overflowPunct/>
              <w:topLinePunct w:val="0"/>
              <w:autoSpaceDE/>
              <w:autoSpaceDN/>
              <w:bidi w:val="0"/>
              <w:ind w:firstLine="420" w:firstLineChars="200"/>
              <w:jc w:val="center"/>
              <w:textAlignment w:val="auto"/>
              <w:rPr>
                <w:rFonts w:ascii="宋体" w:hAnsi="宋体" w:eastAsia="宋体" w:cs="宋体"/>
                <w:b/>
                <w:color w:val="auto"/>
              </w:rPr>
            </w:pPr>
            <w:r>
              <w:rPr>
                <w:rFonts w:hint="eastAsia" w:ascii="宋体" w:hAnsi="宋体" w:eastAsia="宋体" w:cs="宋体"/>
                <w:color w:val="auto"/>
                <w:szCs w:val="21"/>
                <w:lang w:val="zh-CN" w:bidi="ar"/>
              </w:rPr>
              <w:t>表</w:t>
            </w:r>
            <w:r>
              <w:rPr>
                <w:rFonts w:hint="eastAsia" w:eastAsia="宋体"/>
                <w:color w:val="auto"/>
                <w:szCs w:val="21"/>
                <w:lang w:val="en-US" w:eastAsia="zh-CN" w:bidi="ar"/>
              </w:rPr>
              <w:t>3-7</w:t>
            </w:r>
            <w:r>
              <w:rPr>
                <w:rFonts w:hint="eastAsia" w:ascii="宋体" w:hAnsi="宋体" w:eastAsia="宋体" w:cs="宋体"/>
                <w:color w:val="auto"/>
                <w:szCs w:val="21"/>
                <w:lang w:val="zh-CN" w:bidi="ar"/>
              </w:rPr>
              <w:t xml:space="preserve">     排土场已形成</w:t>
            </w:r>
            <w:r>
              <w:rPr>
                <w:rFonts w:hint="eastAsia" w:ascii="宋体" w:hAnsi="宋体" w:eastAsia="宋体" w:cs="宋体"/>
                <w:color w:val="auto"/>
                <w:szCs w:val="21"/>
                <w:lang w:val="en-US" w:eastAsia="zh-CN" w:bidi="ar"/>
              </w:rPr>
              <w:t>边坡</w:t>
            </w:r>
            <w:r>
              <w:rPr>
                <w:rFonts w:hint="eastAsia" w:ascii="宋体" w:hAnsi="宋体" w:eastAsia="宋体" w:cs="宋体"/>
                <w:color w:val="auto"/>
                <w:szCs w:val="21"/>
                <w:lang w:val="zh-CN" w:bidi="ar"/>
              </w:rPr>
              <w:t>植物措施配置表</w:t>
            </w:r>
          </w:p>
          <w:tbl>
            <w:tblPr>
              <w:tblStyle w:val="29"/>
              <w:tblW w:w="9100" w:type="dxa"/>
              <w:tblInd w:w="0" w:type="dxa"/>
              <w:tblLayout w:type="autofit"/>
              <w:tblCellMar>
                <w:top w:w="0" w:type="dxa"/>
                <w:left w:w="108" w:type="dxa"/>
                <w:bottom w:w="0" w:type="dxa"/>
                <w:right w:w="108" w:type="dxa"/>
              </w:tblCellMar>
            </w:tblPr>
            <w:tblGrid>
              <w:gridCol w:w="690"/>
              <w:gridCol w:w="1287"/>
              <w:gridCol w:w="1038"/>
              <w:gridCol w:w="1814"/>
              <w:gridCol w:w="1661"/>
              <w:gridCol w:w="1413"/>
              <w:gridCol w:w="1197"/>
            </w:tblGrid>
            <w:tr w14:paraId="6EED98F5">
              <w:tblPrEx>
                <w:tblCellMar>
                  <w:top w:w="0" w:type="dxa"/>
                  <w:left w:w="108" w:type="dxa"/>
                  <w:bottom w:w="0" w:type="dxa"/>
                  <w:right w:w="108" w:type="dxa"/>
                </w:tblCellMar>
              </w:tblPrEx>
              <w:trPr>
                <w:trHeight w:val="315" w:hRule="atLeast"/>
              </w:trPr>
              <w:tc>
                <w:tcPr>
                  <w:tcW w:w="37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2BBC72C">
                  <w:pPr>
                    <w:widowControl/>
                    <w:jc w:val="center"/>
                    <w:textAlignment w:val="center"/>
                    <w:rPr>
                      <w:color w:val="auto"/>
                      <w:szCs w:val="21"/>
                    </w:rPr>
                  </w:pPr>
                  <w:r>
                    <w:rPr>
                      <w:color w:val="auto"/>
                      <w:kern w:val="0"/>
                      <w:szCs w:val="21"/>
                      <w:lang w:bidi="ar"/>
                    </w:rPr>
                    <w:t>编号</w:t>
                  </w:r>
                </w:p>
              </w:tc>
              <w:tc>
                <w:tcPr>
                  <w:tcW w:w="70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49F14EE">
                  <w:pPr>
                    <w:widowControl/>
                    <w:jc w:val="center"/>
                    <w:textAlignment w:val="center"/>
                    <w:rPr>
                      <w:color w:val="auto"/>
                      <w:szCs w:val="21"/>
                    </w:rPr>
                  </w:pPr>
                  <w:r>
                    <w:rPr>
                      <w:color w:val="auto"/>
                      <w:kern w:val="0"/>
                      <w:szCs w:val="21"/>
                      <w:lang w:bidi="ar"/>
                    </w:rPr>
                    <w:t>树种或草种</w:t>
                  </w:r>
                </w:p>
              </w:tc>
              <w:tc>
                <w:tcPr>
                  <w:tcW w:w="57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0FB10E7">
                  <w:pPr>
                    <w:widowControl/>
                    <w:jc w:val="center"/>
                    <w:textAlignment w:val="center"/>
                    <w:rPr>
                      <w:color w:val="auto"/>
                      <w:szCs w:val="21"/>
                    </w:rPr>
                  </w:pPr>
                  <w:r>
                    <w:rPr>
                      <w:color w:val="auto"/>
                      <w:kern w:val="0"/>
                      <w:szCs w:val="21"/>
                      <w:lang w:bidi="ar"/>
                    </w:rPr>
                    <w:t>株行距（m</w:t>
                  </w:r>
                  <w:r>
                    <w:rPr>
                      <w:rFonts w:hint="eastAsia" w:ascii="宋体" w:hAnsi="宋体" w:cs="宋体"/>
                      <w:color w:val="auto"/>
                      <w:kern w:val="0"/>
                      <w:szCs w:val="21"/>
                      <w:lang w:bidi="ar"/>
                    </w:rPr>
                    <w:t>）</w:t>
                  </w:r>
                </w:p>
              </w:tc>
              <w:tc>
                <w:tcPr>
                  <w:tcW w:w="99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C0A6D1E">
                  <w:pPr>
                    <w:widowControl/>
                    <w:jc w:val="center"/>
                    <w:textAlignment w:val="center"/>
                    <w:rPr>
                      <w:color w:val="auto"/>
                      <w:szCs w:val="21"/>
                    </w:rPr>
                  </w:pPr>
                  <w:r>
                    <w:rPr>
                      <w:color w:val="auto"/>
                      <w:kern w:val="0"/>
                      <w:szCs w:val="21"/>
                      <w:lang w:bidi="ar"/>
                    </w:rPr>
                    <w:t>植树密度/</w:t>
                  </w:r>
                  <w:r>
                    <w:rPr>
                      <w:rFonts w:hint="eastAsia" w:ascii="宋体" w:hAnsi="宋体" w:cs="宋体"/>
                      <w:color w:val="auto"/>
                      <w:kern w:val="0"/>
                      <w:szCs w:val="21"/>
                      <w:lang w:bidi="ar"/>
                    </w:rPr>
                    <w:t>播种量</w:t>
                  </w:r>
                </w:p>
              </w:tc>
              <w:tc>
                <w:tcPr>
                  <w:tcW w:w="91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FCBC8A4">
                  <w:pPr>
                    <w:widowControl/>
                    <w:jc w:val="center"/>
                    <w:textAlignment w:val="center"/>
                    <w:rPr>
                      <w:color w:val="auto"/>
                      <w:szCs w:val="21"/>
                    </w:rPr>
                  </w:pPr>
                  <w:r>
                    <w:rPr>
                      <w:color w:val="auto"/>
                      <w:kern w:val="0"/>
                      <w:szCs w:val="21"/>
                      <w:lang w:bidi="ar"/>
                    </w:rPr>
                    <w:t>种植面积（hm</w:t>
                  </w:r>
                  <w:r>
                    <w:rPr>
                      <w:color w:val="auto"/>
                      <w:kern w:val="0"/>
                      <w:szCs w:val="21"/>
                      <w:vertAlign w:val="superscript"/>
                      <w:lang w:bidi="ar"/>
                    </w:rPr>
                    <w:t>2</w:t>
                  </w:r>
                  <w:r>
                    <w:rPr>
                      <w:rFonts w:hint="eastAsia" w:ascii="宋体" w:hAnsi="宋体" w:cs="宋体"/>
                      <w:color w:val="auto"/>
                      <w:kern w:val="0"/>
                      <w:szCs w:val="21"/>
                      <w:lang w:bidi="ar"/>
                    </w:rPr>
                    <w:t>）</w:t>
                  </w:r>
                </w:p>
              </w:tc>
              <w:tc>
                <w:tcPr>
                  <w:tcW w:w="7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6778AA">
                  <w:pPr>
                    <w:widowControl/>
                    <w:jc w:val="center"/>
                    <w:textAlignment w:val="center"/>
                    <w:rPr>
                      <w:color w:val="auto"/>
                      <w:szCs w:val="21"/>
                    </w:rPr>
                  </w:pPr>
                  <w:r>
                    <w:rPr>
                      <w:color w:val="auto"/>
                      <w:kern w:val="0"/>
                      <w:szCs w:val="21"/>
                      <w:lang w:bidi="ar"/>
                    </w:rPr>
                    <w:t>种植</w:t>
                  </w:r>
                </w:p>
              </w:tc>
              <w:tc>
                <w:tcPr>
                  <w:tcW w:w="65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8590B5F">
                  <w:pPr>
                    <w:widowControl/>
                    <w:jc w:val="center"/>
                    <w:textAlignment w:val="center"/>
                    <w:rPr>
                      <w:color w:val="auto"/>
                      <w:szCs w:val="21"/>
                    </w:rPr>
                  </w:pPr>
                  <w:r>
                    <w:rPr>
                      <w:color w:val="auto"/>
                      <w:kern w:val="0"/>
                      <w:szCs w:val="21"/>
                      <w:lang w:bidi="ar"/>
                    </w:rPr>
                    <w:t>播种方式</w:t>
                  </w:r>
                </w:p>
              </w:tc>
            </w:tr>
            <w:tr w14:paraId="06E62ADE">
              <w:tblPrEx>
                <w:tblCellMar>
                  <w:top w:w="0" w:type="dxa"/>
                  <w:left w:w="108" w:type="dxa"/>
                  <w:bottom w:w="0" w:type="dxa"/>
                  <w:right w:w="108" w:type="dxa"/>
                </w:tblCellMar>
              </w:tblPrEx>
              <w:trPr>
                <w:trHeight w:val="315" w:hRule="atLeast"/>
              </w:trPr>
              <w:tc>
                <w:tcPr>
                  <w:tcW w:w="37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142B6F">
                  <w:pPr>
                    <w:jc w:val="center"/>
                    <w:rPr>
                      <w:color w:val="auto"/>
                      <w:szCs w:val="21"/>
                    </w:rPr>
                  </w:pPr>
                </w:p>
              </w:tc>
              <w:tc>
                <w:tcPr>
                  <w:tcW w:w="7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5625D7">
                  <w:pPr>
                    <w:jc w:val="center"/>
                    <w:rPr>
                      <w:color w:val="auto"/>
                      <w:szCs w:val="21"/>
                    </w:rPr>
                  </w:pPr>
                </w:p>
              </w:tc>
              <w:tc>
                <w:tcPr>
                  <w:tcW w:w="57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BD7E49">
                  <w:pPr>
                    <w:jc w:val="center"/>
                    <w:rPr>
                      <w:color w:val="auto"/>
                      <w:szCs w:val="21"/>
                    </w:rPr>
                  </w:pPr>
                </w:p>
              </w:tc>
              <w:tc>
                <w:tcPr>
                  <w:tcW w:w="9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153191">
                  <w:pPr>
                    <w:jc w:val="center"/>
                    <w:rPr>
                      <w:color w:val="auto"/>
                      <w:szCs w:val="21"/>
                    </w:rPr>
                  </w:pPr>
                </w:p>
              </w:tc>
              <w:tc>
                <w:tcPr>
                  <w:tcW w:w="91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ABCA73">
                  <w:pPr>
                    <w:jc w:val="center"/>
                    <w:rPr>
                      <w:color w:val="auto"/>
                      <w:szCs w:val="21"/>
                    </w:rPr>
                  </w:pPr>
                </w:p>
              </w:tc>
              <w:tc>
                <w:tcPr>
                  <w:tcW w:w="7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D42FC8">
                  <w:pPr>
                    <w:widowControl/>
                    <w:jc w:val="center"/>
                    <w:textAlignment w:val="center"/>
                    <w:rPr>
                      <w:color w:val="auto"/>
                      <w:szCs w:val="21"/>
                    </w:rPr>
                  </w:pPr>
                  <w:r>
                    <w:rPr>
                      <w:color w:val="auto"/>
                      <w:kern w:val="0"/>
                      <w:szCs w:val="21"/>
                      <w:lang w:bidi="ar"/>
                    </w:rPr>
                    <w:t>数量</w:t>
                  </w:r>
                </w:p>
              </w:tc>
              <w:tc>
                <w:tcPr>
                  <w:tcW w:w="65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137A34">
                  <w:pPr>
                    <w:jc w:val="center"/>
                    <w:rPr>
                      <w:color w:val="auto"/>
                      <w:szCs w:val="21"/>
                    </w:rPr>
                  </w:pPr>
                </w:p>
              </w:tc>
            </w:tr>
            <w:tr w14:paraId="1EAA08BD">
              <w:tblPrEx>
                <w:tblCellMar>
                  <w:top w:w="0" w:type="dxa"/>
                  <w:left w:w="108" w:type="dxa"/>
                  <w:bottom w:w="0" w:type="dxa"/>
                  <w:right w:w="108" w:type="dxa"/>
                </w:tblCellMar>
              </w:tblPrEx>
              <w:trPr>
                <w:trHeight w:val="315" w:hRule="atLeast"/>
              </w:trPr>
              <w:tc>
                <w:tcPr>
                  <w:tcW w:w="3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87AA82">
                  <w:pPr>
                    <w:widowControl/>
                    <w:jc w:val="center"/>
                    <w:textAlignment w:val="center"/>
                    <w:rPr>
                      <w:color w:val="auto"/>
                      <w:szCs w:val="21"/>
                    </w:rPr>
                  </w:pPr>
                  <w:r>
                    <w:rPr>
                      <w:color w:val="auto"/>
                      <w:kern w:val="0"/>
                      <w:szCs w:val="21"/>
                      <w:lang w:bidi="ar"/>
                    </w:rPr>
                    <w:t>1</w:t>
                  </w:r>
                </w:p>
              </w:tc>
              <w:tc>
                <w:tcPr>
                  <w:tcW w:w="7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D15190">
                  <w:pPr>
                    <w:widowControl/>
                    <w:jc w:val="center"/>
                    <w:textAlignment w:val="center"/>
                    <w:rPr>
                      <w:rFonts w:ascii="宋体" w:hAnsi="宋体" w:cs="宋体"/>
                      <w:color w:val="auto"/>
                      <w:szCs w:val="21"/>
                    </w:rPr>
                  </w:pPr>
                  <w:r>
                    <w:rPr>
                      <w:rFonts w:hint="eastAsia" w:ascii="宋体" w:hAnsi="宋体" w:cs="宋体"/>
                      <w:color w:val="auto"/>
                      <w:szCs w:val="21"/>
                    </w:rPr>
                    <w:t>紫穗槐</w:t>
                  </w:r>
                </w:p>
              </w:tc>
              <w:tc>
                <w:tcPr>
                  <w:tcW w:w="5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3898E0">
                  <w:pPr>
                    <w:widowControl/>
                    <w:jc w:val="center"/>
                    <w:textAlignment w:val="center"/>
                    <w:rPr>
                      <w:color w:val="auto"/>
                      <w:szCs w:val="21"/>
                    </w:rPr>
                  </w:pPr>
                  <w:r>
                    <w:rPr>
                      <w:color w:val="auto"/>
                      <w:kern w:val="0"/>
                      <w:szCs w:val="21"/>
                      <w:lang w:bidi="ar"/>
                    </w:rPr>
                    <w:t>1×1</w:t>
                  </w:r>
                </w:p>
              </w:tc>
              <w:tc>
                <w:tcPr>
                  <w:tcW w:w="9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885281">
                  <w:pPr>
                    <w:widowControl/>
                    <w:jc w:val="center"/>
                    <w:textAlignment w:val="center"/>
                    <w:rPr>
                      <w:color w:val="auto"/>
                      <w:szCs w:val="21"/>
                    </w:rPr>
                  </w:pPr>
                  <w:r>
                    <w:rPr>
                      <w:color w:val="auto"/>
                      <w:kern w:val="0"/>
                      <w:szCs w:val="21"/>
                      <w:lang w:bidi="ar"/>
                    </w:rPr>
                    <w:t>10000</w:t>
                  </w:r>
                  <w:r>
                    <w:rPr>
                      <w:rFonts w:hint="eastAsia" w:ascii="宋体" w:hAnsi="宋体" w:cs="宋体"/>
                      <w:color w:val="auto"/>
                      <w:kern w:val="0"/>
                      <w:szCs w:val="21"/>
                      <w:lang w:bidi="ar"/>
                    </w:rPr>
                    <w:t>株</w:t>
                  </w:r>
                  <w:r>
                    <w:rPr>
                      <w:color w:val="auto"/>
                      <w:kern w:val="0"/>
                      <w:szCs w:val="21"/>
                      <w:lang w:bidi="ar"/>
                    </w:rPr>
                    <w:t>/hm</w:t>
                  </w:r>
                  <w:r>
                    <w:rPr>
                      <w:color w:val="auto"/>
                      <w:kern w:val="0"/>
                      <w:szCs w:val="21"/>
                      <w:vertAlign w:val="superscript"/>
                      <w:lang w:bidi="ar"/>
                    </w:rPr>
                    <w:t>2</w:t>
                  </w:r>
                </w:p>
              </w:tc>
              <w:tc>
                <w:tcPr>
                  <w:tcW w:w="9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DDC235">
                  <w:pPr>
                    <w:widowControl/>
                    <w:jc w:val="center"/>
                    <w:textAlignment w:val="center"/>
                    <w:rPr>
                      <w:color w:val="auto"/>
                      <w:sz w:val="21"/>
                      <w:szCs w:val="21"/>
                    </w:rPr>
                  </w:pPr>
                  <w:r>
                    <w:rPr>
                      <w:rFonts w:hint="eastAsia" w:ascii="Times New Roman" w:hAnsi="Times New Roman" w:eastAsia="宋体" w:cs="Times New Roman"/>
                      <w:color w:val="auto"/>
                      <w:kern w:val="0"/>
                      <w:sz w:val="21"/>
                      <w:szCs w:val="21"/>
                      <w:lang w:val="en-US" w:eastAsia="zh-CN" w:bidi="ar"/>
                    </w:rPr>
                    <w:t>1.1376</w:t>
                  </w:r>
                </w:p>
              </w:tc>
              <w:tc>
                <w:tcPr>
                  <w:tcW w:w="7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688FF9">
                  <w:pPr>
                    <w:widowControl/>
                    <w:jc w:val="center"/>
                    <w:textAlignment w:val="center"/>
                    <w:rPr>
                      <w:rFonts w:hint="default" w:eastAsia="宋体"/>
                      <w:color w:val="auto"/>
                      <w:szCs w:val="21"/>
                      <w:lang w:val="en-US" w:eastAsia="zh-CN"/>
                    </w:rPr>
                  </w:pPr>
                  <w:r>
                    <w:rPr>
                      <w:rFonts w:hint="eastAsia"/>
                      <w:color w:val="auto"/>
                      <w:kern w:val="0"/>
                      <w:szCs w:val="21"/>
                      <w:lang w:val="en-US" w:eastAsia="zh-CN" w:bidi="ar"/>
                    </w:rPr>
                    <w:t>11376</w:t>
                  </w:r>
                </w:p>
              </w:tc>
              <w:tc>
                <w:tcPr>
                  <w:tcW w:w="6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E35E3D">
                  <w:pPr>
                    <w:keepNext w:val="0"/>
                    <w:keepLines w:val="0"/>
                    <w:pageBreakBefore w:val="0"/>
                    <w:widowControl/>
                    <w:kinsoku/>
                    <w:wordWrap/>
                    <w:overflowPunct/>
                    <w:topLinePunct w:val="0"/>
                    <w:autoSpaceDE/>
                    <w:autoSpaceDN/>
                    <w:bidi w:val="0"/>
                    <w:adjustRightInd/>
                    <w:snapToGrid/>
                    <w:ind w:left="-105" w:leftChars="-50" w:right="-105" w:rightChars="-50"/>
                    <w:jc w:val="center"/>
                    <w:textAlignment w:val="center"/>
                    <w:rPr>
                      <w:color w:val="auto"/>
                      <w:szCs w:val="21"/>
                    </w:rPr>
                  </w:pPr>
                  <w:r>
                    <w:rPr>
                      <w:rFonts w:hint="eastAsia"/>
                      <w:color w:val="auto"/>
                      <w:kern w:val="0"/>
                      <w:szCs w:val="21"/>
                      <w:lang w:bidi="ar"/>
                    </w:rPr>
                    <w:t>带土球移植</w:t>
                  </w:r>
                </w:p>
              </w:tc>
            </w:tr>
            <w:tr w14:paraId="52921778">
              <w:tblPrEx>
                <w:tblCellMar>
                  <w:top w:w="0" w:type="dxa"/>
                  <w:left w:w="108" w:type="dxa"/>
                  <w:bottom w:w="0" w:type="dxa"/>
                  <w:right w:w="108" w:type="dxa"/>
                </w:tblCellMar>
              </w:tblPrEx>
              <w:trPr>
                <w:trHeight w:val="315" w:hRule="atLeast"/>
              </w:trPr>
              <w:tc>
                <w:tcPr>
                  <w:tcW w:w="3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0DC27F">
                  <w:pPr>
                    <w:widowControl/>
                    <w:jc w:val="center"/>
                    <w:textAlignment w:val="center"/>
                    <w:rPr>
                      <w:color w:val="auto"/>
                      <w:szCs w:val="21"/>
                    </w:rPr>
                  </w:pPr>
                  <w:r>
                    <w:rPr>
                      <w:color w:val="auto"/>
                      <w:kern w:val="0"/>
                      <w:szCs w:val="21"/>
                      <w:lang w:bidi="ar"/>
                    </w:rPr>
                    <w:t>2</w:t>
                  </w:r>
                </w:p>
              </w:tc>
              <w:tc>
                <w:tcPr>
                  <w:tcW w:w="7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68AC3C">
                  <w:pPr>
                    <w:widowControl/>
                    <w:jc w:val="center"/>
                    <w:textAlignment w:val="center"/>
                    <w:rPr>
                      <w:color w:val="auto"/>
                      <w:szCs w:val="21"/>
                    </w:rPr>
                  </w:pPr>
                  <w:r>
                    <w:rPr>
                      <w:color w:val="auto"/>
                      <w:kern w:val="0"/>
                      <w:szCs w:val="21"/>
                      <w:lang w:bidi="ar"/>
                    </w:rPr>
                    <w:t>紫花苜蓿</w:t>
                  </w:r>
                </w:p>
              </w:tc>
              <w:tc>
                <w:tcPr>
                  <w:tcW w:w="5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BB7E77">
                  <w:pPr>
                    <w:widowControl/>
                    <w:jc w:val="center"/>
                    <w:textAlignment w:val="center"/>
                    <w:rPr>
                      <w:color w:val="auto"/>
                      <w:szCs w:val="21"/>
                    </w:rPr>
                  </w:pPr>
                  <w:r>
                    <w:rPr>
                      <w:color w:val="auto"/>
                      <w:kern w:val="0"/>
                      <w:szCs w:val="21"/>
                      <w:lang w:bidi="ar"/>
                    </w:rPr>
                    <w:t>——</w:t>
                  </w:r>
                </w:p>
              </w:tc>
              <w:tc>
                <w:tcPr>
                  <w:tcW w:w="9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AB964A">
                  <w:pPr>
                    <w:widowControl/>
                    <w:jc w:val="center"/>
                    <w:textAlignment w:val="center"/>
                    <w:rPr>
                      <w:color w:val="auto"/>
                      <w:szCs w:val="21"/>
                    </w:rPr>
                  </w:pPr>
                  <w:r>
                    <w:rPr>
                      <w:color w:val="auto"/>
                      <w:kern w:val="0"/>
                      <w:szCs w:val="21"/>
                      <w:lang w:bidi="ar"/>
                    </w:rPr>
                    <w:t>30kg/hm</w:t>
                  </w:r>
                  <w:r>
                    <w:rPr>
                      <w:color w:val="auto"/>
                      <w:kern w:val="0"/>
                      <w:szCs w:val="21"/>
                      <w:vertAlign w:val="superscript"/>
                      <w:lang w:bidi="ar"/>
                    </w:rPr>
                    <w:t>2</w:t>
                  </w:r>
                </w:p>
              </w:tc>
              <w:tc>
                <w:tcPr>
                  <w:tcW w:w="9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167970">
                  <w:pPr>
                    <w:widowControl/>
                    <w:jc w:val="center"/>
                    <w:textAlignment w:val="center"/>
                    <w:rPr>
                      <w:color w:val="auto"/>
                      <w:sz w:val="21"/>
                      <w:szCs w:val="21"/>
                    </w:rPr>
                  </w:pPr>
                  <w:r>
                    <w:rPr>
                      <w:rFonts w:hint="eastAsia" w:ascii="Times New Roman" w:hAnsi="Times New Roman" w:eastAsia="宋体" w:cs="Times New Roman"/>
                      <w:color w:val="auto"/>
                      <w:kern w:val="0"/>
                      <w:sz w:val="21"/>
                      <w:szCs w:val="21"/>
                      <w:lang w:val="en-US" w:eastAsia="zh-CN" w:bidi="ar"/>
                    </w:rPr>
                    <w:t>1.1376</w:t>
                  </w:r>
                </w:p>
              </w:tc>
              <w:tc>
                <w:tcPr>
                  <w:tcW w:w="7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7DDB49">
                  <w:pPr>
                    <w:widowControl/>
                    <w:jc w:val="center"/>
                    <w:textAlignment w:val="center"/>
                    <w:rPr>
                      <w:rFonts w:hint="default" w:eastAsia="宋体"/>
                      <w:color w:val="auto"/>
                      <w:szCs w:val="21"/>
                      <w:lang w:val="en-US" w:eastAsia="zh-CN"/>
                    </w:rPr>
                  </w:pPr>
                  <w:r>
                    <w:rPr>
                      <w:rFonts w:hint="eastAsia"/>
                      <w:color w:val="auto"/>
                      <w:kern w:val="0"/>
                      <w:szCs w:val="21"/>
                      <w:lang w:val="en-US" w:eastAsia="zh-CN" w:bidi="ar"/>
                    </w:rPr>
                    <w:t>34.13</w:t>
                  </w:r>
                </w:p>
              </w:tc>
              <w:tc>
                <w:tcPr>
                  <w:tcW w:w="6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1EC049">
                  <w:pPr>
                    <w:widowControl/>
                    <w:jc w:val="center"/>
                    <w:textAlignment w:val="center"/>
                    <w:rPr>
                      <w:color w:val="auto"/>
                      <w:szCs w:val="21"/>
                    </w:rPr>
                  </w:pPr>
                  <w:r>
                    <w:rPr>
                      <w:color w:val="auto"/>
                      <w:kern w:val="0"/>
                      <w:szCs w:val="21"/>
                      <w:lang w:bidi="ar"/>
                    </w:rPr>
                    <w:t>撒播</w:t>
                  </w:r>
                </w:p>
              </w:tc>
            </w:tr>
          </w:tbl>
          <w:p w14:paraId="217C1830">
            <w:pPr>
              <w:keepNext w:val="0"/>
              <w:keepLines w:val="0"/>
              <w:pageBreakBefore w:val="0"/>
              <w:kinsoku/>
              <w:wordWrap/>
              <w:overflowPunct/>
              <w:topLinePunct w:val="0"/>
              <w:autoSpaceDE/>
              <w:autoSpaceDN/>
              <w:bidi w:val="0"/>
              <w:adjustRightInd w:val="0"/>
              <w:snapToGrid w:val="0"/>
              <w:spacing w:line="480" w:lineRule="exact"/>
              <w:ind w:firstLine="480" w:firstLineChars="200"/>
              <w:textAlignment w:val="auto"/>
              <w:rPr>
                <w:rFonts w:hint="default"/>
                <w:color w:val="auto"/>
                <w:sz w:val="24"/>
                <w:lang w:val="en-US" w:eastAsia="zh-CN"/>
              </w:rPr>
            </w:pPr>
            <w:r>
              <w:rPr>
                <w:rFonts w:hint="eastAsia"/>
                <w:color w:val="auto"/>
                <w:sz w:val="24"/>
                <w:lang w:val="en-US" w:eastAsia="zh-CN"/>
              </w:rPr>
              <w:t>③办公生活区</w:t>
            </w:r>
          </w:p>
          <w:p w14:paraId="605D5B39">
            <w:pPr>
              <w:pStyle w:val="2"/>
              <w:keepNext w:val="0"/>
              <w:keepLines w:val="0"/>
              <w:pageBreakBefore w:val="0"/>
              <w:kinsoku/>
              <w:wordWrap/>
              <w:overflowPunct/>
              <w:topLinePunct w:val="0"/>
              <w:autoSpaceDE/>
              <w:autoSpaceDN/>
              <w:bidi w:val="0"/>
              <w:spacing w:after="0" w:line="480" w:lineRule="exact"/>
              <w:ind w:left="0" w:leftChars="0" w:firstLine="480" w:firstLineChars="200"/>
              <w:textAlignment w:val="auto"/>
              <w:rPr>
                <w:rFonts w:hint="default" w:eastAsia="宋体"/>
                <w:color w:val="auto"/>
                <w:sz w:val="24"/>
                <w:lang w:val="en-US" w:eastAsia="zh-CN"/>
              </w:rPr>
            </w:pPr>
            <w:r>
              <w:rPr>
                <w:rFonts w:hint="eastAsia"/>
                <w:color w:val="auto"/>
                <w:kern w:val="0"/>
                <w:sz w:val="24"/>
                <w:lang w:val="en-US" w:eastAsia="zh-CN" w:bidi="ar"/>
              </w:rPr>
              <w:t>新增绿化面积360m</w:t>
            </w:r>
            <w:r>
              <w:rPr>
                <w:rFonts w:hint="eastAsia"/>
                <w:color w:val="auto"/>
                <w:kern w:val="0"/>
                <w:sz w:val="24"/>
                <w:vertAlign w:val="superscript"/>
                <w:lang w:val="en-US" w:eastAsia="zh-CN" w:bidi="ar"/>
              </w:rPr>
              <w:t>2</w:t>
            </w:r>
            <w:r>
              <w:rPr>
                <w:rFonts w:hint="eastAsia"/>
                <w:color w:val="auto"/>
                <w:kern w:val="0"/>
                <w:sz w:val="24"/>
                <w:lang w:val="en-US" w:eastAsia="zh-CN" w:bidi="ar"/>
              </w:rPr>
              <w:t>，共计需种植垂柳180株、丁香60株、连翘60株、榆叶梅60株、播撒黑麦草180m</w:t>
            </w:r>
            <w:r>
              <w:rPr>
                <w:rFonts w:hint="eastAsia"/>
                <w:color w:val="auto"/>
                <w:kern w:val="0"/>
                <w:sz w:val="24"/>
                <w:vertAlign w:val="superscript"/>
                <w:lang w:val="en-US" w:eastAsia="zh-CN" w:bidi="ar"/>
              </w:rPr>
              <w:t>2</w:t>
            </w:r>
            <w:r>
              <w:rPr>
                <w:rFonts w:hint="eastAsia"/>
                <w:color w:val="auto"/>
                <w:kern w:val="0"/>
                <w:sz w:val="24"/>
                <w:lang w:val="en-US" w:eastAsia="zh-CN" w:bidi="ar"/>
              </w:rPr>
              <w:t>、白三叶120m</w:t>
            </w:r>
            <w:r>
              <w:rPr>
                <w:rFonts w:hint="eastAsia"/>
                <w:color w:val="auto"/>
                <w:kern w:val="0"/>
                <w:sz w:val="24"/>
                <w:vertAlign w:val="superscript"/>
                <w:lang w:val="en-US" w:eastAsia="zh-CN" w:bidi="ar"/>
              </w:rPr>
              <w:t>2</w:t>
            </w:r>
            <w:r>
              <w:rPr>
                <w:rFonts w:hint="eastAsia"/>
                <w:color w:val="auto"/>
                <w:kern w:val="0"/>
                <w:sz w:val="24"/>
                <w:lang w:val="en-US" w:eastAsia="zh-CN" w:bidi="ar"/>
              </w:rPr>
              <w:t>、八宝景天60m</w:t>
            </w:r>
            <w:r>
              <w:rPr>
                <w:rFonts w:hint="eastAsia"/>
                <w:color w:val="auto"/>
                <w:kern w:val="0"/>
                <w:sz w:val="24"/>
                <w:vertAlign w:val="superscript"/>
                <w:lang w:val="en-US" w:eastAsia="zh-CN" w:bidi="ar"/>
              </w:rPr>
              <w:t>2</w:t>
            </w:r>
            <w:r>
              <w:rPr>
                <w:rFonts w:hint="eastAsia"/>
                <w:color w:val="auto"/>
                <w:kern w:val="0"/>
                <w:sz w:val="24"/>
                <w:lang w:val="en-US" w:eastAsia="zh-CN" w:bidi="ar"/>
              </w:rPr>
              <w:t>。</w:t>
            </w:r>
          </w:p>
          <w:p w14:paraId="4400AA91">
            <w:pPr>
              <w:keepNext w:val="0"/>
              <w:keepLines w:val="0"/>
              <w:pageBreakBefore w:val="0"/>
              <w:kinsoku/>
              <w:wordWrap/>
              <w:overflowPunct/>
              <w:topLinePunct w:val="0"/>
              <w:autoSpaceDE/>
              <w:autoSpaceDN/>
              <w:bidi w:val="0"/>
              <w:adjustRightInd w:val="0"/>
              <w:snapToGrid w:val="0"/>
              <w:spacing w:line="480" w:lineRule="exact"/>
              <w:ind w:firstLine="480" w:firstLineChars="200"/>
              <w:textAlignment w:val="auto"/>
              <w:rPr>
                <w:color w:val="auto"/>
                <w:sz w:val="24"/>
              </w:rPr>
            </w:pPr>
            <w:r>
              <w:rPr>
                <w:rFonts w:hint="eastAsia"/>
                <w:color w:val="auto"/>
                <w:sz w:val="24"/>
                <w:lang w:val="en-US" w:eastAsia="zh-CN"/>
              </w:rPr>
              <w:t>④</w:t>
            </w:r>
            <w:r>
              <w:rPr>
                <w:rFonts w:hint="eastAsia"/>
                <w:color w:val="auto"/>
                <w:sz w:val="24"/>
              </w:rPr>
              <w:t>运矿道路</w:t>
            </w:r>
          </w:p>
          <w:p w14:paraId="51FCC46D">
            <w:pPr>
              <w:keepNext w:val="0"/>
              <w:keepLines w:val="0"/>
              <w:pageBreakBefore w:val="0"/>
              <w:kinsoku/>
              <w:wordWrap/>
              <w:overflowPunct/>
              <w:topLinePunct w:val="0"/>
              <w:autoSpaceDE/>
              <w:autoSpaceDN/>
              <w:bidi w:val="0"/>
              <w:adjustRightInd w:val="0"/>
              <w:snapToGrid w:val="0"/>
              <w:spacing w:line="480" w:lineRule="exact"/>
              <w:ind w:firstLine="480" w:firstLineChars="200"/>
              <w:textAlignment w:val="auto"/>
              <w:rPr>
                <w:color w:val="auto"/>
                <w:sz w:val="24"/>
              </w:rPr>
            </w:pPr>
            <w:r>
              <w:rPr>
                <w:rFonts w:hint="eastAsia"/>
                <w:color w:val="auto"/>
                <w:sz w:val="24"/>
              </w:rPr>
              <w:t>运矿道路</w:t>
            </w:r>
            <w:r>
              <w:rPr>
                <w:rFonts w:hint="eastAsia"/>
                <w:color w:val="auto"/>
                <w:sz w:val="24"/>
                <w:lang w:val="en-US" w:eastAsia="zh-CN"/>
              </w:rPr>
              <w:t>路面需混凝土硬化，</w:t>
            </w:r>
            <w:r>
              <w:rPr>
                <w:rFonts w:hint="eastAsia"/>
                <w:color w:val="auto"/>
                <w:sz w:val="24"/>
              </w:rPr>
              <w:t>道路两侧需进行绿化。</w:t>
            </w:r>
          </w:p>
          <w:p w14:paraId="75F5062F">
            <w:pPr>
              <w:keepNext w:val="0"/>
              <w:keepLines w:val="0"/>
              <w:pageBreakBefore w:val="0"/>
              <w:kinsoku/>
              <w:wordWrap/>
              <w:overflowPunct/>
              <w:topLinePunct w:val="0"/>
              <w:autoSpaceDE/>
              <w:autoSpaceDN/>
              <w:bidi w:val="0"/>
              <w:adjustRightInd w:val="0"/>
              <w:snapToGrid w:val="0"/>
              <w:spacing w:line="480" w:lineRule="exact"/>
              <w:ind w:firstLine="480" w:firstLineChars="200"/>
              <w:textAlignment w:val="auto"/>
              <w:rPr>
                <w:color w:val="auto"/>
                <w:sz w:val="24"/>
              </w:rPr>
            </w:pPr>
            <w:r>
              <w:rPr>
                <w:rFonts w:hint="eastAsia"/>
                <w:color w:val="auto"/>
                <w:sz w:val="24"/>
              </w:rPr>
              <w:t>（2）原盂县西潘乡鑫盛石矿</w:t>
            </w:r>
          </w:p>
          <w:p w14:paraId="0DB3E969">
            <w:pPr>
              <w:pStyle w:val="13"/>
              <w:keepNext w:val="0"/>
              <w:keepLines w:val="0"/>
              <w:pageBreakBefore w:val="0"/>
              <w:widowControl w:val="0"/>
              <w:kinsoku/>
              <w:wordWrap/>
              <w:overflowPunct/>
              <w:topLinePunct w:val="0"/>
              <w:autoSpaceDE/>
              <w:autoSpaceDN/>
              <w:bidi w:val="0"/>
              <w:spacing w:line="470" w:lineRule="exact"/>
              <w:ind w:left="0" w:right="0" w:rightChars="0" w:firstLine="480" w:firstLineChars="200"/>
              <w:textAlignment w:val="auto"/>
              <w:rPr>
                <w:bCs w:val="0"/>
                <w:color w:val="auto"/>
              </w:rPr>
            </w:pPr>
            <w:r>
              <w:rPr>
                <w:rFonts w:hint="eastAsia"/>
                <w:bCs w:val="0"/>
                <w:color w:val="auto"/>
              </w:rPr>
              <w:t>原盂县西潘乡鑫盛石矿矿山现状实际损毁区域包括露天采场的开挖，损毁的总面积</w:t>
            </w:r>
            <w:r>
              <w:rPr>
                <w:bCs w:val="0"/>
                <w:color w:val="auto"/>
              </w:rPr>
              <w:t>16.</w:t>
            </w:r>
            <w:r>
              <w:rPr>
                <w:rFonts w:hint="eastAsia"/>
                <w:bCs w:val="0"/>
                <w:color w:val="auto"/>
                <w:lang w:val="en-US" w:eastAsia="zh-CN"/>
              </w:rPr>
              <w:t>3679</w:t>
            </w:r>
            <w:r>
              <w:rPr>
                <w:rFonts w:hint="eastAsia"/>
                <w:bCs w:val="0"/>
                <w:color w:val="auto"/>
              </w:rPr>
              <w:t>hm</w:t>
            </w:r>
            <w:r>
              <w:rPr>
                <w:rFonts w:hint="eastAsia"/>
                <w:bCs w:val="0"/>
                <w:color w:val="auto"/>
                <w:vertAlign w:val="superscript"/>
              </w:rPr>
              <w:t>2</w:t>
            </w:r>
            <w:r>
              <w:rPr>
                <w:rFonts w:hint="eastAsia"/>
                <w:bCs w:val="0"/>
                <w:color w:val="auto"/>
              </w:rPr>
              <w:t>。其中</w:t>
            </w:r>
            <w:r>
              <w:rPr>
                <w:rFonts w:hint="eastAsia"/>
                <w:bCs w:val="0"/>
                <w:color w:val="auto"/>
                <w:lang w:val="en-US" w:eastAsia="zh-CN"/>
              </w:rPr>
              <w:t>7.0659</w:t>
            </w:r>
            <w:r>
              <w:rPr>
                <w:rFonts w:hint="eastAsia"/>
                <w:bCs w:val="0"/>
                <w:color w:val="auto"/>
              </w:rPr>
              <w:t>hm</w:t>
            </w:r>
            <w:r>
              <w:rPr>
                <w:bCs w:val="0"/>
                <w:color w:val="auto"/>
                <w:vertAlign w:val="superscript"/>
              </w:rPr>
              <w:t>2</w:t>
            </w:r>
            <w:r>
              <w:rPr>
                <w:rFonts w:hint="eastAsia"/>
                <w:bCs w:val="0"/>
                <w:color w:val="auto"/>
              </w:rPr>
              <w:t>位于本项目矿区内，9</w:t>
            </w:r>
            <w:r>
              <w:rPr>
                <w:bCs w:val="0"/>
                <w:color w:val="auto"/>
              </w:rPr>
              <w:t>.</w:t>
            </w:r>
            <w:r>
              <w:rPr>
                <w:rFonts w:hint="eastAsia"/>
                <w:bCs w:val="0"/>
                <w:color w:val="auto"/>
                <w:lang w:val="en-US" w:eastAsia="zh-CN"/>
              </w:rPr>
              <w:t>3020</w:t>
            </w:r>
            <w:r>
              <w:rPr>
                <w:rFonts w:hint="eastAsia"/>
                <w:bCs w:val="0"/>
                <w:color w:val="auto"/>
              </w:rPr>
              <w:t>hm</w:t>
            </w:r>
            <w:r>
              <w:rPr>
                <w:bCs w:val="0"/>
                <w:color w:val="auto"/>
                <w:vertAlign w:val="superscript"/>
              </w:rPr>
              <w:t>2</w:t>
            </w:r>
            <w:r>
              <w:rPr>
                <w:rFonts w:hint="eastAsia"/>
                <w:bCs w:val="0"/>
                <w:color w:val="auto"/>
              </w:rPr>
              <w:t>位于本项目矿区外。占地</w:t>
            </w:r>
            <w:r>
              <w:rPr>
                <w:rFonts w:hint="eastAsia"/>
                <w:bCs w:val="0"/>
                <w:color w:val="auto"/>
                <w:lang w:val="en-US" w:eastAsia="zh-CN"/>
              </w:rPr>
              <w:t>7.0659</w:t>
            </w:r>
            <w:r>
              <w:rPr>
                <w:bCs w:val="0"/>
                <w:color w:val="auto"/>
              </w:rPr>
              <w:t>hm</w:t>
            </w:r>
            <w:r>
              <w:rPr>
                <w:bCs w:val="0"/>
                <w:color w:val="auto"/>
                <w:vertAlign w:val="superscript"/>
              </w:rPr>
              <w:t>2</w:t>
            </w:r>
            <w:r>
              <w:rPr>
                <w:rFonts w:hint="eastAsia"/>
                <w:bCs w:val="0"/>
                <w:color w:val="auto"/>
              </w:rPr>
              <w:t>的已采区本项目需继续开采，暂不进行生态恢复，按照“边开采、边治理”原则，逐步进行生态恢复。占地</w:t>
            </w:r>
            <w:r>
              <w:rPr>
                <w:rFonts w:hint="eastAsia"/>
                <w:bCs w:val="0"/>
                <w:color w:val="auto"/>
                <w:lang w:val="en-US" w:eastAsia="zh-CN"/>
              </w:rPr>
              <w:t>9.3020</w:t>
            </w:r>
            <w:r>
              <w:rPr>
                <w:bCs w:val="0"/>
                <w:color w:val="auto"/>
              </w:rPr>
              <w:t>hm</w:t>
            </w:r>
            <w:r>
              <w:rPr>
                <w:bCs w:val="0"/>
                <w:color w:val="auto"/>
                <w:vertAlign w:val="superscript"/>
              </w:rPr>
              <w:t>2</w:t>
            </w:r>
            <w:r>
              <w:rPr>
                <w:rFonts w:hint="eastAsia"/>
                <w:bCs w:val="0"/>
                <w:color w:val="auto"/>
              </w:rPr>
              <w:t>的已采区</w:t>
            </w:r>
            <w:r>
              <w:rPr>
                <w:rFonts w:hint="eastAsia"/>
                <w:color w:val="auto"/>
              </w:rPr>
              <w:t>进行生态恢复。</w:t>
            </w:r>
          </w:p>
          <w:p w14:paraId="4BF75164">
            <w:pPr>
              <w:pStyle w:val="13"/>
              <w:keepNext w:val="0"/>
              <w:keepLines w:val="0"/>
              <w:pageBreakBefore w:val="0"/>
              <w:widowControl w:val="0"/>
              <w:kinsoku/>
              <w:wordWrap/>
              <w:overflowPunct/>
              <w:topLinePunct w:val="0"/>
              <w:autoSpaceDE/>
              <w:autoSpaceDN/>
              <w:bidi w:val="0"/>
              <w:spacing w:line="470" w:lineRule="exact"/>
              <w:ind w:left="0" w:right="0" w:rightChars="0" w:firstLine="480" w:firstLineChars="200"/>
              <w:textAlignment w:val="auto"/>
              <w:rPr>
                <w:bCs w:val="0"/>
                <w:color w:val="auto"/>
              </w:rPr>
            </w:pPr>
            <w:r>
              <w:rPr>
                <w:rFonts w:hint="eastAsia"/>
                <w:bCs w:val="0"/>
                <w:color w:val="auto"/>
              </w:rPr>
              <w:t>①危岩体清理</w:t>
            </w:r>
          </w:p>
          <w:p w14:paraId="6816660E">
            <w:pPr>
              <w:keepNext w:val="0"/>
              <w:keepLines w:val="0"/>
              <w:pageBreakBefore w:val="0"/>
              <w:widowControl w:val="0"/>
              <w:kinsoku/>
              <w:wordWrap/>
              <w:overflowPunct/>
              <w:topLinePunct w:val="0"/>
              <w:autoSpaceDE/>
              <w:autoSpaceDN/>
              <w:bidi w:val="0"/>
              <w:adjustRightInd w:val="0"/>
              <w:snapToGrid w:val="0"/>
              <w:spacing w:line="470" w:lineRule="exact"/>
              <w:ind w:firstLine="480" w:firstLineChars="200"/>
              <w:textAlignment w:val="auto"/>
              <w:rPr>
                <w:color w:val="auto"/>
                <w:sz w:val="24"/>
              </w:rPr>
            </w:pPr>
            <w:r>
              <w:rPr>
                <w:rFonts w:hint="eastAsia"/>
                <w:color w:val="auto"/>
                <w:sz w:val="24"/>
              </w:rPr>
              <w:t>对已开采的1080m、1065m、1050m、1035m台阶终了边坡清理危岩体，</w:t>
            </w:r>
            <w:r>
              <w:rPr>
                <w:rFonts w:hint="eastAsia"/>
                <w:color w:val="auto"/>
                <w:sz w:val="24"/>
                <w:lang w:eastAsia="zh-CN"/>
              </w:rPr>
              <w:t>边</w:t>
            </w:r>
            <w:r>
              <w:rPr>
                <w:rFonts w:hint="eastAsia"/>
                <w:color w:val="auto"/>
                <w:sz w:val="24"/>
              </w:rPr>
              <w:t>坡总长度1010m，可能产生的危岩体量505m</w:t>
            </w:r>
            <w:r>
              <w:rPr>
                <w:rFonts w:hint="eastAsia"/>
                <w:color w:val="auto"/>
                <w:sz w:val="24"/>
                <w:vertAlign w:val="superscript"/>
              </w:rPr>
              <w:t>3</w:t>
            </w:r>
            <w:r>
              <w:rPr>
                <w:rFonts w:hint="eastAsia"/>
                <w:color w:val="auto"/>
                <w:sz w:val="24"/>
              </w:rPr>
              <w:t>，露天采场周边设立警示牌，禁止行人进入，对该台阶设置监测点。</w:t>
            </w:r>
          </w:p>
          <w:p w14:paraId="037D2DF6">
            <w:pPr>
              <w:keepNext w:val="0"/>
              <w:keepLines w:val="0"/>
              <w:pageBreakBefore w:val="0"/>
              <w:widowControl w:val="0"/>
              <w:kinsoku/>
              <w:wordWrap/>
              <w:overflowPunct/>
              <w:topLinePunct w:val="0"/>
              <w:autoSpaceDE/>
              <w:autoSpaceDN/>
              <w:bidi w:val="0"/>
              <w:adjustRightInd w:val="0"/>
              <w:snapToGrid w:val="0"/>
              <w:spacing w:line="470" w:lineRule="exact"/>
              <w:ind w:firstLine="480" w:firstLineChars="200"/>
              <w:textAlignment w:val="auto"/>
              <w:rPr>
                <w:color w:val="auto"/>
                <w:sz w:val="24"/>
              </w:rPr>
            </w:pPr>
            <w:r>
              <w:rPr>
                <w:rFonts w:hint="eastAsia" w:ascii="宋体" w:hAnsi="宋体" w:cs="宋体"/>
                <w:color w:val="auto"/>
                <w:sz w:val="24"/>
              </w:rPr>
              <w:t>②办公生活区</w:t>
            </w:r>
          </w:p>
          <w:p w14:paraId="1E6FC4EB">
            <w:pPr>
              <w:keepNext w:val="0"/>
              <w:keepLines w:val="0"/>
              <w:pageBreakBefore w:val="0"/>
              <w:widowControl w:val="0"/>
              <w:kinsoku/>
              <w:wordWrap/>
              <w:overflowPunct/>
              <w:topLinePunct w:val="0"/>
              <w:autoSpaceDE/>
              <w:autoSpaceDN/>
              <w:bidi w:val="0"/>
              <w:adjustRightInd w:val="0"/>
              <w:snapToGrid w:val="0"/>
              <w:spacing w:line="470" w:lineRule="exact"/>
              <w:ind w:firstLine="480" w:firstLineChars="200"/>
              <w:textAlignment w:val="auto"/>
              <w:rPr>
                <w:rFonts w:hint="eastAsia"/>
                <w:color w:val="auto"/>
                <w:sz w:val="24"/>
              </w:rPr>
            </w:pPr>
            <w:r>
              <w:rPr>
                <w:rFonts w:hint="eastAsia"/>
                <w:color w:val="auto"/>
                <w:sz w:val="24"/>
              </w:rPr>
              <w:t>食堂无隔油池，需增设隔油池。</w:t>
            </w:r>
          </w:p>
          <w:p w14:paraId="2292DAA5">
            <w:pPr>
              <w:pStyle w:val="2"/>
              <w:keepNext w:val="0"/>
              <w:keepLines w:val="0"/>
              <w:pageBreakBefore w:val="0"/>
              <w:kinsoku/>
              <w:wordWrap/>
              <w:overflowPunct/>
              <w:topLinePunct w:val="0"/>
              <w:autoSpaceDE/>
              <w:autoSpaceDN/>
              <w:bidi w:val="0"/>
              <w:spacing w:after="0" w:line="480" w:lineRule="exact"/>
              <w:ind w:left="0" w:leftChars="0" w:firstLine="480" w:firstLineChars="200"/>
              <w:textAlignment w:val="auto"/>
              <w:rPr>
                <w:rFonts w:hint="default" w:eastAsia="宋体"/>
                <w:color w:val="auto"/>
                <w:sz w:val="24"/>
                <w:lang w:val="en-US" w:eastAsia="zh-CN"/>
              </w:rPr>
            </w:pPr>
            <w:r>
              <w:rPr>
                <w:rFonts w:hint="eastAsia"/>
                <w:color w:val="auto"/>
                <w:kern w:val="0"/>
                <w:sz w:val="24"/>
                <w:lang w:val="en-US" w:eastAsia="zh-CN" w:bidi="ar"/>
              </w:rPr>
              <w:t>新增绿化面积240m</w:t>
            </w:r>
            <w:r>
              <w:rPr>
                <w:rFonts w:hint="eastAsia"/>
                <w:color w:val="auto"/>
                <w:kern w:val="0"/>
                <w:sz w:val="24"/>
                <w:vertAlign w:val="superscript"/>
                <w:lang w:val="en-US" w:eastAsia="zh-CN" w:bidi="ar"/>
              </w:rPr>
              <w:t>2</w:t>
            </w:r>
            <w:r>
              <w:rPr>
                <w:rFonts w:hint="eastAsia"/>
                <w:color w:val="auto"/>
                <w:kern w:val="0"/>
                <w:sz w:val="24"/>
                <w:lang w:val="en-US" w:eastAsia="zh-CN" w:bidi="ar"/>
              </w:rPr>
              <w:t>，共计需种植垂柳120株、丁香40株、连翘40株、榆叶梅40株、播撒黑麦草12m</w:t>
            </w:r>
            <w:r>
              <w:rPr>
                <w:rFonts w:hint="eastAsia"/>
                <w:color w:val="auto"/>
                <w:kern w:val="0"/>
                <w:sz w:val="24"/>
                <w:vertAlign w:val="superscript"/>
                <w:lang w:val="en-US" w:eastAsia="zh-CN" w:bidi="ar"/>
              </w:rPr>
              <w:t>2</w:t>
            </w:r>
            <w:r>
              <w:rPr>
                <w:rFonts w:hint="eastAsia"/>
                <w:color w:val="auto"/>
                <w:kern w:val="0"/>
                <w:sz w:val="24"/>
                <w:lang w:val="en-US" w:eastAsia="zh-CN" w:bidi="ar"/>
              </w:rPr>
              <w:t>、白三叶80m</w:t>
            </w:r>
            <w:r>
              <w:rPr>
                <w:rFonts w:hint="eastAsia"/>
                <w:color w:val="auto"/>
                <w:kern w:val="0"/>
                <w:sz w:val="24"/>
                <w:vertAlign w:val="superscript"/>
                <w:lang w:val="en-US" w:eastAsia="zh-CN" w:bidi="ar"/>
              </w:rPr>
              <w:t>2</w:t>
            </w:r>
            <w:r>
              <w:rPr>
                <w:rFonts w:hint="eastAsia"/>
                <w:color w:val="auto"/>
                <w:kern w:val="0"/>
                <w:sz w:val="24"/>
                <w:lang w:val="en-US" w:eastAsia="zh-CN" w:bidi="ar"/>
              </w:rPr>
              <w:t>、八宝景天40m</w:t>
            </w:r>
            <w:r>
              <w:rPr>
                <w:rFonts w:hint="eastAsia"/>
                <w:color w:val="auto"/>
                <w:kern w:val="0"/>
                <w:sz w:val="24"/>
                <w:vertAlign w:val="superscript"/>
                <w:lang w:val="en-US" w:eastAsia="zh-CN" w:bidi="ar"/>
              </w:rPr>
              <w:t>2</w:t>
            </w:r>
            <w:r>
              <w:rPr>
                <w:rFonts w:hint="eastAsia"/>
                <w:color w:val="auto"/>
                <w:kern w:val="0"/>
                <w:sz w:val="24"/>
                <w:lang w:val="en-US" w:eastAsia="zh-CN" w:bidi="ar"/>
              </w:rPr>
              <w:t>。</w:t>
            </w:r>
          </w:p>
          <w:p w14:paraId="5AA91F9D">
            <w:pPr>
              <w:keepNext w:val="0"/>
              <w:keepLines w:val="0"/>
              <w:pageBreakBefore w:val="0"/>
              <w:widowControl w:val="0"/>
              <w:kinsoku/>
              <w:wordWrap/>
              <w:overflowPunct/>
              <w:topLinePunct w:val="0"/>
              <w:autoSpaceDE/>
              <w:autoSpaceDN/>
              <w:bidi w:val="0"/>
              <w:adjustRightInd w:val="0"/>
              <w:snapToGrid w:val="0"/>
              <w:spacing w:line="470" w:lineRule="exact"/>
              <w:ind w:firstLine="480" w:firstLineChars="200"/>
              <w:textAlignment w:val="auto"/>
              <w:rPr>
                <w:rFonts w:ascii="宋体" w:hAnsi="宋体" w:cs="宋体"/>
                <w:color w:val="auto"/>
                <w:sz w:val="24"/>
              </w:rPr>
            </w:pPr>
            <w:r>
              <w:rPr>
                <w:rFonts w:hint="eastAsia" w:ascii="宋体" w:hAnsi="宋体" w:cs="宋体"/>
                <w:color w:val="auto"/>
                <w:sz w:val="24"/>
              </w:rPr>
              <w:t>③</w:t>
            </w:r>
            <w:r>
              <w:rPr>
                <w:rFonts w:hint="eastAsia" w:ascii="宋体" w:hAnsi="宋体" w:cs="宋体"/>
                <w:color w:val="auto"/>
                <w:sz w:val="24"/>
                <w:lang w:val="en-US" w:eastAsia="zh-CN"/>
              </w:rPr>
              <w:t>已采区</w:t>
            </w:r>
            <w:r>
              <w:rPr>
                <w:rFonts w:hint="eastAsia" w:ascii="宋体" w:hAnsi="宋体" w:cs="宋体"/>
                <w:color w:val="auto"/>
                <w:sz w:val="24"/>
              </w:rPr>
              <w:t>生态恢复</w:t>
            </w:r>
          </w:p>
          <w:p w14:paraId="678E576E">
            <w:pPr>
              <w:keepNext w:val="0"/>
              <w:keepLines w:val="0"/>
              <w:pageBreakBefore w:val="0"/>
              <w:widowControl w:val="0"/>
              <w:kinsoku/>
              <w:wordWrap/>
              <w:overflowPunct/>
              <w:topLinePunct w:val="0"/>
              <w:autoSpaceDE/>
              <w:autoSpaceDN/>
              <w:bidi w:val="0"/>
              <w:adjustRightInd w:val="0"/>
              <w:snapToGrid w:val="0"/>
              <w:spacing w:line="470" w:lineRule="exact"/>
              <w:ind w:firstLine="470" w:firstLineChars="196"/>
              <w:textAlignment w:val="auto"/>
              <w:rPr>
                <w:color w:val="auto"/>
                <w:sz w:val="24"/>
                <w:lang w:bidi="ar"/>
              </w:rPr>
            </w:pPr>
            <w:r>
              <w:rPr>
                <w:rFonts w:hint="eastAsia"/>
                <w:color w:val="auto"/>
                <w:sz w:val="24"/>
              </w:rPr>
              <w:t>本项目矿界外的9.</w:t>
            </w:r>
            <w:r>
              <w:rPr>
                <w:rFonts w:hint="eastAsia"/>
                <w:color w:val="auto"/>
                <w:sz w:val="24"/>
                <w:lang w:val="en-US" w:eastAsia="zh-CN"/>
              </w:rPr>
              <w:t>3020</w:t>
            </w:r>
            <w:r>
              <w:rPr>
                <w:color w:val="auto"/>
                <w:sz w:val="24"/>
              </w:rPr>
              <w:t>hm</w:t>
            </w:r>
            <w:r>
              <w:rPr>
                <w:color w:val="auto"/>
                <w:sz w:val="24"/>
                <w:vertAlign w:val="superscript"/>
              </w:rPr>
              <w:t>2</w:t>
            </w:r>
            <w:r>
              <w:rPr>
                <w:rFonts w:hint="eastAsia"/>
                <w:color w:val="auto"/>
                <w:sz w:val="24"/>
              </w:rPr>
              <w:t>已采区需进行生态恢复，</w:t>
            </w:r>
            <w:r>
              <w:rPr>
                <w:color w:val="auto"/>
                <w:sz w:val="24"/>
                <w:lang w:bidi="ar"/>
              </w:rPr>
              <w:t>复垦方向为</w:t>
            </w:r>
            <w:r>
              <w:rPr>
                <w:rFonts w:hint="eastAsia"/>
                <w:color w:val="auto"/>
                <w:sz w:val="24"/>
                <w:lang w:bidi="ar"/>
              </w:rPr>
              <w:t>灌木林地</w:t>
            </w:r>
            <w:r>
              <w:rPr>
                <w:color w:val="auto"/>
                <w:sz w:val="24"/>
                <w:lang w:bidi="ar"/>
              </w:rPr>
              <w:t>。种植</w:t>
            </w:r>
            <w:r>
              <w:rPr>
                <w:rFonts w:hint="eastAsia"/>
                <w:color w:val="auto"/>
                <w:sz w:val="24"/>
                <w:lang w:bidi="ar"/>
              </w:rPr>
              <w:t>紫穗槐、紫花苜蓿和披碱草</w:t>
            </w:r>
            <w:r>
              <w:rPr>
                <w:color w:val="auto"/>
                <w:sz w:val="24"/>
                <w:lang w:bidi="ar"/>
              </w:rPr>
              <w:t>。</w:t>
            </w:r>
            <w:r>
              <w:rPr>
                <w:bCs/>
                <w:color w:val="auto"/>
                <w:sz w:val="24"/>
              </w:rPr>
              <w:t>灌木选择3年生紫穗槐，株行距为1m×1m，种植密度为10000株/hm</w:t>
            </w:r>
            <w:r>
              <w:rPr>
                <w:bCs/>
                <w:color w:val="auto"/>
                <w:sz w:val="24"/>
                <w:vertAlign w:val="superscript"/>
              </w:rPr>
              <w:t>2</w:t>
            </w:r>
            <w:r>
              <w:rPr>
                <w:bCs/>
                <w:color w:val="auto"/>
                <w:sz w:val="24"/>
              </w:rPr>
              <w:t>，整地方式与规格为圆形穴坑整地，采用0.3×0.3×0.3m的圆穴。林下撒播草籽，草种选择紫花苜蓿和披碱草，种植密度各15kg/hm</w:t>
            </w:r>
            <w:r>
              <w:rPr>
                <w:bCs/>
                <w:color w:val="auto"/>
                <w:sz w:val="24"/>
                <w:vertAlign w:val="superscript"/>
              </w:rPr>
              <w:t>2</w:t>
            </w:r>
            <w:r>
              <w:rPr>
                <w:bCs/>
                <w:color w:val="auto"/>
                <w:sz w:val="24"/>
              </w:rPr>
              <w:t>。</w:t>
            </w:r>
          </w:p>
          <w:p w14:paraId="2CC6E5AF">
            <w:pPr>
              <w:keepNext w:val="0"/>
              <w:keepLines w:val="0"/>
              <w:pageBreakBefore w:val="0"/>
              <w:widowControl w:val="0"/>
              <w:kinsoku/>
              <w:wordWrap/>
              <w:overflowPunct/>
              <w:topLinePunct w:val="0"/>
              <w:autoSpaceDE/>
              <w:autoSpaceDN/>
              <w:bidi w:val="0"/>
              <w:adjustRightInd w:val="0"/>
              <w:snapToGrid w:val="0"/>
              <w:spacing w:line="470" w:lineRule="exact"/>
              <w:jc w:val="center"/>
              <w:textAlignment w:val="auto"/>
              <w:rPr>
                <w:color w:val="auto"/>
                <w:szCs w:val="21"/>
                <w:lang w:val="zh-CN" w:bidi="ar"/>
              </w:rPr>
            </w:pPr>
            <w:r>
              <w:rPr>
                <w:rFonts w:hint="eastAsia"/>
                <w:color w:val="auto"/>
                <w:szCs w:val="21"/>
                <w:lang w:val="zh-CN" w:bidi="ar"/>
              </w:rPr>
              <w:t>表</w:t>
            </w:r>
            <w:r>
              <w:rPr>
                <w:rFonts w:hint="eastAsia"/>
                <w:color w:val="auto"/>
                <w:szCs w:val="21"/>
                <w:lang w:bidi="ar"/>
              </w:rPr>
              <w:t>3-</w:t>
            </w:r>
            <w:r>
              <w:rPr>
                <w:rFonts w:hint="eastAsia"/>
                <w:color w:val="auto"/>
                <w:szCs w:val="21"/>
                <w:lang w:val="en-US" w:eastAsia="zh-CN" w:bidi="ar"/>
              </w:rPr>
              <w:t>8</w:t>
            </w:r>
            <w:r>
              <w:rPr>
                <w:rFonts w:hint="eastAsia"/>
                <w:color w:val="auto"/>
                <w:szCs w:val="21"/>
                <w:lang w:bidi="ar"/>
              </w:rPr>
              <w:t xml:space="preserve">  本项目矿界外已采区</w:t>
            </w:r>
            <w:r>
              <w:rPr>
                <w:rFonts w:hint="eastAsia"/>
                <w:color w:val="auto"/>
                <w:szCs w:val="21"/>
                <w:lang w:val="zh-CN" w:bidi="ar"/>
              </w:rPr>
              <w:t>植物措施配置表</w:t>
            </w:r>
          </w:p>
          <w:tbl>
            <w:tblPr>
              <w:tblStyle w:val="29"/>
              <w:tblW w:w="5000" w:type="pct"/>
              <w:tblInd w:w="0" w:type="dxa"/>
              <w:tblLayout w:type="autofit"/>
              <w:tblCellMar>
                <w:top w:w="0" w:type="dxa"/>
                <w:left w:w="108" w:type="dxa"/>
                <w:bottom w:w="0" w:type="dxa"/>
                <w:right w:w="108" w:type="dxa"/>
              </w:tblCellMar>
            </w:tblPr>
            <w:tblGrid>
              <w:gridCol w:w="1120"/>
              <w:gridCol w:w="1154"/>
              <w:gridCol w:w="1154"/>
              <w:gridCol w:w="1296"/>
              <w:gridCol w:w="1730"/>
              <w:gridCol w:w="1442"/>
              <w:gridCol w:w="1207"/>
            </w:tblGrid>
            <w:tr w14:paraId="0F11B6D4">
              <w:tblPrEx>
                <w:tblCellMar>
                  <w:top w:w="0" w:type="dxa"/>
                  <w:left w:w="108" w:type="dxa"/>
                  <w:bottom w:w="0" w:type="dxa"/>
                  <w:right w:w="108" w:type="dxa"/>
                </w:tblCellMar>
              </w:tblPrEx>
              <w:trPr>
                <w:trHeight w:val="454" w:hRule="atLeast"/>
              </w:trPr>
              <w:tc>
                <w:tcPr>
                  <w:tcW w:w="615" w:type="pct"/>
                  <w:tcBorders>
                    <w:top w:val="single" w:color="auto" w:sz="4" w:space="0"/>
                    <w:left w:val="single" w:color="auto" w:sz="4" w:space="0"/>
                    <w:bottom w:val="single" w:color="auto" w:sz="4" w:space="0"/>
                    <w:right w:val="single" w:color="auto" w:sz="4" w:space="0"/>
                  </w:tcBorders>
                  <w:vAlign w:val="center"/>
                </w:tcPr>
                <w:p w14:paraId="4BA25562">
                  <w:pPr>
                    <w:adjustRightInd w:val="0"/>
                    <w:snapToGrid w:val="0"/>
                    <w:jc w:val="center"/>
                    <w:rPr>
                      <w:color w:val="auto"/>
                      <w:szCs w:val="21"/>
                    </w:rPr>
                  </w:pPr>
                  <w:r>
                    <w:rPr>
                      <w:color w:val="auto"/>
                      <w:szCs w:val="21"/>
                    </w:rPr>
                    <w:t>覆土位置</w:t>
                  </w:r>
                </w:p>
              </w:tc>
              <w:tc>
                <w:tcPr>
                  <w:tcW w:w="634" w:type="pct"/>
                  <w:tcBorders>
                    <w:top w:val="single" w:color="auto" w:sz="4" w:space="0"/>
                    <w:left w:val="nil"/>
                    <w:bottom w:val="single" w:color="auto" w:sz="4" w:space="0"/>
                    <w:right w:val="single" w:color="auto" w:sz="4" w:space="0"/>
                  </w:tcBorders>
                  <w:vAlign w:val="center"/>
                </w:tcPr>
                <w:p w14:paraId="7876365C">
                  <w:pPr>
                    <w:adjustRightInd w:val="0"/>
                    <w:snapToGrid w:val="0"/>
                    <w:jc w:val="center"/>
                    <w:rPr>
                      <w:color w:val="auto"/>
                      <w:szCs w:val="21"/>
                    </w:rPr>
                  </w:pPr>
                  <w:r>
                    <w:rPr>
                      <w:color w:val="auto"/>
                      <w:szCs w:val="21"/>
                    </w:rPr>
                    <w:t>复垦后</w:t>
                  </w:r>
                </w:p>
                <w:p w14:paraId="6C27F950">
                  <w:pPr>
                    <w:adjustRightInd w:val="0"/>
                    <w:snapToGrid w:val="0"/>
                    <w:jc w:val="center"/>
                    <w:rPr>
                      <w:color w:val="auto"/>
                      <w:szCs w:val="21"/>
                    </w:rPr>
                  </w:pPr>
                  <w:r>
                    <w:rPr>
                      <w:color w:val="auto"/>
                      <w:szCs w:val="21"/>
                    </w:rPr>
                    <w:t>地类</w:t>
                  </w:r>
                </w:p>
              </w:tc>
              <w:tc>
                <w:tcPr>
                  <w:tcW w:w="634" w:type="pct"/>
                  <w:tcBorders>
                    <w:top w:val="single" w:color="auto" w:sz="4" w:space="0"/>
                    <w:left w:val="nil"/>
                    <w:bottom w:val="single" w:color="auto" w:sz="4" w:space="0"/>
                    <w:right w:val="single" w:color="auto" w:sz="4" w:space="0"/>
                  </w:tcBorders>
                  <w:vAlign w:val="center"/>
                </w:tcPr>
                <w:p w14:paraId="0691D008">
                  <w:pPr>
                    <w:adjustRightInd w:val="0"/>
                    <w:snapToGrid w:val="0"/>
                    <w:jc w:val="center"/>
                    <w:rPr>
                      <w:color w:val="auto"/>
                      <w:szCs w:val="21"/>
                    </w:rPr>
                  </w:pPr>
                  <w:r>
                    <w:rPr>
                      <w:color w:val="auto"/>
                      <w:szCs w:val="21"/>
                    </w:rPr>
                    <w:t>面积(hm</w:t>
                  </w:r>
                  <w:r>
                    <w:rPr>
                      <w:color w:val="auto"/>
                      <w:szCs w:val="21"/>
                      <w:vertAlign w:val="superscript"/>
                    </w:rPr>
                    <w:t>2</w:t>
                  </w:r>
                  <w:r>
                    <w:rPr>
                      <w:color w:val="auto"/>
                      <w:szCs w:val="21"/>
                    </w:rPr>
                    <w:t>)</w:t>
                  </w:r>
                </w:p>
              </w:tc>
              <w:tc>
                <w:tcPr>
                  <w:tcW w:w="712" w:type="pct"/>
                  <w:tcBorders>
                    <w:top w:val="single" w:color="auto" w:sz="4" w:space="0"/>
                    <w:left w:val="nil"/>
                    <w:bottom w:val="single" w:color="auto" w:sz="4" w:space="0"/>
                    <w:right w:val="single" w:color="auto" w:sz="4" w:space="0"/>
                  </w:tcBorders>
                  <w:vAlign w:val="center"/>
                </w:tcPr>
                <w:p w14:paraId="2FF3A892">
                  <w:pPr>
                    <w:adjustRightInd w:val="0"/>
                    <w:snapToGrid w:val="0"/>
                    <w:jc w:val="center"/>
                    <w:rPr>
                      <w:color w:val="auto"/>
                      <w:szCs w:val="21"/>
                    </w:rPr>
                  </w:pPr>
                  <w:r>
                    <w:rPr>
                      <w:color w:val="auto"/>
                      <w:szCs w:val="21"/>
                    </w:rPr>
                    <w:t>覆土（100m</w:t>
                  </w:r>
                  <w:r>
                    <w:rPr>
                      <w:color w:val="auto"/>
                      <w:szCs w:val="21"/>
                      <w:vertAlign w:val="superscript"/>
                    </w:rPr>
                    <w:t>3</w:t>
                  </w:r>
                  <w:r>
                    <w:rPr>
                      <w:color w:val="auto"/>
                      <w:szCs w:val="21"/>
                    </w:rPr>
                    <w:t>）</w:t>
                  </w:r>
                </w:p>
              </w:tc>
              <w:tc>
                <w:tcPr>
                  <w:tcW w:w="950" w:type="pct"/>
                  <w:tcBorders>
                    <w:top w:val="single" w:color="auto" w:sz="4" w:space="0"/>
                    <w:left w:val="nil"/>
                    <w:bottom w:val="single" w:color="auto" w:sz="4" w:space="0"/>
                    <w:right w:val="single" w:color="auto" w:sz="4" w:space="0"/>
                  </w:tcBorders>
                  <w:vAlign w:val="center"/>
                </w:tcPr>
                <w:p w14:paraId="79FCAF14">
                  <w:pPr>
                    <w:adjustRightInd w:val="0"/>
                    <w:snapToGrid w:val="0"/>
                    <w:jc w:val="center"/>
                    <w:rPr>
                      <w:color w:val="auto"/>
                      <w:szCs w:val="21"/>
                    </w:rPr>
                  </w:pPr>
                  <w:r>
                    <w:rPr>
                      <w:color w:val="auto"/>
                      <w:szCs w:val="21"/>
                    </w:rPr>
                    <w:t>紫穗槐（100株）</w:t>
                  </w:r>
                </w:p>
              </w:tc>
              <w:tc>
                <w:tcPr>
                  <w:tcW w:w="792" w:type="pct"/>
                  <w:tcBorders>
                    <w:top w:val="single" w:color="auto" w:sz="4" w:space="0"/>
                    <w:left w:val="nil"/>
                    <w:bottom w:val="single" w:color="auto" w:sz="4" w:space="0"/>
                    <w:right w:val="single" w:color="auto" w:sz="4" w:space="0"/>
                  </w:tcBorders>
                  <w:vAlign w:val="center"/>
                </w:tcPr>
                <w:p w14:paraId="0526ED7F">
                  <w:pPr>
                    <w:adjustRightInd w:val="0"/>
                    <w:snapToGrid w:val="0"/>
                    <w:jc w:val="center"/>
                    <w:rPr>
                      <w:color w:val="auto"/>
                      <w:szCs w:val="21"/>
                    </w:rPr>
                  </w:pPr>
                  <w:r>
                    <w:rPr>
                      <w:color w:val="auto"/>
                      <w:szCs w:val="21"/>
                    </w:rPr>
                    <w:t>紫花苜蓿（kg）</w:t>
                  </w:r>
                </w:p>
              </w:tc>
              <w:tc>
                <w:tcPr>
                  <w:tcW w:w="663" w:type="pct"/>
                  <w:tcBorders>
                    <w:top w:val="single" w:color="auto" w:sz="4" w:space="0"/>
                    <w:left w:val="nil"/>
                    <w:bottom w:val="single" w:color="auto" w:sz="4" w:space="0"/>
                    <w:right w:val="single" w:color="auto" w:sz="4" w:space="0"/>
                  </w:tcBorders>
                  <w:vAlign w:val="center"/>
                </w:tcPr>
                <w:p w14:paraId="5496C0D3">
                  <w:pPr>
                    <w:adjustRightInd w:val="0"/>
                    <w:snapToGrid w:val="0"/>
                    <w:jc w:val="center"/>
                    <w:rPr>
                      <w:color w:val="auto"/>
                      <w:szCs w:val="21"/>
                    </w:rPr>
                  </w:pPr>
                  <w:r>
                    <w:rPr>
                      <w:color w:val="auto"/>
                      <w:szCs w:val="21"/>
                    </w:rPr>
                    <w:t>披碱草（kg）</w:t>
                  </w:r>
                </w:p>
              </w:tc>
            </w:tr>
            <w:tr w14:paraId="6793EF47">
              <w:tblPrEx>
                <w:tblCellMar>
                  <w:top w:w="0" w:type="dxa"/>
                  <w:left w:w="108" w:type="dxa"/>
                  <w:bottom w:w="0" w:type="dxa"/>
                  <w:right w:w="108" w:type="dxa"/>
                </w:tblCellMar>
              </w:tblPrEx>
              <w:trPr>
                <w:trHeight w:val="454" w:hRule="atLeast"/>
              </w:trPr>
              <w:tc>
                <w:tcPr>
                  <w:tcW w:w="615" w:type="pct"/>
                  <w:tcBorders>
                    <w:top w:val="nil"/>
                    <w:left w:val="single" w:color="auto" w:sz="4" w:space="0"/>
                    <w:bottom w:val="single" w:color="auto" w:sz="4" w:space="0"/>
                    <w:right w:val="single" w:color="auto" w:sz="4" w:space="0"/>
                  </w:tcBorders>
                  <w:vAlign w:val="center"/>
                </w:tcPr>
                <w:p w14:paraId="5CFB823E">
                  <w:pPr>
                    <w:adjustRightInd w:val="0"/>
                    <w:snapToGrid w:val="0"/>
                    <w:jc w:val="center"/>
                    <w:rPr>
                      <w:color w:val="auto"/>
                      <w:szCs w:val="21"/>
                    </w:rPr>
                  </w:pPr>
                  <w:r>
                    <w:rPr>
                      <w:color w:val="auto"/>
                      <w:szCs w:val="21"/>
                    </w:rPr>
                    <w:t>已采区</w:t>
                  </w:r>
                </w:p>
              </w:tc>
              <w:tc>
                <w:tcPr>
                  <w:tcW w:w="634" w:type="pct"/>
                  <w:tcBorders>
                    <w:top w:val="nil"/>
                    <w:left w:val="nil"/>
                    <w:bottom w:val="single" w:color="auto" w:sz="4" w:space="0"/>
                    <w:right w:val="single" w:color="auto" w:sz="4" w:space="0"/>
                  </w:tcBorders>
                  <w:vAlign w:val="center"/>
                </w:tcPr>
                <w:p w14:paraId="104E9F75">
                  <w:pPr>
                    <w:adjustRightInd w:val="0"/>
                    <w:snapToGrid w:val="0"/>
                    <w:jc w:val="center"/>
                    <w:rPr>
                      <w:color w:val="auto"/>
                      <w:szCs w:val="21"/>
                    </w:rPr>
                  </w:pPr>
                  <w:r>
                    <w:rPr>
                      <w:color w:val="auto"/>
                      <w:szCs w:val="21"/>
                    </w:rPr>
                    <w:t>灌木林地</w:t>
                  </w:r>
                </w:p>
              </w:tc>
              <w:tc>
                <w:tcPr>
                  <w:tcW w:w="634" w:type="pct"/>
                  <w:tcBorders>
                    <w:top w:val="nil"/>
                    <w:left w:val="nil"/>
                    <w:bottom w:val="single" w:color="auto" w:sz="4" w:space="0"/>
                    <w:right w:val="single" w:color="auto" w:sz="4" w:space="0"/>
                  </w:tcBorders>
                  <w:vAlign w:val="center"/>
                </w:tcPr>
                <w:p w14:paraId="46FB9A0A">
                  <w:pPr>
                    <w:adjustRightInd w:val="0"/>
                    <w:snapToGrid w:val="0"/>
                    <w:jc w:val="center"/>
                    <w:rPr>
                      <w:rFonts w:hint="default" w:eastAsia="宋体"/>
                      <w:color w:val="auto"/>
                      <w:szCs w:val="21"/>
                      <w:lang w:val="en-US" w:eastAsia="zh-CN"/>
                    </w:rPr>
                  </w:pPr>
                  <w:r>
                    <w:rPr>
                      <w:rFonts w:hint="eastAsia"/>
                      <w:color w:val="auto"/>
                      <w:szCs w:val="21"/>
                    </w:rPr>
                    <w:t>9.</w:t>
                  </w:r>
                  <w:r>
                    <w:rPr>
                      <w:rFonts w:hint="eastAsia"/>
                      <w:color w:val="auto"/>
                      <w:szCs w:val="21"/>
                      <w:lang w:val="en-US" w:eastAsia="zh-CN"/>
                    </w:rPr>
                    <w:t>3020</w:t>
                  </w:r>
                </w:p>
              </w:tc>
              <w:tc>
                <w:tcPr>
                  <w:tcW w:w="712" w:type="pct"/>
                  <w:tcBorders>
                    <w:top w:val="nil"/>
                    <w:left w:val="nil"/>
                    <w:bottom w:val="single" w:color="auto" w:sz="4" w:space="0"/>
                    <w:right w:val="single" w:color="auto" w:sz="4" w:space="0"/>
                  </w:tcBorders>
                  <w:vAlign w:val="center"/>
                </w:tcPr>
                <w:p w14:paraId="43915E54">
                  <w:pPr>
                    <w:adjustRightInd w:val="0"/>
                    <w:snapToGrid w:val="0"/>
                    <w:jc w:val="center"/>
                    <w:rPr>
                      <w:rFonts w:hint="default" w:eastAsia="宋体"/>
                      <w:color w:val="auto"/>
                      <w:szCs w:val="21"/>
                      <w:lang w:val="en-US" w:eastAsia="zh-CN"/>
                    </w:rPr>
                  </w:pPr>
                  <w:r>
                    <w:rPr>
                      <w:color w:val="auto"/>
                      <w:szCs w:val="21"/>
                    </w:rPr>
                    <w:t>4</w:t>
                  </w:r>
                  <w:r>
                    <w:rPr>
                      <w:rFonts w:hint="eastAsia"/>
                      <w:color w:val="auto"/>
                      <w:szCs w:val="21"/>
                      <w:lang w:val="en-US" w:eastAsia="zh-CN"/>
                    </w:rPr>
                    <w:t>65.10</w:t>
                  </w:r>
                </w:p>
              </w:tc>
              <w:tc>
                <w:tcPr>
                  <w:tcW w:w="950" w:type="pct"/>
                  <w:tcBorders>
                    <w:top w:val="nil"/>
                    <w:left w:val="nil"/>
                    <w:bottom w:val="single" w:color="auto" w:sz="4" w:space="0"/>
                    <w:right w:val="single" w:color="auto" w:sz="4" w:space="0"/>
                  </w:tcBorders>
                  <w:vAlign w:val="center"/>
                </w:tcPr>
                <w:p w14:paraId="46AEBA0D">
                  <w:pPr>
                    <w:adjustRightInd w:val="0"/>
                    <w:snapToGrid w:val="0"/>
                    <w:jc w:val="center"/>
                    <w:rPr>
                      <w:rFonts w:hint="default" w:eastAsia="宋体"/>
                      <w:color w:val="auto"/>
                      <w:szCs w:val="21"/>
                      <w:lang w:val="en-US" w:eastAsia="zh-CN"/>
                    </w:rPr>
                  </w:pPr>
                  <w:r>
                    <w:rPr>
                      <w:color w:val="auto"/>
                      <w:szCs w:val="21"/>
                    </w:rPr>
                    <w:t>9</w:t>
                  </w:r>
                  <w:r>
                    <w:rPr>
                      <w:rFonts w:hint="eastAsia"/>
                      <w:color w:val="auto"/>
                      <w:szCs w:val="21"/>
                      <w:lang w:val="en-US" w:eastAsia="zh-CN"/>
                    </w:rPr>
                    <w:t>30.20</w:t>
                  </w:r>
                </w:p>
              </w:tc>
              <w:tc>
                <w:tcPr>
                  <w:tcW w:w="792" w:type="pct"/>
                  <w:tcBorders>
                    <w:top w:val="nil"/>
                    <w:left w:val="nil"/>
                    <w:bottom w:val="single" w:color="auto" w:sz="4" w:space="0"/>
                    <w:right w:val="single" w:color="auto" w:sz="4" w:space="0"/>
                  </w:tcBorders>
                  <w:vAlign w:val="center"/>
                </w:tcPr>
                <w:p w14:paraId="6B1C7732">
                  <w:pPr>
                    <w:adjustRightInd w:val="0"/>
                    <w:snapToGrid w:val="0"/>
                    <w:jc w:val="center"/>
                    <w:rPr>
                      <w:rFonts w:hint="default" w:eastAsia="宋体"/>
                      <w:color w:val="auto"/>
                      <w:szCs w:val="21"/>
                      <w:lang w:val="en-US" w:eastAsia="zh-CN"/>
                    </w:rPr>
                  </w:pPr>
                  <w:r>
                    <w:rPr>
                      <w:rFonts w:hint="eastAsia"/>
                      <w:color w:val="auto"/>
                      <w:szCs w:val="21"/>
                      <w:lang w:val="en-US" w:eastAsia="zh-CN"/>
                    </w:rPr>
                    <w:t>139.53</w:t>
                  </w:r>
                </w:p>
              </w:tc>
              <w:tc>
                <w:tcPr>
                  <w:tcW w:w="663" w:type="pct"/>
                  <w:tcBorders>
                    <w:top w:val="nil"/>
                    <w:left w:val="nil"/>
                    <w:bottom w:val="single" w:color="auto" w:sz="4" w:space="0"/>
                    <w:right w:val="single" w:color="auto" w:sz="4" w:space="0"/>
                  </w:tcBorders>
                  <w:vAlign w:val="center"/>
                </w:tcPr>
                <w:p w14:paraId="4430532B">
                  <w:pPr>
                    <w:adjustRightInd w:val="0"/>
                    <w:snapToGrid w:val="0"/>
                    <w:jc w:val="center"/>
                    <w:rPr>
                      <w:rFonts w:hint="default" w:eastAsia="宋体"/>
                      <w:color w:val="auto"/>
                      <w:szCs w:val="21"/>
                      <w:lang w:val="en-US" w:eastAsia="zh-CN"/>
                    </w:rPr>
                  </w:pPr>
                  <w:r>
                    <w:rPr>
                      <w:rFonts w:hint="eastAsia"/>
                      <w:color w:val="auto"/>
                      <w:szCs w:val="21"/>
                      <w:lang w:val="en-US" w:eastAsia="zh-CN"/>
                    </w:rPr>
                    <w:t>139.53</w:t>
                  </w:r>
                </w:p>
              </w:tc>
            </w:tr>
            <w:tr w14:paraId="56150ADB">
              <w:tblPrEx>
                <w:tblCellMar>
                  <w:top w:w="0" w:type="dxa"/>
                  <w:left w:w="108" w:type="dxa"/>
                  <w:bottom w:w="0" w:type="dxa"/>
                  <w:right w:w="108" w:type="dxa"/>
                </w:tblCellMar>
              </w:tblPrEx>
              <w:trPr>
                <w:trHeight w:val="454" w:hRule="atLeast"/>
              </w:trPr>
              <w:tc>
                <w:tcPr>
                  <w:tcW w:w="1249" w:type="pct"/>
                  <w:gridSpan w:val="2"/>
                  <w:tcBorders>
                    <w:top w:val="single" w:color="auto" w:sz="4" w:space="0"/>
                    <w:left w:val="single" w:color="auto" w:sz="4" w:space="0"/>
                    <w:bottom w:val="single" w:color="auto" w:sz="4" w:space="0"/>
                    <w:right w:val="single" w:color="000000" w:sz="4" w:space="0"/>
                  </w:tcBorders>
                  <w:vAlign w:val="center"/>
                </w:tcPr>
                <w:p w14:paraId="22585801">
                  <w:pPr>
                    <w:adjustRightInd w:val="0"/>
                    <w:snapToGrid w:val="0"/>
                    <w:jc w:val="center"/>
                    <w:rPr>
                      <w:color w:val="auto"/>
                      <w:szCs w:val="21"/>
                    </w:rPr>
                  </w:pPr>
                  <w:r>
                    <w:rPr>
                      <w:color w:val="auto"/>
                      <w:szCs w:val="21"/>
                    </w:rPr>
                    <w:t>合计</w:t>
                  </w:r>
                </w:p>
              </w:tc>
              <w:tc>
                <w:tcPr>
                  <w:tcW w:w="1154" w:type="dxa"/>
                  <w:tcBorders>
                    <w:top w:val="nil"/>
                    <w:left w:val="nil"/>
                    <w:bottom w:val="single" w:color="auto" w:sz="4" w:space="0"/>
                    <w:right w:val="single" w:color="auto" w:sz="4" w:space="0"/>
                  </w:tcBorders>
                  <w:vAlign w:val="center"/>
                </w:tcPr>
                <w:p w14:paraId="0F93B030">
                  <w:pPr>
                    <w:adjustRightInd w:val="0"/>
                    <w:snapToGrid w:val="0"/>
                    <w:jc w:val="center"/>
                    <w:rPr>
                      <w:color w:val="auto"/>
                      <w:szCs w:val="21"/>
                    </w:rPr>
                  </w:pPr>
                  <w:r>
                    <w:rPr>
                      <w:rFonts w:hint="eastAsia"/>
                      <w:color w:val="auto"/>
                      <w:szCs w:val="21"/>
                    </w:rPr>
                    <w:t>9.</w:t>
                  </w:r>
                  <w:r>
                    <w:rPr>
                      <w:rFonts w:hint="eastAsia"/>
                      <w:color w:val="auto"/>
                      <w:szCs w:val="21"/>
                      <w:lang w:val="en-US" w:eastAsia="zh-CN"/>
                    </w:rPr>
                    <w:t>3020</w:t>
                  </w:r>
                </w:p>
              </w:tc>
              <w:tc>
                <w:tcPr>
                  <w:tcW w:w="1296" w:type="dxa"/>
                  <w:tcBorders>
                    <w:top w:val="nil"/>
                    <w:left w:val="nil"/>
                    <w:bottom w:val="single" w:color="auto" w:sz="4" w:space="0"/>
                    <w:right w:val="single" w:color="auto" w:sz="4" w:space="0"/>
                  </w:tcBorders>
                  <w:vAlign w:val="center"/>
                </w:tcPr>
                <w:p w14:paraId="2CA2426B">
                  <w:pPr>
                    <w:adjustRightInd w:val="0"/>
                    <w:snapToGrid w:val="0"/>
                    <w:jc w:val="center"/>
                    <w:rPr>
                      <w:color w:val="auto"/>
                      <w:szCs w:val="21"/>
                    </w:rPr>
                  </w:pPr>
                  <w:r>
                    <w:rPr>
                      <w:color w:val="auto"/>
                      <w:szCs w:val="21"/>
                    </w:rPr>
                    <w:t>4</w:t>
                  </w:r>
                  <w:r>
                    <w:rPr>
                      <w:rFonts w:hint="eastAsia"/>
                      <w:color w:val="auto"/>
                      <w:szCs w:val="21"/>
                      <w:lang w:val="en-US" w:eastAsia="zh-CN"/>
                    </w:rPr>
                    <w:t>65.10</w:t>
                  </w:r>
                </w:p>
              </w:tc>
              <w:tc>
                <w:tcPr>
                  <w:tcW w:w="1730" w:type="dxa"/>
                  <w:tcBorders>
                    <w:top w:val="nil"/>
                    <w:left w:val="nil"/>
                    <w:bottom w:val="single" w:color="auto" w:sz="4" w:space="0"/>
                    <w:right w:val="single" w:color="auto" w:sz="4" w:space="0"/>
                  </w:tcBorders>
                  <w:vAlign w:val="center"/>
                </w:tcPr>
                <w:p w14:paraId="212C2676">
                  <w:pPr>
                    <w:adjustRightInd w:val="0"/>
                    <w:snapToGrid w:val="0"/>
                    <w:jc w:val="center"/>
                    <w:rPr>
                      <w:color w:val="auto"/>
                      <w:szCs w:val="21"/>
                    </w:rPr>
                  </w:pPr>
                  <w:r>
                    <w:rPr>
                      <w:color w:val="auto"/>
                      <w:szCs w:val="21"/>
                    </w:rPr>
                    <w:t>9</w:t>
                  </w:r>
                  <w:r>
                    <w:rPr>
                      <w:rFonts w:hint="eastAsia"/>
                      <w:color w:val="auto"/>
                      <w:szCs w:val="21"/>
                      <w:lang w:val="en-US" w:eastAsia="zh-CN"/>
                    </w:rPr>
                    <w:t>30.20</w:t>
                  </w:r>
                </w:p>
              </w:tc>
              <w:tc>
                <w:tcPr>
                  <w:tcW w:w="1442" w:type="dxa"/>
                  <w:tcBorders>
                    <w:top w:val="nil"/>
                    <w:left w:val="nil"/>
                    <w:bottom w:val="single" w:color="auto" w:sz="4" w:space="0"/>
                    <w:right w:val="single" w:color="auto" w:sz="4" w:space="0"/>
                  </w:tcBorders>
                  <w:vAlign w:val="center"/>
                </w:tcPr>
                <w:p w14:paraId="47C0011D">
                  <w:pPr>
                    <w:adjustRightInd w:val="0"/>
                    <w:snapToGrid w:val="0"/>
                    <w:jc w:val="center"/>
                    <w:rPr>
                      <w:color w:val="auto"/>
                      <w:szCs w:val="21"/>
                    </w:rPr>
                  </w:pPr>
                  <w:r>
                    <w:rPr>
                      <w:rFonts w:hint="eastAsia"/>
                      <w:color w:val="auto"/>
                      <w:szCs w:val="21"/>
                      <w:lang w:val="en-US" w:eastAsia="zh-CN"/>
                    </w:rPr>
                    <w:t>139.53</w:t>
                  </w:r>
                </w:p>
              </w:tc>
              <w:tc>
                <w:tcPr>
                  <w:tcW w:w="1207" w:type="dxa"/>
                  <w:tcBorders>
                    <w:top w:val="nil"/>
                    <w:left w:val="nil"/>
                    <w:bottom w:val="single" w:color="auto" w:sz="4" w:space="0"/>
                    <w:right w:val="single" w:color="auto" w:sz="4" w:space="0"/>
                  </w:tcBorders>
                  <w:vAlign w:val="center"/>
                </w:tcPr>
                <w:p w14:paraId="52A589BC">
                  <w:pPr>
                    <w:adjustRightInd w:val="0"/>
                    <w:snapToGrid w:val="0"/>
                    <w:jc w:val="center"/>
                    <w:rPr>
                      <w:color w:val="auto"/>
                      <w:szCs w:val="21"/>
                    </w:rPr>
                  </w:pPr>
                  <w:r>
                    <w:rPr>
                      <w:rFonts w:hint="eastAsia"/>
                      <w:color w:val="auto"/>
                      <w:szCs w:val="21"/>
                      <w:lang w:val="en-US" w:eastAsia="zh-CN"/>
                    </w:rPr>
                    <w:t>139.53</w:t>
                  </w:r>
                </w:p>
              </w:tc>
            </w:tr>
          </w:tbl>
          <w:p w14:paraId="0B0C1CCC">
            <w:pPr>
              <w:keepNext w:val="0"/>
              <w:keepLines w:val="0"/>
              <w:pageBreakBefore w:val="0"/>
              <w:widowControl w:val="0"/>
              <w:kinsoku/>
              <w:wordWrap/>
              <w:overflowPunct/>
              <w:topLinePunct w:val="0"/>
              <w:autoSpaceDE/>
              <w:autoSpaceDN/>
              <w:bidi w:val="0"/>
              <w:adjustRightInd w:val="0"/>
              <w:snapToGrid w:val="0"/>
              <w:spacing w:line="470" w:lineRule="exact"/>
              <w:ind w:firstLine="480" w:firstLineChars="200"/>
              <w:textAlignment w:val="auto"/>
              <w:rPr>
                <w:color w:val="auto"/>
                <w:sz w:val="24"/>
              </w:rPr>
            </w:pPr>
            <w:r>
              <w:rPr>
                <w:rFonts w:hint="eastAsia"/>
                <w:color w:val="auto"/>
                <w:sz w:val="24"/>
              </w:rPr>
              <w:t>④运矿道路</w:t>
            </w:r>
          </w:p>
          <w:p w14:paraId="6539C340">
            <w:pPr>
              <w:adjustRightInd w:val="0"/>
              <w:snapToGrid w:val="0"/>
              <w:spacing w:line="480" w:lineRule="exact"/>
              <w:ind w:firstLine="480" w:firstLineChars="200"/>
              <w:rPr>
                <w:rFonts w:hint="eastAsia"/>
                <w:color w:val="auto"/>
                <w:sz w:val="24"/>
              </w:rPr>
            </w:pPr>
            <w:r>
              <w:rPr>
                <w:rFonts w:hint="eastAsia"/>
                <w:color w:val="auto"/>
                <w:sz w:val="24"/>
              </w:rPr>
              <w:t>运矿道路</w:t>
            </w:r>
            <w:r>
              <w:rPr>
                <w:rFonts w:hint="eastAsia"/>
                <w:color w:val="auto"/>
                <w:sz w:val="24"/>
                <w:lang w:val="en-US" w:eastAsia="zh-CN"/>
              </w:rPr>
              <w:t>路面需混凝土硬化，</w:t>
            </w:r>
            <w:r>
              <w:rPr>
                <w:rFonts w:hint="eastAsia"/>
                <w:color w:val="auto"/>
                <w:sz w:val="24"/>
              </w:rPr>
              <w:t>道路两侧需进行绿化。</w:t>
            </w:r>
          </w:p>
          <w:p w14:paraId="3B811B1C">
            <w:pPr>
              <w:adjustRightInd w:val="0"/>
              <w:snapToGrid w:val="0"/>
              <w:spacing w:line="480" w:lineRule="exact"/>
              <w:ind w:firstLine="480" w:firstLineChars="200"/>
              <w:rPr>
                <w:rFonts w:hAnsi="宋体" w:cs="宋体"/>
                <w:color w:val="auto"/>
                <w:sz w:val="24"/>
              </w:rPr>
            </w:pPr>
            <w:r>
              <w:rPr>
                <w:rFonts w:hint="eastAsia"/>
                <w:color w:val="auto"/>
                <w:sz w:val="24"/>
              </w:rPr>
              <w:t>现存环境问题整改进度要求见</w:t>
            </w:r>
            <w:r>
              <w:rPr>
                <w:rFonts w:hint="eastAsia"/>
                <w:color w:val="auto"/>
                <w:kern w:val="0"/>
                <w:sz w:val="24"/>
              </w:rPr>
              <w:t>表3-</w:t>
            </w:r>
            <w:r>
              <w:rPr>
                <w:rFonts w:hint="eastAsia"/>
                <w:color w:val="auto"/>
                <w:kern w:val="0"/>
                <w:sz w:val="24"/>
                <w:lang w:val="en-US" w:eastAsia="zh-CN"/>
              </w:rPr>
              <w:t>9</w:t>
            </w:r>
            <w:r>
              <w:rPr>
                <w:rFonts w:hint="eastAsia"/>
                <w:color w:val="auto"/>
                <w:sz w:val="24"/>
              </w:rPr>
              <w:t>。</w:t>
            </w:r>
          </w:p>
          <w:p w14:paraId="6824614F">
            <w:pPr>
              <w:adjustRightInd w:val="0"/>
              <w:snapToGrid w:val="0"/>
              <w:spacing w:line="480" w:lineRule="exact"/>
              <w:jc w:val="center"/>
              <w:rPr>
                <w:color w:val="auto"/>
                <w:szCs w:val="21"/>
                <w:lang w:bidi="ar"/>
              </w:rPr>
            </w:pPr>
            <w:bookmarkStart w:id="22" w:name="OLE_LINK18"/>
            <w:r>
              <w:rPr>
                <w:rFonts w:hint="eastAsia"/>
                <w:color w:val="auto"/>
                <w:szCs w:val="21"/>
                <w:lang w:bidi="ar"/>
              </w:rPr>
              <w:t>表3-</w:t>
            </w:r>
            <w:bookmarkEnd w:id="22"/>
            <w:r>
              <w:rPr>
                <w:rFonts w:hint="eastAsia"/>
                <w:color w:val="auto"/>
                <w:szCs w:val="21"/>
                <w:lang w:val="en-US" w:eastAsia="zh-CN" w:bidi="ar"/>
              </w:rPr>
              <w:t>9</w:t>
            </w:r>
            <w:r>
              <w:rPr>
                <w:color w:val="auto"/>
                <w:szCs w:val="21"/>
                <w:lang w:bidi="ar"/>
              </w:rPr>
              <w:t xml:space="preserve">  </w:t>
            </w:r>
            <w:r>
              <w:rPr>
                <w:rFonts w:hint="eastAsia"/>
                <w:color w:val="auto"/>
                <w:szCs w:val="21"/>
                <w:lang w:bidi="ar"/>
              </w:rPr>
              <w:t>现有环境生态问题整改进度要求</w:t>
            </w:r>
          </w:p>
          <w:bookmarkEnd w:id="20"/>
          <w:tbl>
            <w:tblPr>
              <w:tblStyle w:val="30"/>
              <w:tblW w:w="4997" w:type="pct"/>
              <w:tblInd w:w="5"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539"/>
              <w:gridCol w:w="1043"/>
              <w:gridCol w:w="848"/>
              <w:gridCol w:w="5253"/>
              <w:gridCol w:w="1395"/>
            </w:tblGrid>
            <w:tr w14:paraId="493C2BA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97" w:type="pct"/>
                  <w:tcBorders>
                    <w:tl2br w:val="nil"/>
                    <w:tr2bl w:val="nil"/>
                  </w:tcBorders>
                  <w:vAlign w:val="center"/>
                </w:tcPr>
                <w:p w14:paraId="15D5DF37">
                  <w:pPr>
                    <w:pStyle w:val="47"/>
                    <w:ind w:left="-105" w:leftChars="-50" w:right="-105" w:rightChars="-50"/>
                    <w:jc w:val="center"/>
                    <w:rPr>
                      <w:rFonts w:ascii="Times New Roman" w:cs="Times New Roman"/>
                      <w:bCs/>
                      <w:color w:val="auto"/>
                      <w:sz w:val="21"/>
                      <w:szCs w:val="21"/>
                    </w:rPr>
                  </w:pPr>
                  <w:r>
                    <w:rPr>
                      <w:rFonts w:ascii="Times New Roman" w:cs="Times New Roman"/>
                      <w:bCs/>
                      <w:color w:val="auto"/>
                      <w:sz w:val="21"/>
                      <w:szCs w:val="21"/>
                    </w:rPr>
                    <w:t>序号</w:t>
                  </w:r>
                </w:p>
              </w:tc>
              <w:tc>
                <w:tcPr>
                  <w:tcW w:w="1041" w:type="pct"/>
                  <w:gridSpan w:val="2"/>
                  <w:tcBorders>
                    <w:tl2br w:val="nil"/>
                    <w:tr2bl w:val="nil"/>
                  </w:tcBorders>
                  <w:vAlign w:val="center"/>
                </w:tcPr>
                <w:p w14:paraId="56B54138">
                  <w:pPr>
                    <w:pStyle w:val="47"/>
                    <w:jc w:val="center"/>
                    <w:rPr>
                      <w:rFonts w:ascii="Times New Roman" w:cs="Times New Roman"/>
                      <w:bCs/>
                      <w:color w:val="auto"/>
                      <w:sz w:val="21"/>
                      <w:szCs w:val="21"/>
                    </w:rPr>
                  </w:pPr>
                  <w:r>
                    <w:rPr>
                      <w:rFonts w:ascii="Times New Roman" w:cs="Times New Roman"/>
                      <w:bCs/>
                      <w:color w:val="auto"/>
                      <w:sz w:val="21"/>
                      <w:szCs w:val="21"/>
                    </w:rPr>
                    <w:t>主要</w:t>
                  </w:r>
                  <w:r>
                    <w:rPr>
                      <w:rFonts w:hint="eastAsia" w:ascii="Times New Roman" w:cs="Times New Roman"/>
                      <w:bCs/>
                      <w:color w:val="auto"/>
                      <w:sz w:val="21"/>
                      <w:szCs w:val="21"/>
                    </w:rPr>
                    <w:t>环境</w:t>
                  </w:r>
                  <w:r>
                    <w:rPr>
                      <w:rFonts w:ascii="Times New Roman" w:cs="Times New Roman"/>
                      <w:bCs/>
                      <w:color w:val="auto"/>
                      <w:sz w:val="21"/>
                      <w:szCs w:val="21"/>
                    </w:rPr>
                    <w:t>生态</w:t>
                  </w:r>
                </w:p>
                <w:p w14:paraId="55738235">
                  <w:pPr>
                    <w:pStyle w:val="47"/>
                    <w:jc w:val="center"/>
                    <w:rPr>
                      <w:rFonts w:ascii="Times New Roman" w:cs="Times New Roman"/>
                      <w:bCs/>
                      <w:color w:val="auto"/>
                      <w:sz w:val="21"/>
                      <w:szCs w:val="21"/>
                    </w:rPr>
                  </w:pPr>
                  <w:r>
                    <w:rPr>
                      <w:rFonts w:ascii="Times New Roman" w:cs="Times New Roman"/>
                      <w:bCs/>
                      <w:color w:val="auto"/>
                      <w:sz w:val="21"/>
                      <w:szCs w:val="21"/>
                    </w:rPr>
                    <w:t>问题</w:t>
                  </w:r>
                </w:p>
              </w:tc>
              <w:tc>
                <w:tcPr>
                  <w:tcW w:w="2892" w:type="pct"/>
                  <w:tcBorders>
                    <w:tl2br w:val="nil"/>
                    <w:tr2bl w:val="nil"/>
                  </w:tcBorders>
                  <w:vAlign w:val="center"/>
                </w:tcPr>
                <w:p w14:paraId="0471AFF6">
                  <w:pPr>
                    <w:pStyle w:val="47"/>
                    <w:jc w:val="center"/>
                    <w:rPr>
                      <w:rFonts w:ascii="Times New Roman" w:cs="Times New Roman"/>
                      <w:bCs/>
                      <w:color w:val="auto"/>
                      <w:sz w:val="21"/>
                      <w:szCs w:val="21"/>
                    </w:rPr>
                  </w:pPr>
                  <w:r>
                    <w:rPr>
                      <w:rFonts w:ascii="Times New Roman" w:cs="Times New Roman"/>
                      <w:bCs/>
                      <w:color w:val="auto"/>
                      <w:sz w:val="21"/>
                      <w:szCs w:val="21"/>
                    </w:rPr>
                    <w:t>整改措施</w:t>
                  </w:r>
                </w:p>
              </w:tc>
              <w:tc>
                <w:tcPr>
                  <w:tcW w:w="768" w:type="pct"/>
                  <w:tcBorders>
                    <w:tl2br w:val="nil"/>
                    <w:tr2bl w:val="nil"/>
                  </w:tcBorders>
                  <w:vAlign w:val="center"/>
                </w:tcPr>
                <w:p w14:paraId="2F455364">
                  <w:pPr>
                    <w:pStyle w:val="47"/>
                    <w:jc w:val="center"/>
                    <w:rPr>
                      <w:rFonts w:ascii="Times New Roman" w:cs="Times New Roman"/>
                      <w:bCs/>
                      <w:color w:val="auto"/>
                      <w:sz w:val="21"/>
                      <w:szCs w:val="21"/>
                    </w:rPr>
                  </w:pPr>
                  <w:r>
                    <w:rPr>
                      <w:rFonts w:ascii="Times New Roman" w:cs="Times New Roman"/>
                      <w:bCs/>
                      <w:color w:val="auto"/>
                      <w:sz w:val="21"/>
                      <w:szCs w:val="21"/>
                    </w:rPr>
                    <w:t>完成时限</w:t>
                  </w:r>
                </w:p>
              </w:tc>
            </w:tr>
            <w:tr w14:paraId="341037E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97" w:type="pct"/>
                  <w:vMerge w:val="restart"/>
                  <w:tcBorders>
                    <w:tl2br w:val="nil"/>
                    <w:tr2bl w:val="nil"/>
                  </w:tcBorders>
                  <w:vAlign w:val="center"/>
                </w:tcPr>
                <w:p w14:paraId="1E32B1B6">
                  <w:pPr>
                    <w:pStyle w:val="47"/>
                    <w:jc w:val="center"/>
                    <w:rPr>
                      <w:rFonts w:ascii="Times New Roman" w:cs="Times New Roman"/>
                      <w:bCs/>
                      <w:color w:val="auto"/>
                      <w:sz w:val="21"/>
                      <w:szCs w:val="21"/>
                    </w:rPr>
                  </w:pPr>
                  <w:r>
                    <w:rPr>
                      <w:rFonts w:ascii="Times New Roman" w:cs="Times New Roman"/>
                      <w:bCs/>
                      <w:color w:val="auto"/>
                      <w:sz w:val="21"/>
                      <w:szCs w:val="21"/>
                    </w:rPr>
                    <w:t>1</w:t>
                  </w:r>
                </w:p>
              </w:tc>
              <w:tc>
                <w:tcPr>
                  <w:tcW w:w="574" w:type="pct"/>
                  <w:vMerge w:val="restart"/>
                  <w:tcBorders>
                    <w:tl2br w:val="nil"/>
                    <w:tr2bl w:val="nil"/>
                  </w:tcBorders>
                  <w:vAlign w:val="center"/>
                </w:tcPr>
                <w:p w14:paraId="781CF0E4">
                  <w:pPr>
                    <w:pStyle w:val="47"/>
                    <w:ind w:left="-105" w:leftChars="-50" w:right="-105" w:rightChars="-50"/>
                    <w:jc w:val="center"/>
                    <w:rPr>
                      <w:rFonts w:ascii="Times New Roman" w:cs="Times New Roman"/>
                      <w:bCs/>
                      <w:color w:val="auto"/>
                      <w:sz w:val="21"/>
                      <w:szCs w:val="21"/>
                    </w:rPr>
                  </w:pPr>
                  <w:r>
                    <w:rPr>
                      <w:rFonts w:hint="eastAsia" w:ascii="Times New Roman" w:cs="Times New Roman"/>
                      <w:bCs/>
                      <w:color w:val="auto"/>
                      <w:sz w:val="21"/>
                      <w:szCs w:val="21"/>
                    </w:rPr>
                    <w:t>盂县石鑫矿业有限公司</w:t>
                  </w:r>
                </w:p>
              </w:tc>
              <w:tc>
                <w:tcPr>
                  <w:tcW w:w="466" w:type="pct"/>
                  <w:tcBorders>
                    <w:tl2br w:val="nil"/>
                    <w:tr2bl w:val="nil"/>
                  </w:tcBorders>
                  <w:vAlign w:val="center"/>
                </w:tcPr>
                <w:p w14:paraId="5F29F3EC">
                  <w:pPr>
                    <w:pStyle w:val="47"/>
                    <w:ind w:left="-105" w:leftChars="-50" w:right="-105" w:rightChars="-50"/>
                    <w:jc w:val="center"/>
                    <w:rPr>
                      <w:rFonts w:ascii="Times New Roman" w:cs="Times New Roman"/>
                      <w:bCs/>
                      <w:color w:val="auto"/>
                      <w:sz w:val="21"/>
                      <w:szCs w:val="21"/>
                    </w:rPr>
                  </w:pPr>
                  <w:r>
                    <w:rPr>
                      <w:rFonts w:hint="eastAsia" w:ascii="Times New Roman" w:cs="Times New Roman"/>
                      <w:bCs/>
                      <w:color w:val="auto"/>
                      <w:sz w:val="21"/>
                      <w:szCs w:val="21"/>
                    </w:rPr>
                    <w:t>采场</w:t>
                  </w:r>
                  <w:r>
                    <w:rPr>
                      <w:rFonts w:ascii="Times New Roman" w:cs="Times New Roman"/>
                      <w:bCs/>
                      <w:color w:val="auto"/>
                      <w:sz w:val="21"/>
                      <w:szCs w:val="21"/>
                    </w:rPr>
                    <w:t>危岩体清理</w:t>
                  </w:r>
                </w:p>
              </w:tc>
              <w:tc>
                <w:tcPr>
                  <w:tcW w:w="2892" w:type="pct"/>
                  <w:tcBorders>
                    <w:tl2br w:val="nil"/>
                    <w:tr2bl w:val="nil"/>
                  </w:tcBorders>
                  <w:vAlign w:val="center"/>
                </w:tcPr>
                <w:p w14:paraId="2FFE9B4C">
                  <w:pPr>
                    <w:pStyle w:val="47"/>
                    <w:jc w:val="center"/>
                    <w:rPr>
                      <w:rFonts w:ascii="Times New Roman" w:cs="Times New Roman"/>
                      <w:bCs/>
                      <w:color w:val="auto"/>
                      <w:sz w:val="21"/>
                      <w:szCs w:val="21"/>
                    </w:rPr>
                  </w:pPr>
                  <w:r>
                    <w:rPr>
                      <w:rFonts w:ascii="Times New Roman" w:cs="Times New Roman"/>
                      <w:bCs/>
                      <w:color w:val="auto"/>
                      <w:sz w:val="21"/>
                      <w:szCs w:val="21"/>
                    </w:rPr>
                    <w:t>对已开采的1110m、1100m、1090m、1080m、1170m台阶终了边坡危岩体进行清理，清理总量约1759m</w:t>
                  </w:r>
                  <w:r>
                    <w:rPr>
                      <w:rFonts w:ascii="Times New Roman" w:cs="Times New Roman"/>
                      <w:bCs/>
                      <w:color w:val="auto"/>
                      <w:sz w:val="21"/>
                      <w:szCs w:val="21"/>
                      <w:vertAlign w:val="superscript"/>
                    </w:rPr>
                    <w:t>3</w:t>
                  </w:r>
                  <w:r>
                    <w:rPr>
                      <w:rFonts w:ascii="Times New Roman" w:cs="Times New Roman"/>
                      <w:bCs/>
                      <w:color w:val="auto"/>
                      <w:sz w:val="21"/>
                      <w:szCs w:val="21"/>
                    </w:rPr>
                    <w:t>。</w:t>
                  </w:r>
                </w:p>
              </w:tc>
              <w:tc>
                <w:tcPr>
                  <w:tcW w:w="768" w:type="pct"/>
                  <w:tcBorders>
                    <w:tl2br w:val="nil"/>
                    <w:tr2bl w:val="nil"/>
                  </w:tcBorders>
                  <w:vAlign w:val="center"/>
                </w:tcPr>
                <w:p w14:paraId="617FCBDA">
                  <w:pPr>
                    <w:pStyle w:val="47"/>
                    <w:ind w:left="-105" w:leftChars="-50" w:right="-105" w:rightChars="-50"/>
                    <w:jc w:val="center"/>
                    <w:rPr>
                      <w:rFonts w:ascii="Times New Roman" w:cs="Times New Roman"/>
                      <w:bCs/>
                      <w:color w:val="auto"/>
                      <w:sz w:val="21"/>
                      <w:szCs w:val="21"/>
                    </w:rPr>
                  </w:pPr>
                  <w:r>
                    <w:rPr>
                      <w:rFonts w:ascii="Times New Roman" w:cs="Times New Roman"/>
                      <w:bCs/>
                      <w:color w:val="auto"/>
                      <w:sz w:val="21"/>
                      <w:szCs w:val="21"/>
                    </w:rPr>
                    <w:t>2026年</w:t>
                  </w:r>
                  <w:r>
                    <w:rPr>
                      <w:rFonts w:hint="eastAsia" w:ascii="Times New Roman" w:cs="Times New Roman"/>
                      <w:bCs/>
                      <w:color w:val="auto"/>
                      <w:sz w:val="21"/>
                      <w:szCs w:val="21"/>
                      <w:lang w:val="en-US" w:eastAsia="zh-CN"/>
                    </w:rPr>
                    <w:t>6</w:t>
                  </w:r>
                  <w:r>
                    <w:rPr>
                      <w:rFonts w:ascii="Times New Roman" w:cs="Times New Roman"/>
                      <w:bCs/>
                      <w:color w:val="auto"/>
                      <w:sz w:val="21"/>
                      <w:szCs w:val="21"/>
                    </w:rPr>
                    <w:t>月底</w:t>
                  </w:r>
                </w:p>
              </w:tc>
            </w:tr>
            <w:tr w14:paraId="7D85E03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97" w:type="pct"/>
                  <w:vMerge w:val="continue"/>
                  <w:tcBorders>
                    <w:tl2br w:val="nil"/>
                    <w:tr2bl w:val="nil"/>
                  </w:tcBorders>
                  <w:vAlign w:val="center"/>
                </w:tcPr>
                <w:p w14:paraId="64349F48">
                  <w:pPr>
                    <w:pStyle w:val="47"/>
                    <w:jc w:val="center"/>
                    <w:rPr>
                      <w:rFonts w:ascii="Times New Roman" w:cs="Times New Roman"/>
                      <w:bCs/>
                      <w:color w:val="auto"/>
                      <w:sz w:val="21"/>
                      <w:szCs w:val="21"/>
                    </w:rPr>
                  </w:pPr>
                </w:p>
              </w:tc>
              <w:tc>
                <w:tcPr>
                  <w:tcW w:w="574" w:type="pct"/>
                  <w:vMerge w:val="continue"/>
                  <w:tcBorders>
                    <w:tl2br w:val="nil"/>
                    <w:tr2bl w:val="nil"/>
                  </w:tcBorders>
                  <w:vAlign w:val="center"/>
                </w:tcPr>
                <w:p w14:paraId="3F39E09F">
                  <w:pPr>
                    <w:pStyle w:val="47"/>
                    <w:ind w:left="-105" w:leftChars="-50" w:right="-105" w:rightChars="-50"/>
                    <w:jc w:val="center"/>
                    <w:rPr>
                      <w:rFonts w:hint="eastAsia" w:ascii="Times New Roman" w:cs="Times New Roman"/>
                      <w:bCs/>
                      <w:color w:val="auto"/>
                      <w:sz w:val="21"/>
                      <w:szCs w:val="21"/>
                    </w:rPr>
                  </w:pPr>
                </w:p>
              </w:tc>
              <w:tc>
                <w:tcPr>
                  <w:tcW w:w="466" w:type="pct"/>
                  <w:tcBorders>
                    <w:tl2br w:val="nil"/>
                    <w:tr2bl w:val="nil"/>
                  </w:tcBorders>
                  <w:vAlign w:val="center"/>
                </w:tcPr>
                <w:p w14:paraId="31B8A64B">
                  <w:pPr>
                    <w:pStyle w:val="47"/>
                    <w:ind w:left="-105" w:leftChars="-50" w:right="-105" w:rightChars="-50"/>
                    <w:jc w:val="center"/>
                    <w:rPr>
                      <w:rFonts w:hint="eastAsia" w:ascii="Times New Roman" w:eastAsia="宋体" w:cs="Times New Roman"/>
                      <w:bCs/>
                      <w:color w:val="auto"/>
                      <w:sz w:val="21"/>
                      <w:szCs w:val="21"/>
                      <w:lang w:val="en-US" w:eastAsia="zh-CN"/>
                    </w:rPr>
                  </w:pPr>
                  <w:r>
                    <w:rPr>
                      <w:rFonts w:hint="eastAsia" w:ascii="Times New Roman" w:cs="Times New Roman"/>
                      <w:bCs/>
                      <w:color w:val="auto"/>
                      <w:sz w:val="21"/>
                      <w:szCs w:val="21"/>
                      <w:lang w:val="en-US" w:eastAsia="zh-CN"/>
                    </w:rPr>
                    <w:t>排土场</w:t>
                  </w:r>
                </w:p>
              </w:tc>
              <w:tc>
                <w:tcPr>
                  <w:tcW w:w="2892" w:type="pct"/>
                  <w:tcBorders>
                    <w:tl2br w:val="nil"/>
                    <w:tr2bl w:val="nil"/>
                  </w:tcBorders>
                  <w:vAlign w:val="center"/>
                </w:tcPr>
                <w:p w14:paraId="71D8C5E2">
                  <w:pPr>
                    <w:pStyle w:val="47"/>
                    <w:jc w:val="center"/>
                    <w:rPr>
                      <w:rFonts w:hint="default" w:ascii="Times New Roman" w:eastAsia="宋体" w:cs="Times New Roman"/>
                      <w:bCs/>
                      <w:color w:val="auto"/>
                      <w:sz w:val="21"/>
                      <w:szCs w:val="21"/>
                      <w:lang w:val="en-US" w:eastAsia="zh-CN"/>
                    </w:rPr>
                  </w:pPr>
                  <w:r>
                    <w:rPr>
                      <w:rFonts w:hint="eastAsia" w:ascii="Times New Roman" w:cs="Times New Roman"/>
                      <w:bCs/>
                      <w:color w:val="auto"/>
                      <w:sz w:val="21"/>
                      <w:szCs w:val="21"/>
                    </w:rPr>
                    <w:t>进行边坡治理</w:t>
                  </w:r>
                  <w:r>
                    <w:rPr>
                      <w:rFonts w:hint="eastAsia" w:ascii="Times New Roman" w:cs="Times New Roman"/>
                      <w:bCs/>
                      <w:color w:val="auto"/>
                      <w:sz w:val="21"/>
                      <w:szCs w:val="21"/>
                      <w:lang w:eastAsia="zh-CN"/>
                    </w:rPr>
                    <w:t>，</w:t>
                  </w:r>
                  <w:r>
                    <w:rPr>
                      <w:rFonts w:hint="eastAsia" w:ascii="Times New Roman" w:cs="Times New Roman"/>
                      <w:bCs/>
                      <w:color w:val="auto"/>
                      <w:sz w:val="21"/>
                      <w:szCs w:val="21"/>
                      <w:lang w:val="en-US" w:eastAsia="zh-CN"/>
                    </w:rPr>
                    <w:t>补充建设截排水设施。对已形成平台及边坡进行生态恢复，排土平台恢复面积0.26hm</w:t>
                  </w:r>
                  <w:r>
                    <w:rPr>
                      <w:rFonts w:hint="eastAsia" w:ascii="Times New Roman" w:cs="Times New Roman"/>
                      <w:bCs/>
                      <w:color w:val="auto"/>
                      <w:sz w:val="21"/>
                      <w:szCs w:val="21"/>
                      <w:vertAlign w:val="superscript"/>
                      <w:lang w:val="en-US" w:eastAsia="zh-CN"/>
                    </w:rPr>
                    <w:t>2</w:t>
                  </w:r>
                  <w:r>
                    <w:rPr>
                      <w:rFonts w:hint="eastAsia" w:ascii="Times New Roman" w:cs="Times New Roman"/>
                      <w:bCs/>
                      <w:color w:val="auto"/>
                      <w:sz w:val="21"/>
                      <w:szCs w:val="21"/>
                      <w:lang w:val="en-US" w:eastAsia="zh-CN"/>
                    </w:rPr>
                    <w:t>，复垦为乔木林地，边坡恢复面积1.1376hm</w:t>
                  </w:r>
                  <w:r>
                    <w:rPr>
                      <w:rFonts w:hint="eastAsia" w:ascii="Times New Roman" w:cs="Times New Roman"/>
                      <w:bCs/>
                      <w:color w:val="auto"/>
                      <w:sz w:val="21"/>
                      <w:szCs w:val="21"/>
                      <w:vertAlign w:val="superscript"/>
                      <w:lang w:val="en-US" w:eastAsia="zh-CN"/>
                    </w:rPr>
                    <w:t>2</w:t>
                  </w:r>
                  <w:r>
                    <w:rPr>
                      <w:rFonts w:hint="eastAsia" w:ascii="Times New Roman" w:cs="Times New Roman"/>
                      <w:bCs/>
                      <w:color w:val="auto"/>
                      <w:sz w:val="21"/>
                      <w:szCs w:val="21"/>
                      <w:lang w:val="en-US" w:eastAsia="zh-CN"/>
                    </w:rPr>
                    <w:t>，复垦为灌木林地</w:t>
                  </w:r>
                </w:p>
              </w:tc>
              <w:tc>
                <w:tcPr>
                  <w:tcW w:w="768" w:type="pct"/>
                  <w:tcBorders>
                    <w:tl2br w:val="nil"/>
                    <w:tr2bl w:val="nil"/>
                  </w:tcBorders>
                  <w:vAlign w:val="center"/>
                </w:tcPr>
                <w:p w14:paraId="3A491DBC">
                  <w:pPr>
                    <w:pStyle w:val="47"/>
                    <w:ind w:left="-105" w:leftChars="-50" w:right="-105" w:rightChars="-50"/>
                    <w:jc w:val="center"/>
                    <w:rPr>
                      <w:rFonts w:ascii="Times New Roman" w:cs="Times New Roman"/>
                      <w:bCs/>
                      <w:color w:val="auto"/>
                      <w:sz w:val="21"/>
                      <w:szCs w:val="21"/>
                    </w:rPr>
                  </w:pPr>
                  <w:r>
                    <w:rPr>
                      <w:rFonts w:ascii="Times New Roman" w:cs="Times New Roman"/>
                      <w:bCs/>
                      <w:color w:val="auto"/>
                      <w:sz w:val="21"/>
                      <w:szCs w:val="21"/>
                    </w:rPr>
                    <w:t>2026年10月底</w:t>
                  </w:r>
                </w:p>
              </w:tc>
            </w:tr>
            <w:tr w14:paraId="2E7C608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97" w:type="pct"/>
                  <w:vMerge w:val="continue"/>
                  <w:tcBorders>
                    <w:tl2br w:val="nil"/>
                    <w:tr2bl w:val="nil"/>
                  </w:tcBorders>
                  <w:vAlign w:val="center"/>
                </w:tcPr>
                <w:p w14:paraId="43CE823C">
                  <w:pPr>
                    <w:pStyle w:val="47"/>
                    <w:jc w:val="center"/>
                    <w:rPr>
                      <w:rFonts w:ascii="Times New Roman" w:cs="Times New Roman"/>
                      <w:bCs/>
                      <w:color w:val="auto"/>
                      <w:sz w:val="21"/>
                      <w:szCs w:val="21"/>
                    </w:rPr>
                  </w:pPr>
                </w:p>
              </w:tc>
              <w:tc>
                <w:tcPr>
                  <w:tcW w:w="574" w:type="pct"/>
                  <w:vMerge w:val="continue"/>
                  <w:tcBorders>
                    <w:tl2br w:val="nil"/>
                    <w:tr2bl w:val="nil"/>
                  </w:tcBorders>
                  <w:vAlign w:val="center"/>
                </w:tcPr>
                <w:p w14:paraId="2D1C9877">
                  <w:pPr>
                    <w:pStyle w:val="47"/>
                    <w:ind w:left="-105" w:leftChars="-50" w:right="-105" w:rightChars="-50"/>
                    <w:jc w:val="center"/>
                    <w:rPr>
                      <w:rFonts w:hint="eastAsia" w:ascii="Times New Roman" w:cs="Times New Roman"/>
                      <w:bCs/>
                      <w:color w:val="auto"/>
                      <w:sz w:val="21"/>
                      <w:szCs w:val="21"/>
                    </w:rPr>
                  </w:pPr>
                </w:p>
              </w:tc>
              <w:tc>
                <w:tcPr>
                  <w:tcW w:w="466" w:type="pct"/>
                  <w:tcBorders>
                    <w:tl2br w:val="nil"/>
                    <w:tr2bl w:val="nil"/>
                  </w:tcBorders>
                  <w:vAlign w:val="center"/>
                </w:tcPr>
                <w:p w14:paraId="37D3F304">
                  <w:pPr>
                    <w:pStyle w:val="47"/>
                    <w:ind w:left="-105" w:leftChars="-50" w:right="-105" w:rightChars="-50"/>
                    <w:jc w:val="center"/>
                    <w:rPr>
                      <w:rFonts w:hint="default" w:ascii="Times New Roman" w:cs="Times New Roman"/>
                      <w:bCs/>
                      <w:color w:val="auto"/>
                      <w:sz w:val="21"/>
                      <w:szCs w:val="21"/>
                      <w:lang w:val="en-US" w:eastAsia="zh-CN"/>
                    </w:rPr>
                  </w:pPr>
                  <w:r>
                    <w:rPr>
                      <w:rFonts w:hint="eastAsia" w:ascii="Times New Roman" w:cs="Times New Roman"/>
                      <w:bCs/>
                      <w:color w:val="auto"/>
                      <w:sz w:val="21"/>
                      <w:szCs w:val="21"/>
                      <w:lang w:val="en-US" w:eastAsia="zh-CN"/>
                    </w:rPr>
                    <w:t>办公生活区</w:t>
                  </w:r>
                </w:p>
              </w:tc>
              <w:tc>
                <w:tcPr>
                  <w:tcW w:w="2892" w:type="pct"/>
                  <w:tcBorders>
                    <w:tl2br w:val="nil"/>
                    <w:tr2bl w:val="nil"/>
                  </w:tcBorders>
                  <w:vAlign w:val="center"/>
                </w:tcPr>
                <w:p w14:paraId="3BF9500D">
                  <w:pPr>
                    <w:pStyle w:val="47"/>
                    <w:jc w:val="center"/>
                    <w:rPr>
                      <w:rFonts w:hint="eastAsia" w:ascii="Times New Roman" w:cs="Times New Roman"/>
                      <w:bCs/>
                      <w:color w:val="auto"/>
                      <w:sz w:val="21"/>
                      <w:szCs w:val="21"/>
                    </w:rPr>
                  </w:pPr>
                  <w:r>
                    <w:rPr>
                      <w:rFonts w:hint="eastAsia" w:ascii="Times New Roman" w:cs="Times New Roman"/>
                      <w:bCs/>
                      <w:color w:val="auto"/>
                      <w:sz w:val="21"/>
                      <w:szCs w:val="21"/>
                    </w:rPr>
                    <w:t>新增绿化面积360m</w:t>
                  </w:r>
                  <w:r>
                    <w:rPr>
                      <w:rFonts w:hint="eastAsia" w:ascii="Times New Roman" w:cs="Times New Roman"/>
                      <w:bCs/>
                      <w:color w:val="auto"/>
                      <w:sz w:val="21"/>
                      <w:szCs w:val="21"/>
                      <w:vertAlign w:val="superscript"/>
                    </w:rPr>
                    <w:t>2</w:t>
                  </w:r>
                  <w:r>
                    <w:rPr>
                      <w:rFonts w:hint="eastAsia" w:ascii="Times New Roman" w:cs="Times New Roman"/>
                      <w:bCs/>
                      <w:color w:val="auto"/>
                      <w:sz w:val="21"/>
                      <w:szCs w:val="21"/>
                    </w:rPr>
                    <w:t>，共计需种植垂柳180株、丁香60株、连翘60株、榆叶梅60株、播撒黑麦草180m</w:t>
                  </w:r>
                  <w:r>
                    <w:rPr>
                      <w:rFonts w:hint="eastAsia" w:ascii="Times New Roman" w:cs="Times New Roman"/>
                      <w:bCs/>
                      <w:color w:val="auto"/>
                      <w:sz w:val="21"/>
                      <w:szCs w:val="21"/>
                      <w:vertAlign w:val="superscript"/>
                    </w:rPr>
                    <w:t>2</w:t>
                  </w:r>
                  <w:r>
                    <w:rPr>
                      <w:rFonts w:hint="eastAsia" w:ascii="Times New Roman" w:cs="Times New Roman"/>
                      <w:bCs/>
                      <w:color w:val="auto"/>
                      <w:sz w:val="21"/>
                      <w:szCs w:val="21"/>
                    </w:rPr>
                    <w:t>、白三叶120m</w:t>
                  </w:r>
                  <w:r>
                    <w:rPr>
                      <w:rFonts w:hint="eastAsia" w:ascii="Times New Roman" w:cs="Times New Roman"/>
                      <w:bCs/>
                      <w:color w:val="auto"/>
                      <w:sz w:val="21"/>
                      <w:szCs w:val="21"/>
                      <w:vertAlign w:val="superscript"/>
                    </w:rPr>
                    <w:t>2</w:t>
                  </w:r>
                  <w:r>
                    <w:rPr>
                      <w:rFonts w:hint="eastAsia" w:ascii="Times New Roman" w:cs="Times New Roman"/>
                      <w:bCs/>
                      <w:color w:val="auto"/>
                      <w:sz w:val="21"/>
                      <w:szCs w:val="21"/>
                    </w:rPr>
                    <w:t>、八宝景天60m</w:t>
                  </w:r>
                  <w:r>
                    <w:rPr>
                      <w:rFonts w:hint="eastAsia" w:ascii="Times New Roman" w:cs="Times New Roman"/>
                      <w:bCs/>
                      <w:color w:val="auto"/>
                      <w:sz w:val="21"/>
                      <w:szCs w:val="21"/>
                      <w:vertAlign w:val="superscript"/>
                    </w:rPr>
                    <w:t>2</w:t>
                  </w:r>
                  <w:r>
                    <w:rPr>
                      <w:rFonts w:hint="eastAsia" w:ascii="Times New Roman" w:cs="Times New Roman"/>
                      <w:bCs/>
                      <w:color w:val="auto"/>
                      <w:sz w:val="21"/>
                      <w:szCs w:val="21"/>
                    </w:rPr>
                    <w:t>。</w:t>
                  </w:r>
                </w:p>
              </w:tc>
              <w:tc>
                <w:tcPr>
                  <w:tcW w:w="768" w:type="pct"/>
                  <w:tcBorders>
                    <w:tl2br w:val="nil"/>
                    <w:tr2bl w:val="nil"/>
                  </w:tcBorders>
                  <w:vAlign w:val="center"/>
                </w:tcPr>
                <w:p w14:paraId="7534BE70">
                  <w:pPr>
                    <w:pStyle w:val="47"/>
                    <w:ind w:left="-105" w:leftChars="-50" w:right="-105" w:rightChars="-50"/>
                    <w:jc w:val="center"/>
                    <w:rPr>
                      <w:rFonts w:ascii="Times New Roman" w:cs="Times New Roman"/>
                      <w:bCs/>
                      <w:color w:val="auto"/>
                      <w:sz w:val="21"/>
                      <w:szCs w:val="21"/>
                    </w:rPr>
                  </w:pPr>
                  <w:r>
                    <w:rPr>
                      <w:rFonts w:ascii="Times New Roman" w:cs="Times New Roman"/>
                      <w:bCs/>
                      <w:color w:val="auto"/>
                      <w:sz w:val="21"/>
                      <w:szCs w:val="21"/>
                    </w:rPr>
                    <w:t>2026年10月底</w:t>
                  </w:r>
                </w:p>
              </w:tc>
            </w:tr>
            <w:tr w14:paraId="7D05483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97" w:type="pct"/>
                  <w:vMerge w:val="continue"/>
                  <w:tcBorders>
                    <w:tl2br w:val="nil"/>
                    <w:tr2bl w:val="nil"/>
                  </w:tcBorders>
                  <w:vAlign w:val="center"/>
                </w:tcPr>
                <w:p w14:paraId="0872D55B">
                  <w:pPr>
                    <w:pStyle w:val="47"/>
                    <w:jc w:val="center"/>
                    <w:rPr>
                      <w:rFonts w:ascii="Times New Roman" w:cs="Times New Roman"/>
                      <w:bCs/>
                      <w:color w:val="auto"/>
                      <w:sz w:val="21"/>
                      <w:szCs w:val="21"/>
                    </w:rPr>
                  </w:pPr>
                </w:p>
              </w:tc>
              <w:tc>
                <w:tcPr>
                  <w:tcW w:w="574" w:type="pct"/>
                  <w:vMerge w:val="continue"/>
                  <w:tcBorders>
                    <w:tl2br w:val="nil"/>
                    <w:tr2bl w:val="nil"/>
                  </w:tcBorders>
                  <w:vAlign w:val="center"/>
                </w:tcPr>
                <w:p w14:paraId="15E9BA62">
                  <w:pPr>
                    <w:pStyle w:val="47"/>
                    <w:ind w:left="-105" w:leftChars="-50" w:right="-105" w:rightChars="-50"/>
                    <w:jc w:val="center"/>
                    <w:rPr>
                      <w:rFonts w:ascii="Times New Roman" w:cs="Times New Roman"/>
                      <w:bCs/>
                      <w:color w:val="auto"/>
                      <w:sz w:val="21"/>
                      <w:szCs w:val="21"/>
                    </w:rPr>
                  </w:pPr>
                </w:p>
              </w:tc>
              <w:tc>
                <w:tcPr>
                  <w:tcW w:w="466" w:type="pct"/>
                  <w:tcBorders>
                    <w:tl2br w:val="nil"/>
                    <w:tr2bl w:val="nil"/>
                  </w:tcBorders>
                  <w:vAlign w:val="center"/>
                </w:tcPr>
                <w:p w14:paraId="19CE790F">
                  <w:pPr>
                    <w:pStyle w:val="47"/>
                    <w:ind w:left="-105" w:leftChars="-50" w:right="-105" w:rightChars="-50"/>
                    <w:jc w:val="center"/>
                    <w:rPr>
                      <w:rFonts w:ascii="Times New Roman" w:cs="Times New Roman"/>
                      <w:bCs/>
                      <w:color w:val="auto"/>
                      <w:sz w:val="21"/>
                      <w:szCs w:val="21"/>
                    </w:rPr>
                  </w:pPr>
                  <w:r>
                    <w:rPr>
                      <w:rFonts w:hint="eastAsia" w:ascii="Times New Roman" w:cs="Times New Roman"/>
                      <w:bCs/>
                      <w:color w:val="auto"/>
                      <w:sz w:val="21"/>
                      <w:szCs w:val="21"/>
                    </w:rPr>
                    <w:t>运矿道路</w:t>
                  </w:r>
                </w:p>
              </w:tc>
              <w:tc>
                <w:tcPr>
                  <w:tcW w:w="2892" w:type="pct"/>
                  <w:tcBorders>
                    <w:tl2br w:val="nil"/>
                    <w:tr2bl w:val="nil"/>
                  </w:tcBorders>
                  <w:vAlign w:val="center"/>
                </w:tcPr>
                <w:p w14:paraId="59D7C793">
                  <w:pPr>
                    <w:pStyle w:val="47"/>
                    <w:jc w:val="center"/>
                    <w:rPr>
                      <w:rFonts w:ascii="Times New Roman" w:cs="Times New Roman"/>
                      <w:bCs/>
                      <w:color w:val="auto"/>
                      <w:sz w:val="21"/>
                      <w:szCs w:val="21"/>
                    </w:rPr>
                  </w:pPr>
                  <w:r>
                    <w:rPr>
                      <w:rFonts w:hint="eastAsia" w:ascii="Times New Roman" w:cs="Times New Roman"/>
                      <w:bCs/>
                      <w:color w:val="auto"/>
                      <w:sz w:val="21"/>
                      <w:szCs w:val="21"/>
                      <w:lang w:val="en-US" w:eastAsia="zh-CN"/>
                    </w:rPr>
                    <w:t>现有</w:t>
                  </w:r>
                  <w:r>
                    <w:rPr>
                      <w:rFonts w:ascii="Times New Roman" w:cs="Times New Roman"/>
                      <w:bCs/>
                      <w:color w:val="auto"/>
                      <w:sz w:val="21"/>
                      <w:szCs w:val="21"/>
                    </w:rPr>
                    <w:t>矿区道路</w:t>
                  </w:r>
                  <w:r>
                    <w:rPr>
                      <w:rFonts w:hint="eastAsia" w:ascii="Times New Roman" w:cs="Times New Roman"/>
                      <w:bCs/>
                      <w:color w:val="auto"/>
                      <w:sz w:val="21"/>
                      <w:szCs w:val="21"/>
                      <w:lang w:val="en-US" w:eastAsia="zh-CN"/>
                    </w:rPr>
                    <w:t>路面硬化，</w:t>
                  </w:r>
                  <w:r>
                    <w:rPr>
                      <w:rFonts w:ascii="Times New Roman" w:cs="Times New Roman"/>
                      <w:bCs/>
                      <w:color w:val="auto"/>
                      <w:sz w:val="21"/>
                      <w:szCs w:val="21"/>
                    </w:rPr>
                    <w:t>在矿区道路两侧种植行道树，树种选择新疆杨，苗木规格为5年生，苗高2m，株距3.0m，</w:t>
                  </w:r>
                  <w:r>
                    <w:rPr>
                      <w:rFonts w:hint="eastAsia" w:ascii="Times New Roman" w:cs="Times New Roman"/>
                      <w:bCs/>
                      <w:color w:val="auto"/>
                      <w:sz w:val="21"/>
                      <w:szCs w:val="21"/>
                    </w:rPr>
                    <w:t>共种植</w:t>
                  </w:r>
                  <w:r>
                    <w:rPr>
                      <w:rFonts w:hint="eastAsia" w:ascii="Times New Roman" w:cs="Times New Roman"/>
                      <w:bCs/>
                      <w:color w:val="auto"/>
                      <w:sz w:val="21"/>
                      <w:szCs w:val="21"/>
                      <w:lang w:val="en-US" w:eastAsia="zh-CN"/>
                    </w:rPr>
                    <w:t>1056</w:t>
                  </w:r>
                  <w:r>
                    <w:rPr>
                      <w:rFonts w:hint="eastAsia" w:ascii="Times New Roman" w:cs="Times New Roman"/>
                      <w:bCs/>
                      <w:color w:val="auto"/>
                      <w:sz w:val="21"/>
                      <w:szCs w:val="21"/>
                    </w:rPr>
                    <w:t>株</w:t>
                  </w:r>
                </w:p>
              </w:tc>
              <w:tc>
                <w:tcPr>
                  <w:tcW w:w="768" w:type="pct"/>
                  <w:tcBorders>
                    <w:tl2br w:val="nil"/>
                    <w:tr2bl w:val="nil"/>
                  </w:tcBorders>
                  <w:vAlign w:val="center"/>
                </w:tcPr>
                <w:p w14:paraId="75D86483">
                  <w:pPr>
                    <w:pStyle w:val="47"/>
                    <w:ind w:left="-105" w:leftChars="-50" w:right="-105" w:rightChars="-50"/>
                    <w:jc w:val="center"/>
                    <w:rPr>
                      <w:rFonts w:ascii="Times New Roman" w:cs="Times New Roman"/>
                      <w:bCs/>
                      <w:color w:val="auto"/>
                      <w:sz w:val="21"/>
                      <w:szCs w:val="21"/>
                    </w:rPr>
                  </w:pPr>
                  <w:r>
                    <w:rPr>
                      <w:rFonts w:ascii="Times New Roman" w:cs="Times New Roman"/>
                      <w:bCs/>
                      <w:color w:val="auto"/>
                      <w:sz w:val="21"/>
                      <w:szCs w:val="21"/>
                    </w:rPr>
                    <w:t>2026年</w:t>
                  </w:r>
                  <w:r>
                    <w:rPr>
                      <w:rFonts w:hint="eastAsia" w:ascii="Times New Roman" w:cs="Times New Roman"/>
                      <w:bCs/>
                      <w:color w:val="auto"/>
                      <w:sz w:val="21"/>
                      <w:szCs w:val="21"/>
                      <w:lang w:val="en-US" w:eastAsia="zh-CN"/>
                    </w:rPr>
                    <w:t>6</w:t>
                  </w:r>
                  <w:r>
                    <w:rPr>
                      <w:rFonts w:ascii="Times New Roman" w:cs="Times New Roman"/>
                      <w:bCs/>
                      <w:color w:val="auto"/>
                      <w:sz w:val="21"/>
                      <w:szCs w:val="21"/>
                    </w:rPr>
                    <w:t>月底</w:t>
                  </w:r>
                </w:p>
              </w:tc>
            </w:tr>
            <w:tr w14:paraId="2FC3D9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97" w:type="pct"/>
                  <w:vMerge w:val="restart"/>
                  <w:tcBorders>
                    <w:tl2br w:val="nil"/>
                    <w:tr2bl w:val="nil"/>
                  </w:tcBorders>
                  <w:vAlign w:val="center"/>
                </w:tcPr>
                <w:p w14:paraId="13103AAE">
                  <w:pPr>
                    <w:pStyle w:val="47"/>
                    <w:jc w:val="center"/>
                    <w:rPr>
                      <w:rFonts w:ascii="Times New Roman" w:cs="Times New Roman"/>
                      <w:bCs/>
                      <w:color w:val="auto"/>
                      <w:sz w:val="21"/>
                      <w:szCs w:val="21"/>
                    </w:rPr>
                  </w:pPr>
                  <w:r>
                    <w:rPr>
                      <w:rFonts w:hint="eastAsia" w:ascii="Times New Roman" w:cs="Times New Roman"/>
                      <w:bCs/>
                      <w:color w:val="auto"/>
                      <w:sz w:val="21"/>
                      <w:szCs w:val="21"/>
                    </w:rPr>
                    <w:t>2</w:t>
                  </w:r>
                </w:p>
              </w:tc>
              <w:tc>
                <w:tcPr>
                  <w:tcW w:w="574" w:type="pct"/>
                  <w:vMerge w:val="restart"/>
                  <w:tcBorders>
                    <w:tl2br w:val="nil"/>
                    <w:tr2bl w:val="nil"/>
                  </w:tcBorders>
                  <w:vAlign w:val="center"/>
                </w:tcPr>
                <w:p w14:paraId="5CD51BA2">
                  <w:pPr>
                    <w:pStyle w:val="47"/>
                    <w:ind w:left="-105" w:leftChars="-50" w:right="-105" w:rightChars="-50"/>
                    <w:jc w:val="center"/>
                    <w:rPr>
                      <w:rFonts w:ascii="Times New Roman" w:cs="Times New Roman"/>
                      <w:bCs/>
                      <w:color w:val="auto"/>
                      <w:sz w:val="21"/>
                      <w:szCs w:val="21"/>
                    </w:rPr>
                  </w:pPr>
                  <w:r>
                    <w:rPr>
                      <w:rFonts w:hint="eastAsia" w:ascii="Times New Roman" w:cs="Times New Roman"/>
                      <w:bCs/>
                      <w:color w:val="auto"/>
                      <w:sz w:val="21"/>
                      <w:szCs w:val="21"/>
                    </w:rPr>
                    <w:t>原盂县西潘乡鑫盛石矿</w:t>
                  </w:r>
                </w:p>
              </w:tc>
              <w:tc>
                <w:tcPr>
                  <w:tcW w:w="466" w:type="pct"/>
                  <w:tcBorders>
                    <w:tl2br w:val="nil"/>
                    <w:tr2bl w:val="nil"/>
                  </w:tcBorders>
                  <w:vAlign w:val="center"/>
                </w:tcPr>
                <w:p w14:paraId="33C1D459">
                  <w:pPr>
                    <w:pStyle w:val="47"/>
                    <w:ind w:left="-105" w:leftChars="-50" w:right="-105" w:rightChars="-50"/>
                    <w:jc w:val="center"/>
                    <w:rPr>
                      <w:rFonts w:ascii="Times New Roman" w:cs="Times New Roman"/>
                      <w:bCs/>
                      <w:color w:val="auto"/>
                      <w:sz w:val="21"/>
                      <w:szCs w:val="21"/>
                    </w:rPr>
                  </w:pPr>
                  <w:r>
                    <w:rPr>
                      <w:rFonts w:hint="eastAsia" w:ascii="Times New Roman" w:cs="Times New Roman"/>
                      <w:bCs/>
                      <w:color w:val="auto"/>
                      <w:sz w:val="21"/>
                      <w:szCs w:val="21"/>
                    </w:rPr>
                    <w:t>采场</w:t>
                  </w:r>
                  <w:r>
                    <w:rPr>
                      <w:rFonts w:ascii="Times New Roman" w:cs="Times New Roman"/>
                      <w:bCs/>
                      <w:color w:val="auto"/>
                      <w:sz w:val="21"/>
                      <w:szCs w:val="21"/>
                    </w:rPr>
                    <w:t>危岩体清理</w:t>
                  </w:r>
                </w:p>
              </w:tc>
              <w:tc>
                <w:tcPr>
                  <w:tcW w:w="2892" w:type="pct"/>
                  <w:tcBorders>
                    <w:tl2br w:val="nil"/>
                    <w:tr2bl w:val="nil"/>
                  </w:tcBorders>
                  <w:vAlign w:val="center"/>
                </w:tcPr>
                <w:p w14:paraId="4D90FE29">
                  <w:pPr>
                    <w:pStyle w:val="47"/>
                    <w:jc w:val="center"/>
                    <w:rPr>
                      <w:rFonts w:ascii="Times New Roman" w:cs="Times New Roman"/>
                      <w:bCs/>
                      <w:color w:val="auto"/>
                      <w:sz w:val="21"/>
                      <w:szCs w:val="21"/>
                    </w:rPr>
                  </w:pPr>
                  <w:r>
                    <w:rPr>
                      <w:rFonts w:ascii="Times New Roman" w:cs="Times New Roman"/>
                      <w:bCs/>
                      <w:color w:val="auto"/>
                      <w:sz w:val="21"/>
                      <w:szCs w:val="21"/>
                    </w:rPr>
                    <w:t>对已开采的</w:t>
                  </w:r>
                  <w:r>
                    <w:rPr>
                      <w:rFonts w:ascii="Times New Roman" w:cs="Times New Roman"/>
                      <w:color w:val="auto"/>
                      <w:sz w:val="21"/>
                      <w:szCs w:val="21"/>
                    </w:rPr>
                    <w:t>1080m、1065m、1050m、1035m</w:t>
                  </w:r>
                  <w:r>
                    <w:rPr>
                      <w:rFonts w:ascii="Times New Roman" w:cs="Times New Roman"/>
                      <w:bCs/>
                      <w:color w:val="auto"/>
                      <w:sz w:val="21"/>
                      <w:szCs w:val="21"/>
                    </w:rPr>
                    <w:t>台阶终了边坡危岩体进行清理，清理总量约505m</w:t>
                  </w:r>
                  <w:r>
                    <w:rPr>
                      <w:rFonts w:ascii="Times New Roman" w:cs="Times New Roman"/>
                      <w:bCs/>
                      <w:color w:val="auto"/>
                      <w:sz w:val="21"/>
                      <w:szCs w:val="21"/>
                      <w:vertAlign w:val="superscript"/>
                    </w:rPr>
                    <w:t>3</w:t>
                  </w:r>
                  <w:r>
                    <w:rPr>
                      <w:rFonts w:ascii="Times New Roman" w:cs="Times New Roman"/>
                      <w:bCs/>
                      <w:color w:val="auto"/>
                      <w:sz w:val="21"/>
                      <w:szCs w:val="21"/>
                    </w:rPr>
                    <w:t>。</w:t>
                  </w:r>
                </w:p>
              </w:tc>
              <w:tc>
                <w:tcPr>
                  <w:tcW w:w="768" w:type="pct"/>
                  <w:tcBorders>
                    <w:tl2br w:val="nil"/>
                    <w:tr2bl w:val="nil"/>
                  </w:tcBorders>
                  <w:vAlign w:val="center"/>
                </w:tcPr>
                <w:p w14:paraId="6315FC88">
                  <w:pPr>
                    <w:pStyle w:val="47"/>
                    <w:ind w:left="-105" w:leftChars="-50" w:right="-105" w:rightChars="-50"/>
                    <w:jc w:val="center"/>
                    <w:rPr>
                      <w:rFonts w:ascii="Times New Roman" w:cs="Times New Roman"/>
                      <w:bCs/>
                      <w:color w:val="auto"/>
                      <w:sz w:val="21"/>
                      <w:szCs w:val="21"/>
                    </w:rPr>
                  </w:pPr>
                  <w:r>
                    <w:rPr>
                      <w:rFonts w:ascii="Times New Roman" w:cs="Times New Roman"/>
                      <w:bCs/>
                      <w:color w:val="auto"/>
                      <w:sz w:val="21"/>
                      <w:szCs w:val="21"/>
                    </w:rPr>
                    <w:t>2026年</w:t>
                  </w:r>
                  <w:r>
                    <w:rPr>
                      <w:rFonts w:hint="eastAsia" w:ascii="Times New Roman" w:cs="Times New Roman"/>
                      <w:bCs/>
                      <w:color w:val="auto"/>
                      <w:sz w:val="21"/>
                      <w:szCs w:val="21"/>
                      <w:lang w:val="en-US" w:eastAsia="zh-CN"/>
                    </w:rPr>
                    <w:t>6</w:t>
                  </w:r>
                  <w:r>
                    <w:rPr>
                      <w:rFonts w:ascii="Times New Roman" w:cs="Times New Roman"/>
                      <w:bCs/>
                      <w:color w:val="auto"/>
                      <w:sz w:val="21"/>
                      <w:szCs w:val="21"/>
                    </w:rPr>
                    <w:t>月底</w:t>
                  </w:r>
                </w:p>
              </w:tc>
            </w:tr>
            <w:tr w14:paraId="602FD9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97" w:type="pct"/>
                  <w:vMerge w:val="continue"/>
                  <w:tcBorders>
                    <w:tl2br w:val="nil"/>
                    <w:tr2bl w:val="nil"/>
                  </w:tcBorders>
                  <w:vAlign w:val="center"/>
                </w:tcPr>
                <w:p w14:paraId="01914320">
                  <w:pPr>
                    <w:pStyle w:val="47"/>
                    <w:jc w:val="center"/>
                    <w:rPr>
                      <w:rFonts w:ascii="Times New Roman" w:cs="Times New Roman"/>
                      <w:bCs/>
                      <w:color w:val="auto"/>
                      <w:sz w:val="21"/>
                      <w:szCs w:val="21"/>
                    </w:rPr>
                  </w:pPr>
                </w:p>
              </w:tc>
              <w:tc>
                <w:tcPr>
                  <w:tcW w:w="574" w:type="pct"/>
                  <w:vMerge w:val="continue"/>
                  <w:tcBorders>
                    <w:tl2br w:val="nil"/>
                    <w:tr2bl w:val="nil"/>
                  </w:tcBorders>
                  <w:vAlign w:val="center"/>
                </w:tcPr>
                <w:p w14:paraId="2C2E0ACA">
                  <w:pPr>
                    <w:pStyle w:val="47"/>
                    <w:ind w:left="-105" w:leftChars="-50" w:right="-105" w:rightChars="-50"/>
                    <w:jc w:val="center"/>
                    <w:rPr>
                      <w:rFonts w:ascii="Times New Roman" w:cs="Times New Roman"/>
                      <w:bCs/>
                      <w:color w:val="auto"/>
                      <w:sz w:val="21"/>
                      <w:szCs w:val="21"/>
                    </w:rPr>
                  </w:pPr>
                </w:p>
              </w:tc>
              <w:tc>
                <w:tcPr>
                  <w:tcW w:w="466" w:type="pct"/>
                  <w:tcBorders>
                    <w:tl2br w:val="nil"/>
                    <w:tr2bl w:val="nil"/>
                  </w:tcBorders>
                  <w:vAlign w:val="center"/>
                </w:tcPr>
                <w:p w14:paraId="114176D4">
                  <w:pPr>
                    <w:pStyle w:val="47"/>
                    <w:ind w:left="-105" w:leftChars="-50" w:right="-105" w:rightChars="-50"/>
                    <w:jc w:val="center"/>
                    <w:rPr>
                      <w:rFonts w:ascii="Times New Roman" w:cs="Times New Roman"/>
                      <w:bCs/>
                      <w:color w:val="auto"/>
                      <w:sz w:val="21"/>
                      <w:szCs w:val="21"/>
                    </w:rPr>
                  </w:pPr>
                  <w:r>
                    <w:rPr>
                      <w:rFonts w:hint="eastAsia" w:ascii="Times New Roman" w:cs="Times New Roman"/>
                      <w:bCs/>
                      <w:color w:val="auto"/>
                      <w:sz w:val="21"/>
                      <w:szCs w:val="21"/>
                    </w:rPr>
                    <w:t>办公</w:t>
                  </w:r>
                </w:p>
                <w:p w14:paraId="4E9B059D">
                  <w:pPr>
                    <w:pStyle w:val="47"/>
                    <w:ind w:left="-105" w:leftChars="-50" w:right="-105" w:rightChars="-50"/>
                    <w:jc w:val="center"/>
                    <w:rPr>
                      <w:rFonts w:ascii="Times New Roman" w:cs="Times New Roman"/>
                      <w:bCs/>
                      <w:color w:val="auto"/>
                      <w:sz w:val="21"/>
                      <w:szCs w:val="21"/>
                    </w:rPr>
                  </w:pPr>
                  <w:r>
                    <w:rPr>
                      <w:rFonts w:hint="eastAsia" w:ascii="Times New Roman" w:cs="Times New Roman"/>
                      <w:bCs/>
                      <w:color w:val="auto"/>
                      <w:sz w:val="21"/>
                      <w:szCs w:val="21"/>
                    </w:rPr>
                    <w:t>生活区</w:t>
                  </w:r>
                </w:p>
              </w:tc>
              <w:tc>
                <w:tcPr>
                  <w:tcW w:w="2892" w:type="pct"/>
                  <w:tcBorders>
                    <w:tl2br w:val="nil"/>
                    <w:tr2bl w:val="nil"/>
                  </w:tcBorders>
                  <w:vAlign w:val="center"/>
                </w:tcPr>
                <w:p w14:paraId="01D091A5">
                  <w:pPr>
                    <w:pStyle w:val="47"/>
                    <w:jc w:val="center"/>
                    <w:rPr>
                      <w:rFonts w:hint="eastAsia" w:ascii="Times New Roman" w:eastAsia="宋体" w:cs="Times New Roman"/>
                      <w:bCs/>
                      <w:color w:val="auto"/>
                      <w:sz w:val="21"/>
                      <w:szCs w:val="21"/>
                      <w:lang w:eastAsia="zh-CN"/>
                    </w:rPr>
                  </w:pPr>
                  <w:r>
                    <w:rPr>
                      <w:rFonts w:ascii="Times New Roman" w:cs="Times New Roman"/>
                      <w:color w:val="auto"/>
                      <w:sz w:val="21"/>
                      <w:szCs w:val="21"/>
                    </w:rPr>
                    <w:t>食堂增设隔油池</w:t>
                  </w:r>
                  <w:r>
                    <w:rPr>
                      <w:rFonts w:hint="eastAsia" w:ascii="Times New Roman" w:cs="Times New Roman"/>
                      <w:color w:val="auto"/>
                      <w:sz w:val="21"/>
                      <w:szCs w:val="21"/>
                      <w:lang w:eastAsia="zh-CN"/>
                    </w:rPr>
                    <w:t>。新增绿化面积240m</w:t>
                  </w:r>
                  <w:r>
                    <w:rPr>
                      <w:rFonts w:hint="eastAsia" w:ascii="Times New Roman" w:cs="Times New Roman"/>
                      <w:color w:val="auto"/>
                      <w:sz w:val="21"/>
                      <w:szCs w:val="21"/>
                      <w:vertAlign w:val="superscript"/>
                      <w:lang w:eastAsia="zh-CN"/>
                    </w:rPr>
                    <w:t>2</w:t>
                  </w:r>
                  <w:r>
                    <w:rPr>
                      <w:rFonts w:hint="eastAsia" w:ascii="Times New Roman" w:cs="Times New Roman"/>
                      <w:color w:val="auto"/>
                      <w:sz w:val="21"/>
                      <w:szCs w:val="21"/>
                      <w:lang w:eastAsia="zh-CN"/>
                    </w:rPr>
                    <w:t>，共计需种植垂柳120株、丁香40株、连翘40株、榆叶梅40株、播撒黑麦草12m</w:t>
                  </w:r>
                  <w:r>
                    <w:rPr>
                      <w:rFonts w:hint="eastAsia" w:ascii="Times New Roman" w:cs="Times New Roman"/>
                      <w:color w:val="auto"/>
                      <w:sz w:val="21"/>
                      <w:szCs w:val="21"/>
                      <w:vertAlign w:val="superscript"/>
                      <w:lang w:eastAsia="zh-CN"/>
                    </w:rPr>
                    <w:t>2</w:t>
                  </w:r>
                  <w:r>
                    <w:rPr>
                      <w:rFonts w:hint="eastAsia" w:ascii="Times New Roman" w:cs="Times New Roman"/>
                      <w:color w:val="auto"/>
                      <w:sz w:val="21"/>
                      <w:szCs w:val="21"/>
                      <w:lang w:eastAsia="zh-CN"/>
                    </w:rPr>
                    <w:t>、白三叶80m</w:t>
                  </w:r>
                  <w:r>
                    <w:rPr>
                      <w:rFonts w:hint="eastAsia" w:ascii="Times New Roman" w:cs="Times New Roman"/>
                      <w:color w:val="auto"/>
                      <w:sz w:val="21"/>
                      <w:szCs w:val="21"/>
                      <w:vertAlign w:val="superscript"/>
                      <w:lang w:eastAsia="zh-CN"/>
                    </w:rPr>
                    <w:t>2</w:t>
                  </w:r>
                  <w:r>
                    <w:rPr>
                      <w:rFonts w:hint="eastAsia" w:ascii="Times New Roman" w:cs="Times New Roman"/>
                      <w:color w:val="auto"/>
                      <w:sz w:val="21"/>
                      <w:szCs w:val="21"/>
                      <w:lang w:eastAsia="zh-CN"/>
                    </w:rPr>
                    <w:t>、八宝景天40m</w:t>
                  </w:r>
                  <w:r>
                    <w:rPr>
                      <w:rFonts w:hint="eastAsia" w:ascii="Times New Roman" w:cs="Times New Roman"/>
                      <w:color w:val="auto"/>
                      <w:sz w:val="21"/>
                      <w:szCs w:val="21"/>
                      <w:vertAlign w:val="superscript"/>
                      <w:lang w:eastAsia="zh-CN"/>
                    </w:rPr>
                    <w:t>2</w:t>
                  </w:r>
                  <w:r>
                    <w:rPr>
                      <w:rFonts w:hint="eastAsia" w:ascii="Times New Roman" w:cs="Times New Roman"/>
                      <w:color w:val="auto"/>
                      <w:sz w:val="21"/>
                      <w:szCs w:val="21"/>
                      <w:lang w:eastAsia="zh-CN"/>
                    </w:rPr>
                    <w:t>。</w:t>
                  </w:r>
                </w:p>
              </w:tc>
              <w:tc>
                <w:tcPr>
                  <w:tcW w:w="768" w:type="pct"/>
                  <w:tcBorders>
                    <w:tl2br w:val="nil"/>
                    <w:tr2bl w:val="nil"/>
                  </w:tcBorders>
                  <w:vAlign w:val="center"/>
                </w:tcPr>
                <w:p w14:paraId="56AB9207">
                  <w:pPr>
                    <w:pStyle w:val="47"/>
                    <w:ind w:left="-105" w:leftChars="-50" w:right="-105" w:rightChars="-50"/>
                    <w:jc w:val="center"/>
                    <w:rPr>
                      <w:rFonts w:ascii="Times New Roman" w:cs="Times New Roman"/>
                      <w:bCs/>
                      <w:color w:val="auto"/>
                      <w:sz w:val="21"/>
                      <w:szCs w:val="21"/>
                    </w:rPr>
                  </w:pPr>
                  <w:r>
                    <w:rPr>
                      <w:rFonts w:ascii="Times New Roman" w:cs="Times New Roman"/>
                      <w:bCs/>
                      <w:color w:val="auto"/>
                      <w:sz w:val="21"/>
                      <w:szCs w:val="21"/>
                    </w:rPr>
                    <w:t>2026年</w:t>
                  </w:r>
                  <w:r>
                    <w:rPr>
                      <w:rFonts w:hint="eastAsia" w:ascii="Times New Roman" w:cs="Times New Roman"/>
                      <w:bCs/>
                      <w:color w:val="auto"/>
                      <w:sz w:val="21"/>
                      <w:szCs w:val="21"/>
                      <w:lang w:val="en-US" w:eastAsia="zh-CN"/>
                    </w:rPr>
                    <w:t>10</w:t>
                  </w:r>
                  <w:r>
                    <w:rPr>
                      <w:rFonts w:ascii="Times New Roman" w:cs="Times New Roman"/>
                      <w:bCs/>
                      <w:color w:val="auto"/>
                      <w:sz w:val="21"/>
                      <w:szCs w:val="21"/>
                    </w:rPr>
                    <w:t>月底</w:t>
                  </w:r>
                </w:p>
              </w:tc>
            </w:tr>
            <w:tr w14:paraId="6571608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97" w:type="pct"/>
                  <w:vMerge w:val="continue"/>
                  <w:tcBorders>
                    <w:tl2br w:val="nil"/>
                    <w:tr2bl w:val="nil"/>
                  </w:tcBorders>
                  <w:vAlign w:val="center"/>
                </w:tcPr>
                <w:p w14:paraId="711A9137">
                  <w:pPr>
                    <w:pStyle w:val="47"/>
                    <w:jc w:val="center"/>
                    <w:rPr>
                      <w:rFonts w:ascii="Times New Roman" w:cs="Times New Roman"/>
                      <w:bCs/>
                      <w:color w:val="auto"/>
                      <w:sz w:val="21"/>
                      <w:szCs w:val="21"/>
                    </w:rPr>
                  </w:pPr>
                </w:p>
              </w:tc>
              <w:tc>
                <w:tcPr>
                  <w:tcW w:w="574" w:type="pct"/>
                  <w:vMerge w:val="continue"/>
                  <w:tcBorders>
                    <w:tl2br w:val="nil"/>
                    <w:tr2bl w:val="nil"/>
                  </w:tcBorders>
                  <w:vAlign w:val="center"/>
                </w:tcPr>
                <w:p w14:paraId="66C26D52">
                  <w:pPr>
                    <w:pStyle w:val="47"/>
                    <w:ind w:left="-105" w:leftChars="-50" w:right="-105" w:rightChars="-50"/>
                    <w:jc w:val="center"/>
                    <w:rPr>
                      <w:rFonts w:ascii="Times New Roman" w:cs="Times New Roman"/>
                      <w:bCs/>
                      <w:color w:val="auto"/>
                      <w:sz w:val="21"/>
                      <w:szCs w:val="21"/>
                    </w:rPr>
                  </w:pPr>
                </w:p>
              </w:tc>
              <w:tc>
                <w:tcPr>
                  <w:tcW w:w="466" w:type="pct"/>
                  <w:tcBorders>
                    <w:tl2br w:val="nil"/>
                    <w:tr2bl w:val="nil"/>
                  </w:tcBorders>
                  <w:vAlign w:val="center"/>
                </w:tcPr>
                <w:p w14:paraId="0AC226B7">
                  <w:pPr>
                    <w:pStyle w:val="47"/>
                    <w:ind w:left="-105" w:leftChars="-50" w:right="-105" w:rightChars="-50"/>
                    <w:jc w:val="center"/>
                    <w:rPr>
                      <w:rFonts w:ascii="Times New Roman" w:cs="Times New Roman"/>
                      <w:bCs/>
                      <w:color w:val="auto"/>
                      <w:sz w:val="21"/>
                      <w:szCs w:val="21"/>
                    </w:rPr>
                  </w:pPr>
                  <w:r>
                    <w:rPr>
                      <w:rFonts w:hint="eastAsia" w:hAnsi="宋体"/>
                      <w:color w:val="auto"/>
                      <w:sz w:val="21"/>
                      <w:szCs w:val="21"/>
                      <w:lang w:val="en-US" w:eastAsia="zh-CN"/>
                    </w:rPr>
                    <w:t>已采区</w:t>
                  </w:r>
                  <w:r>
                    <w:rPr>
                      <w:rFonts w:hint="eastAsia" w:hAnsi="宋体"/>
                      <w:color w:val="auto"/>
                      <w:sz w:val="21"/>
                      <w:szCs w:val="21"/>
                    </w:rPr>
                    <w:t>生态恢复</w:t>
                  </w:r>
                </w:p>
              </w:tc>
              <w:tc>
                <w:tcPr>
                  <w:tcW w:w="2892" w:type="pct"/>
                  <w:tcBorders>
                    <w:tl2br w:val="nil"/>
                    <w:tr2bl w:val="nil"/>
                  </w:tcBorders>
                  <w:vAlign w:val="center"/>
                </w:tcPr>
                <w:p w14:paraId="263EF012">
                  <w:pPr>
                    <w:pStyle w:val="47"/>
                    <w:jc w:val="center"/>
                    <w:rPr>
                      <w:rFonts w:ascii="Times New Roman" w:cs="Times New Roman"/>
                      <w:bCs/>
                      <w:color w:val="auto"/>
                      <w:sz w:val="21"/>
                      <w:szCs w:val="21"/>
                    </w:rPr>
                  </w:pPr>
                  <w:r>
                    <w:rPr>
                      <w:rFonts w:ascii="Times New Roman" w:cs="Times New Roman"/>
                      <w:bCs/>
                      <w:color w:val="auto"/>
                      <w:sz w:val="21"/>
                      <w:szCs w:val="21"/>
                    </w:rPr>
                    <w:t>恢复面积</w:t>
                  </w:r>
                  <w:r>
                    <w:rPr>
                      <w:rFonts w:hint="eastAsia" w:ascii="Times New Roman" w:cs="Times New Roman"/>
                      <w:bCs/>
                      <w:color w:val="auto"/>
                      <w:sz w:val="21"/>
                      <w:szCs w:val="21"/>
                    </w:rPr>
                    <w:t>9.</w:t>
                  </w:r>
                  <w:r>
                    <w:rPr>
                      <w:rFonts w:hint="eastAsia" w:ascii="Times New Roman" w:cs="Times New Roman"/>
                      <w:bCs/>
                      <w:color w:val="auto"/>
                      <w:sz w:val="21"/>
                      <w:szCs w:val="21"/>
                      <w:lang w:val="en-US" w:eastAsia="zh-CN"/>
                    </w:rPr>
                    <w:t>3020</w:t>
                  </w:r>
                  <w:r>
                    <w:rPr>
                      <w:rFonts w:ascii="Times New Roman" w:cs="Times New Roman"/>
                      <w:bCs/>
                      <w:color w:val="auto"/>
                      <w:sz w:val="21"/>
                      <w:szCs w:val="21"/>
                    </w:rPr>
                    <w:t>hm</w:t>
                  </w:r>
                  <w:r>
                    <w:rPr>
                      <w:rFonts w:ascii="Times New Roman" w:cs="Times New Roman"/>
                      <w:bCs/>
                      <w:color w:val="auto"/>
                      <w:sz w:val="21"/>
                      <w:szCs w:val="21"/>
                      <w:vertAlign w:val="superscript"/>
                    </w:rPr>
                    <w:t>2</w:t>
                  </w:r>
                  <w:r>
                    <w:rPr>
                      <w:rFonts w:ascii="Times New Roman" w:cs="Times New Roman"/>
                      <w:bCs/>
                      <w:color w:val="auto"/>
                      <w:sz w:val="21"/>
                      <w:szCs w:val="21"/>
                    </w:rPr>
                    <w:t>，恢复为灌木林地，种植紫穗槐</w:t>
                  </w:r>
                  <w:r>
                    <w:rPr>
                      <w:rFonts w:hint="eastAsia" w:ascii="Times New Roman" w:cs="Times New Roman"/>
                      <w:bCs/>
                      <w:color w:val="auto"/>
                      <w:sz w:val="21"/>
                      <w:szCs w:val="21"/>
                      <w:lang w:val="en-US" w:eastAsia="zh-CN"/>
                    </w:rPr>
                    <w:t>93020</w:t>
                  </w:r>
                  <w:r>
                    <w:rPr>
                      <w:rFonts w:ascii="Times New Roman" w:cs="Times New Roman"/>
                      <w:bCs/>
                      <w:color w:val="auto"/>
                      <w:sz w:val="21"/>
                      <w:szCs w:val="21"/>
                    </w:rPr>
                    <w:t>株，播撒紫花苜蓿、披碱草各</w:t>
                  </w:r>
                  <w:r>
                    <w:rPr>
                      <w:rFonts w:hint="eastAsia" w:ascii="Times New Roman" w:cs="Times New Roman"/>
                      <w:bCs/>
                      <w:color w:val="auto"/>
                      <w:sz w:val="21"/>
                      <w:szCs w:val="21"/>
                    </w:rPr>
                    <w:t>1</w:t>
                  </w:r>
                  <w:r>
                    <w:rPr>
                      <w:rFonts w:hint="eastAsia" w:ascii="Times New Roman" w:cs="Times New Roman"/>
                      <w:bCs/>
                      <w:color w:val="auto"/>
                      <w:sz w:val="21"/>
                      <w:szCs w:val="21"/>
                      <w:lang w:val="en-US" w:eastAsia="zh-CN"/>
                    </w:rPr>
                    <w:t>39.53</w:t>
                  </w:r>
                  <w:r>
                    <w:rPr>
                      <w:rFonts w:ascii="Times New Roman" w:cs="Times New Roman"/>
                      <w:bCs/>
                      <w:color w:val="auto"/>
                      <w:sz w:val="21"/>
                      <w:szCs w:val="21"/>
                    </w:rPr>
                    <w:t>kg</w:t>
                  </w:r>
                </w:p>
              </w:tc>
              <w:tc>
                <w:tcPr>
                  <w:tcW w:w="768" w:type="pct"/>
                  <w:tcBorders>
                    <w:tl2br w:val="nil"/>
                    <w:tr2bl w:val="nil"/>
                  </w:tcBorders>
                  <w:vAlign w:val="center"/>
                </w:tcPr>
                <w:p w14:paraId="28926804">
                  <w:pPr>
                    <w:pStyle w:val="47"/>
                    <w:ind w:left="-105" w:leftChars="-50" w:right="-105" w:rightChars="-50"/>
                    <w:jc w:val="center"/>
                    <w:rPr>
                      <w:rFonts w:ascii="Times New Roman" w:cs="Times New Roman"/>
                      <w:bCs/>
                      <w:color w:val="auto"/>
                      <w:sz w:val="21"/>
                      <w:szCs w:val="21"/>
                    </w:rPr>
                  </w:pPr>
                  <w:r>
                    <w:rPr>
                      <w:rFonts w:ascii="Times New Roman" w:cs="Times New Roman"/>
                      <w:bCs/>
                      <w:color w:val="auto"/>
                      <w:sz w:val="21"/>
                      <w:szCs w:val="21"/>
                    </w:rPr>
                    <w:t>2026年10月底</w:t>
                  </w:r>
                </w:p>
              </w:tc>
            </w:tr>
            <w:tr w14:paraId="4451607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97" w:type="pct"/>
                  <w:vMerge w:val="continue"/>
                  <w:tcBorders>
                    <w:tl2br w:val="nil"/>
                    <w:tr2bl w:val="nil"/>
                  </w:tcBorders>
                  <w:vAlign w:val="center"/>
                </w:tcPr>
                <w:p w14:paraId="36C780E8">
                  <w:pPr>
                    <w:pStyle w:val="47"/>
                    <w:jc w:val="center"/>
                    <w:rPr>
                      <w:rFonts w:ascii="Times New Roman" w:cs="Times New Roman"/>
                      <w:bCs/>
                      <w:color w:val="auto"/>
                      <w:sz w:val="21"/>
                      <w:szCs w:val="21"/>
                    </w:rPr>
                  </w:pPr>
                </w:p>
              </w:tc>
              <w:tc>
                <w:tcPr>
                  <w:tcW w:w="574" w:type="pct"/>
                  <w:vMerge w:val="continue"/>
                  <w:tcBorders>
                    <w:tl2br w:val="nil"/>
                    <w:tr2bl w:val="nil"/>
                  </w:tcBorders>
                  <w:vAlign w:val="center"/>
                </w:tcPr>
                <w:p w14:paraId="2178D926">
                  <w:pPr>
                    <w:pStyle w:val="47"/>
                    <w:ind w:left="-105" w:leftChars="-50" w:right="-105" w:rightChars="-50"/>
                    <w:jc w:val="center"/>
                    <w:rPr>
                      <w:rFonts w:ascii="Times New Roman" w:cs="Times New Roman"/>
                      <w:bCs/>
                      <w:color w:val="auto"/>
                      <w:sz w:val="21"/>
                      <w:szCs w:val="21"/>
                    </w:rPr>
                  </w:pPr>
                </w:p>
              </w:tc>
              <w:tc>
                <w:tcPr>
                  <w:tcW w:w="849" w:type="dxa"/>
                  <w:tcBorders>
                    <w:tl2br w:val="nil"/>
                    <w:tr2bl w:val="nil"/>
                  </w:tcBorders>
                  <w:vAlign w:val="center"/>
                </w:tcPr>
                <w:p w14:paraId="01AD1616">
                  <w:pPr>
                    <w:pStyle w:val="47"/>
                    <w:ind w:left="-105" w:leftChars="-50" w:right="-105" w:rightChars="-50"/>
                    <w:jc w:val="center"/>
                    <w:rPr>
                      <w:rFonts w:hAnsi="宋体"/>
                      <w:color w:val="auto"/>
                      <w:sz w:val="21"/>
                      <w:szCs w:val="21"/>
                    </w:rPr>
                  </w:pPr>
                  <w:r>
                    <w:rPr>
                      <w:rFonts w:hint="eastAsia" w:ascii="Times New Roman" w:cs="Times New Roman"/>
                      <w:bCs/>
                      <w:color w:val="auto"/>
                      <w:sz w:val="21"/>
                      <w:szCs w:val="21"/>
                    </w:rPr>
                    <w:t>运矿道路</w:t>
                  </w:r>
                </w:p>
              </w:tc>
              <w:tc>
                <w:tcPr>
                  <w:tcW w:w="5255" w:type="dxa"/>
                  <w:tcBorders>
                    <w:tl2br w:val="nil"/>
                    <w:tr2bl w:val="nil"/>
                  </w:tcBorders>
                  <w:vAlign w:val="center"/>
                </w:tcPr>
                <w:p w14:paraId="739F0143">
                  <w:pPr>
                    <w:pStyle w:val="47"/>
                    <w:jc w:val="center"/>
                    <w:rPr>
                      <w:rFonts w:ascii="Times New Roman" w:cs="Times New Roman"/>
                      <w:bCs/>
                      <w:color w:val="auto"/>
                      <w:sz w:val="21"/>
                      <w:szCs w:val="21"/>
                    </w:rPr>
                  </w:pPr>
                  <w:r>
                    <w:rPr>
                      <w:rFonts w:hint="eastAsia" w:ascii="Times New Roman" w:cs="Times New Roman"/>
                      <w:bCs/>
                      <w:color w:val="auto"/>
                      <w:sz w:val="21"/>
                      <w:szCs w:val="21"/>
                      <w:lang w:val="en-US" w:eastAsia="zh-CN"/>
                    </w:rPr>
                    <w:t>现有</w:t>
                  </w:r>
                  <w:r>
                    <w:rPr>
                      <w:rFonts w:ascii="Times New Roman" w:cs="Times New Roman"/>
                      <w:bCs/>
                      <w:color w:val="auto"/>
                      <w:sz w:val="21"/>
                      <w:szCs w:val="21"/>
                    </w:rPr>
                    <w:t>矿区道路</w:t>
                  </w:r>
                  <w:r>
                    <w:rPr>
                      <w:rFonts w:hint="eastAsia" w:ascii="Times New Roman" w:cs="Times New Roman"/>
                      <w:bCs/>
                      <w:color w:val="auto"/>
                      <w:sz w:val="21"/>
                      <w:szCs w:val="21"/>
                      <w:lang w:val="en-US" w:eastAsia="zh-CN"/>
                    </w:rPr>
                    <w:t>路面硬化，</w:t>
                  </w:r>
                  <w:r>
                    <w:rPr>
                      <w:rFonts w:ascii="Times New Roman" w:cs="Times New Roman"/>
                      <w:bCs/>
                      <w:color w:val="auto"/>
                      <w:sz w:val="21"/>
                      <w:szCs w:val="21"/>
                    </w:rPr>
                    <w:t>在矿区道路两侧种植行道树，树种选择新疆杨，苗木规格为5年生，苗高2m，株距3.0m，</w:t>
                  </w:r>
                  <w:r>
                    <w:rPr>
                      <w:rFonts w:hint="eastAsia" w:ascii="Times New Roman" w:cs="Times New Roman"/>
                      <w:bCs/>
                      <w:color w:val="auto"/>
                      <w:sz w:val="21"/>
                      <w:szCs w:val="21"/>
                    </w:rPr>
                    <w:t>共种植</w:t>
                  </w:r>
                  <w:r>
                    <w:rPr>
                      <w:rFonts w:hint="eastAsia" w:ascii="Times New Roman" w:cs="Times New Roman"/>
                      <w:bCs/>
                      <w:color w:val="auto"/>
                      <w:sz w:val="21"/>
                      <w:szCs w:val="21"/>
                      <w:lang w:val="en-US" w:eastAsia="zh-CN"/>
                    </w:rPr>
                    <w:t>984</w:t>
                  </w:r>
                  <w:r>
                    <w:rPr>
                      <w:rFonts w:hint="eastAsia" w:ascii="Times New Roman" w:cs="Times New Roman"/>
                      <w:bCs/>
                      <w:color w:val="auto"/>
                      <w:sz w:val="21"/>
                      <w:szCs w:val="21"/>
                    </w:rPr>
                    <w:t>株</w:t>
                  </w:r>
                </w:p>
              </w:tc>
              <w:tc>
                <w:tcPr>
                  <w:tcW w:w="1396" w:type="dxa"/>
                  <w:tcBorders>
                    <w:tl2br w:val="nil"/>
                    <w:tr2bl w:val="nil"/>
                  </w:tcBorders>
                  <w:vAlign w:val="center"/>
                </w:tcPr>
                <w:p w14:paraId="01C8AE59">
                  <w:pPr>
                    <w:pStyle w:val="47"/>
                    <w:ind w:left="-105" w:leftChars="-50" w:right="-105" w:rightChars="-50"/>
                    <w:jc w:val="center"/>
                    <w:rPr>
                      <w:rFonts w:ascii="Times New Roman" w:cs="Times New Roman"/>
                      <w:bCs/>
                      <w:color w:val="auto"/>
                      <w:sz w:val="21"/>
                      <w:szCs w:val="21"/>
                    </w:rPr>
                  </w:pPr>
                  <w:r>
                    <w:rPr>
                      <w:rFonts w:ascii="Times New Roman" w:cs="Times New Roman"/>
                      <w:bCs/>
                      <w:color w:val="auto"/>
                      <w:sz w:val="21"/>
                      <w:szCs w:val="21"/>
                    </w:rPr>
                    <w:t>2026年</w:t>
                  </w:r>
                  <w:r>
                    <w:rPr>
                      <w:rFonts w:hint="eastAsia" w:ascii="Times New Roman" w:cs="Times New Roman"/>
                      <w:bCs/>
                      <w:color w:val="auto"/>
                      <w:sz w:val="21"/>
                      <w:szCs w:val="21"/>
                      <w:lang w:val="en-US" w:eastAsia="zh-CN"/>
                    </w:rPr>
                    <w:t>6</w:t>
                  </w:r>
                  <w:r>
                    <w:rPr>
                      <w:rFonts w:ascii="Times New Roman" w:cs="Times New Roman"/>
                      <w:bCs/>
                      <w:color w:val="auto"/>
                      <w:sz w:val="21"/>
                      <w:szCs w:val="21"/>
                    </w:rPr>
                    <w:t>月底</w:t>
                  </w:r>
                </w:p>
              </w:tc>
            </w:tr>
          </w:tbl>
          <w:p w14:paraId="7CE68FDD">
            <w:pPr>
              <w:pStyle w:val="4"/>
            </w:pPr>
          </w:p>
          <w:p w14:paraId="0859A78A">
            <w:pPr>
              <w:pStyle w:val="7"/>
            </w:pPr>
          </w:p>
          <w:p w14:paraId="58BD3B11"/>
          <w:p w14:paraId="09C24DFE">
            <w:pPr>
              <w:pStyle w:val="2"/>
            </w:pPr>
          </w:p>
          <w:p w14:paraId="67086E25">
            <w:pPr>
              <w:pStyle w:val="4"/>
            </w:pPr>
          </w:p>
        </w:tc>
      </w:tr>
      <w:tr w14:paraId="6CEE259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35" w:hRule="atLeast"/>
          <w:jc w:val="center"/>
        </w:trPr>
        <w:tc>
          <w:tcPr>
            <w:tcW w:w="702" w:type="dxa"/>
            <w:vAlign w:val="center"/>
          </w:tcPr>
          <w:p w14:paraId="324D974F">
            <w:pPr>
              <w:adjustRightInd w:val="0"/>
              <w:snapToGrid w:val="0"/>
              <w:jc w:val="center"/>
              <w:rPr>
                <w:rFonts w:ascii="宋体" w:hAnsi="宋体" w:cs="宋体"/>
                <w:kern w:val="0"/>
                <w:sz w:val="24"/>
              </w:rPr>
            </w:pPr>
            <w:r>
              <w:rPr>
                <w:rFonts w:hint="eastAsia" w:ascii="宋体" w:hAnsi="宋体" w:cs="宋体"/>
                <w:kern w:val="0"/>
                <w:sz w:val="24"/>
              </w:rPr>
              <w:t>生态环境保护目标</w:t>
            </w:r>
          </w:p>
        </w:tc>
        <w:tc>
          <w:tcPr>
            <w:tcW w:w="9063" w:type="dxa"/>
            <w:vAlign w:val="center"/>
          </w:tcPr>
          <w:p w14:paraId="24ABA92B">
            <w:pPr>
              <w:keepNext w:val="0"/>
              <w:keepLines w:val="0"/>
              <w:pageBreakBefore w:val="0"/>
              <w:widowControl w:val="0"/>
              <w:kinsoku/>
              <w:wordWrap/>
              <w:overflowPunct/>
              <w:topLinePunct w:val="0"/>
              <w:autoSpaceDE/>
              <w:autoSpaceDN/>
              <w:bidi w:val="0"/>
              <w:adjustRightInd w:val="0"/>
              <w:snapToGrid w:val="0"/>
              <w:spacing w:line="480" w:lineRule="exact"/>
              <w:ind w:firstLine="482" w:firstLineChars="200"/>
              <w:textAlignment w:val="auto"/>
              <w:rPr>
                <w:b/>
                <w:bCs/>
                <w:sz w:val="24"/>
              </w:rPr>
            </w:pPr>
            <w:r>
              <w:rPr>
                <w:rFonts w:hint="eastAsia"/>
                <w:b/>
                <w:bCs/>
                <w:sz w:val="24"/>
              </w:rPr>
              <w:t>1.大气环境</w:t>
            </w:r>
          </w:p>
          <w:p w14:paraId="646A59ED">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sz w:val="24"/>
              </w:rPr>
            </w:pPr>
            <w:r>
              <w:rPr>
                <w:rFonts w:hint="eastAsia"/>
                <w:sz w:val="24"/>
              </w:rPr>
              <w:t>矿界500m范围内无自然保护区、风景名胜区和其他需要特殊保护的区域，</w:t>
            </w:r>
            <w:r>
              <w:rPr>
                <w:rFonts w:hint="eastAsia"/>
                <w:sz w:val="24"/>
                <w:highlight w:val="none"/>
              </w:rPr>
              <w:t>本项目矿界</w:t>
            </w:r>
            <w:r>
              <w:rPr>
                <w:rFonts w:hint="eastAsia"/>
                <w:sz w:val="24"/>
                <w:highlight w:val="none"/>
                <w:lang w:val="en-US" w:eastAsia="zh-CN"/>
              </w:rPr>
              <w:t>东</w:t>
            </w:r>
            <w:r>
              <w:rPr>
                <w:rFonts w:hint="eastAsia"/>
                <w:sz w:val="24"/>
                <w:highlight w:val="none"/>
              </w:rPr>
              <w:t>侧紧邻盂县西潘宋庄红花沟石料厂</w:t>
            </w:r>
            <w:r>
              <w:rPr>
                <w:rFonts w:hint="eastAsia"/>
                <w:kern w:val="0"/>
                <w:sz w:val="24"/>
                <w:highlight w:val="none"/>
                <w:lang w:bidi="ar"/>
              </w:rPr>
              <w:t>，</w:t>
            </w:r>
            <w:r>
              <w:rPr>
                <w:rFonts w:hint="eastAsia"/>
                <w:sz w:val="24"/>
              </w:rPr>
              <w:t>矿界西侧</w:t>
            </w:r>
            <w:r>
              <w:rPr>
                <w:sz w:val="24"/>
              </w:rPr>
              <w:t>53</w:t>
            </w:r>
            <w:r>
              <w:rPr>
                <w:rFonts w:hint="eastAsia"/>
                <w:sz w:val="24"/>
              </w:rPr>
              <w:t>0m处为宋家庄村，本项目无大气环境保护目标</w:t>
            </w:r>
            <w:r>
              <w:rPr>
                <w:rFonts w:hint="eastAsia"/>
                <w:kern w:val="0"/>
                <w:sz w:val="24"/>
              </w:rPr>
              <w:t>。</w:t>
            </w:r>
          </w:p>
          <w:p w14:paraId="22EA082E">
            <w:pPr>
              <w:keepNext w:val="0"/>
              <w:keepLines w:val="0"/>
              <w:pageBreakBefore w:val="0"/>
              <w:widowControl w:val="0"/>
              <w:kinsoku/>
              <w:wordWrap/>
              <w:overflowPunct/>
              <w:topLinePunct w:val="0"/>
              <w:autoSpaceDE/>
              <w:autoSpaceDN/>
              <w:bidi w:val="0"/>
              <w:adjustRightInd w:val="0"/>
              <w:snapToGrid w:val="0"/>
              <w:spacing w:line="480" w:lineRule="exact"/>
              <w:ind w:firstLine="482" w:firstLineChars="200"/>
              <w:textAlignment w:val="auto"/>
              <w:rPr>
                <w:b/>
                <w:bCs/>
                <w:sz w:val="24"/>
              </w:rPr>
            </w:pPr>
            <w:r>
              <w:rPr>
                <w:rFonts w:hint="eastAsia"/>
                <w:b/>
                <w:bCs/>
                <w:sz w:val="24"/>
              </w:rPr>
              <w:t>2.地表水环境</w:t>
            </w:r>
          </w:p>
          <w:p w14:paraId="15497109">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sz w:val="24"/>
              </w:rPr>
            </w:pPr>
            <w:r>
              <w:rPr>
                <w:rFonts w:hint="eastAsia"/>
                <w:sz w:val="24"/>
              </w:rPr>
              <w:t>矿界附近地表水体为乌河，位于本项目矿界</w:t>
            </w:r>
            <w:r>
              <w:rPr>
                <w:rFonts w:hint="eastAsia"/>
                <w:bCs/>
                <w:sz w:val="24"/>
              </w:rPr>
              <w:t>西</w:t>
            </w:r>
            <w:r>
              <w:rPr>
                <w:bCs/>
                <w:sz w:val="24"/>
              </w:rPr>
              <w:t>侧</w:t>
            </w:r>
            <w:r>
              <w:rPr>
                <w:rFonts w:hint="eastAsia"/>
                <w:bCs/>
                <w:sz w:val="24"/>
              </w:rPr>
              <w:t>约1.5km</w:t>
            </w:r>
            <w:r>
              <w:rPr>
                <w:rFonts w:hint="eastAsia"/>
                <w:sz w:val="24"/>
              </w:rPr>
              <w:t>处。</w:t>
            </w:r>
            <w:r>
              <w:rPr>
                <w:rFonts w:hint="eastAsia"/>
                <w:bCs/>
                <w:sz w:val="24"/>
              </w:rPr>
              <w:t>根据《山西省地表水环境功能区划》（DB14/67-2019），水环境功能为</w:t>
            </w:r>
            <w:r>
              <w:rPr>
                <w:rFonts w:hint="eastAsia"/>
                <w:kern w:val="0"/>
                <w:sz w:val="24"/>
              </w:rPr>
              <w:t>保留区水源保护</w:t>
            </w:r>
            <w:r>
              <w:rPr>
                <w:rFonts w:hint="eastAsia"/>
                <w:bCs/>
                <w:sz w:val="24"/>
              </w:rPr>
              <w:t>，水质要求为</w:t>
            </w:r>
            <w:r>
              <w:rPr>
                <w:kern w:val="0"/>
                <w:sz w:val="24"/>
              </w:rPr>
              <w:t>Ⅲ</w:t>
            </w:r>
            <w:r>
              <w:rPr>
                <w:rFonts w:hint="eastAsia"/>
                <w:bCs/>
                <w:sz w:val="24"/>
              </w:rPr>
              <w:t>类。矿区附近地表水体见</w:t>
            </w:r>
            <w:r>
              <w:rPr>
                <w:rFonts w:hint="eastAsia"/>
                <w:kern w:val="0"/>
                <w:sz w:val="24"/>
              </w:rPr>
              <w:t>表3-</w:t>
            </w:r>
            <w:r>
              <w:rPr>
                <w:rFonts w:hint="eastAsia"/>
                <w:kern w:val="0"/>
                <w:sz w:val="24"/>
                <w:lang w:val="en-US" w:eastAsia="zh-CN"/>
              </w:rPr>
              <w:t>10</w:t>
            </w:r>
            <w:r>
              <w:rPr>
                <w:rFonts w:hint="eastAsia"/>
                <w:kern w:val="0"/>
                <w:sz w:val="24"/>
              </w:rPr>
              <w:t>。</w:t>
            </w:r>
          </w:p>
          <w:p w14:paraId="3A0285D1">
            <w:pPr>
              <w:keepNext w:val="0"/>
              <w:keepLines w:val="0"/>
              <w:pageBreakBefore w:val="0"/>
              <w:widowControl w:val="0"/>
              <w:kinsoku/>
              <w:wordWrap/>
              <w:overflowPunct/>
              <w:topLinePunct w:val="0"/>
              <w:autoSpaceDE/>
              <w:autoSpaceDN/>
              <w:bidi w:val="0"/>
              <w:spacing w:line="480" w:lineRule="exact"/>
              <w:jc w:val="center"/>
              <w:textAlignment w:val="auto"/>
              <w:rPr>
                <w:szCs w:val="21"/>
                <w:lang w:bidi="ar"/>
              </w:rPr>
            </w:pPr>
            <w:r>
              <w:rPr>
                <w:rFonts w:hint="eastAsia"/>
                <w:szCs w:val="21"/>
                <w:lang w:bidi="ar"/>
              </w:rPr>
              <w:t>表3-</w:t>
            </w:r>
            <w:r>
              <w:rPr>
                <w:rFonts w:hint="eastAsia"/>
                <w:szCs w:val="21"/>
                <w:lang w:val="en-US" w:eastAsia="zh-CN" w:bidi="ar"/>
              </w:rPr>
              <w:t>10</w:t>
            </w:r>
            <w:r>
              <w:rPr>
                <w:szCs w:val="21"/>
                <w:lang w:bidi="ar"/>
              </w:rPr>
              <w:t xml:space="preserve">  </w:t>
            </w:r>
            <w:r>
              <w:rPr>
                <w:rFonts w:hint="eastAsia"/>
                <w:szCs w:val="21"/>
                <w:lang w:bidi="ar"/>
              </w:rPr>
              <w:t xml:space="preserve"> 矿区附近地表水体</w:t>
            </w:r>
          </w:p>
          <w:tbl>
            <w:tblPr>
              <w:tblStyle w:val="3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70"/>
              <w:gridCol w:w="2273"/>
              <w:gridCol w:w="2273"/>
              <w:gridCol w:w="2273"/>
            </w:tblGrid>
            <w:tr w14:paraId="3F248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9" w:type="pct"/>
                  <w:tcBorders>
                    <w:tl2br w:val="nil"/>
                    <w:tr2bl w:val="nil"/>
                  </w:tcBorders>
                  <w:vAlign w:val="center"/>
                </w:tcPr>
                <w:p w14:paraId="5D50B8B2">
                  <w:pPr>
                    <w:jc w:val="center"/>
                    <w:rPr>
                      <w:szCs w:val="21"/>
                    </w:rPr>
                  </w:pPr>
                  <w:r>
                    <w:rPr>
                      <w:rFonts w:hint="eastAsia"/>
                      <w:szCs w:val="21"/>
                    </w:rPr>
                    <w:t>地表水体名称</w:t>
                  </w:r>
                </w:p>
              </w:tc>
              <w:tc>
                <w:tcPr>
                  <w:tcW w:w="1250" w:type="pct"/>
                  <w:tcBorders>
                    <w:tl2br w:val="nil"/>
                    <w:tr2bl w:val="nil"/>
                  </w:tcBorders>
                  <w:vAlign w:val="center"/>
                </w:tcPr>
                <w:p w14:paraId="4D74070F">
                  <w:pPr>
                    <w:jc w:val="center"/>
                    <w:rPr>
                      <w:szCs w:val="21"/>
                    </w:rPr>
                  </w:pPr>
                  <w:r>
                    <w:rPr>
                      <w:rFonts w:hint="eastAsia"/>
                      <w:szCs w:val="21"/>
                    </w:rPr>
                    <w:t>位置关系</w:t>
                  </w:r>
                </w:p>
              </w:tc>
              <w:tc>
                <w:tcPr>
                  <w:tcW w:w="1250" w:type="pct"/>
                  <w:tcBorders>
                    <w:tl2br w:val="nil"/>
                    <w:tr2bl w:val="nil"/>
                  </w:tcBorders>
                  <w:vAlign w:val="center"/>
                </w:tcPr>
                <w:p w14:paraId="6381D7A6">
                  <w:pPr>
                    <w:jc w:val="center"/>
                    <w:rPr>
                      <w:szCs w:val="21"/>
                    </w:rPr>
                  </w:pPr>
                  <w:r>
                    <w:rPr>
                      <w:rFonts w:hint="eastAsia"/>
                      <w:szCs w:val="21"/>
                    </w:rPr>
                    <w:t>水体功能</w:t>
                  </w:r>
                </w:p>
              </w:tc>
              <w:tc>
                <w:tcPr>
                  <w:tcW w:w="1250" w:type="pct"/>
                  <w:tcBorders>
                    <w:tl2br w:val="nil"/>
                    <w:tr2bl w:val="nil"/>
                  </w:tcBorders>
                  <w:vAlign w:val="center"/>
                </w:tcPr>
                <w:p w14:paraId="641AE1BA">
                  <w:pPr>
                    <w:jc w:val="center"/>
                    <w:rPr>
                      <w:szCs w:val="21"/>
                    </w:rPr>
                  </w:pPr>
                  <w:r>
                    <w:rPr>
                      <w:rFonts w:hint="eastAsia"/>
                      <w:szCs w:val="21"/>
                    </w:rPr>
                    <w:t>环境质量标准</w:t>
                  </w:r>
                </w:p>
              </w:tc>
            </w:tr>
            <w:tr w14:paraId="2347C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9" w:type="pct"/>
                  <w:tcBorders>
                    <w:tl2br w:val="nil"/>
                    <w:tr2bl w:val="nil"/>
                  </w:tcBorders>
                  <w:vAlign w:val="center"/>
                </w:tcPr>
                <w:p w14:paraId="223B1987">
                  <w:pPr>
                    <w:jc w:val="center"/>
                    <w:rPr>
                      <w:szCs w:val="21"/>
                    </w:rPr>
                  </w:pPr>
                  <w:r>
                    <w:rPr>
                      <w:rFonts w:hint="eastAsia"/>
                      <w:szCs w:val="21"/>
                    </w:rPr>
                    <w:t>乌河</w:t>
                  </w:r>
                </w:p>
              </w:tc>
              <w:tc>
                <w:tcPr>
                  <w:tcW w:w="1250" w:type="pct"/>
                  <w:tcBorders>
                    <w:tl2br w:val="nil"/>
                    <w:tr2bl w:val="nil"/>
                  </w:tcBorders>
                  <w:vAlign w:val="center"/>
                </w:tcPr>
                <w:p w14:paraId="1FB0A94F">
                  <w:pPr>
                    <w:jc w:val="center"/>
                    <w:rPr>
                      <w:szCs w:val="21"/>
                    </w:rPr>
                  </w:pPr>
                  <w:r>
                    <w:rPr>
                      <w:rFonts w:hint="eastAsia"/>
                      <w:szCs w:val="21"/>
                    </w:rPr>
                    <w:t>矿界西</w:t>
                  </w:r>
                  <w:r>
                    <w:rPr>
                      <w:szCs w:val="21"/>
                    </w:rPr>
                    <w:t>1.5</w:t>
                  </w:r>
                  <w:r>
                    <w:rPr>
                      <w:rFonts w:hint="eastAsia"/>
                      <w:szCs w:val="21"/>
                    </w:rPr>
                    <w:t>km</w:t>
                  </w:r>
                </w:p>
              </w:tc>
              <w:tc>
                <w:tcPr>
                  <w:tcW w:w="1250" w:type="pct"/>
                  <w:tcBorders>
                    <w:tl2br w:val="nil"/>
                    <w:tr2bl w:val="nil"/>
                  </w:tcBorders>
                  <w:vAlign w:val="center"/>
                </w:tcPr>
                <w:p w14:paraId="5BE884CC">
                  <w:pPr>
                    <w:jc w:val="center"/>
                    <w:rPr>
                      <w:szCs w:val="21"/>
                    </w:rPr>
                  </w:pPr>
                  <w:r>
                    <w:rPr>
                      <w:rFonts w:hint="eastAsia"/>
                      <w:szCs w:val="21"/>
                    </w:rPr>
                    <w:t>保留区水源保护</w:t>
                  </w:r>
                </w:p>
              </w:tc>
              <w:tc>
                <w:tcPr>
                  <w:tcW w:w="1250" w:type="pct"/>
                  <w:tcBorders>
                    <w:tl2br w:val="nil"/>
                    <w:tr2bl w:val="nil"/>
                  </w:tcBorders>
                  <w:vAlign w:val="center"/>
                </w:tcPr>
                <w:p w14:paraId="41E57DAF">
                  <w:pPr>
                    <w:jc w:val="center"/>
                    <w:rPr>
                      <w:szCs w:val="21"/>
                    </w:rPr>
                  </w:pPr>
                  <w:r>
                    <w:rPr>
                      <w:rFonts w:hint="default" w:ascii="Times New Roman" w:hAnsi="Times New Roman" w:cs="Times New Roman"/>
                      <w:bCs/>
                      <w:sz w:val="24"/>
                    </w:rPr>
                    <w:t>Ⅲ</w:t>
                  </w:r>
                  <w:r>
                    <w:rPr>
                      <w:rFonts w:hint="eastAsia"/>
                      <w:bCs/>
                      <w:szCs w:val="21"/>
                    </w:rPr>
                    <w:t>类</w:t>
                  </w:r>
                </w:p>
              </w:tc>
            </w:tr>
          </w:tbl>
          <w:p w14:paraId="388168E4">
            <w:pPr>
              <w:adjustRightInd w:val="0"/>
              <w:snapToGrid w:val="0"/>
              <w:spacing w:line="480" w:lineRule="exact"/>
              <w:ind w:firstLine="482" w:firstLineChars="200"/>
              <w:rPr>
                <w:b/>
                <w:bCs/>
                <w:sz w:val="24"/>
              </w:rPr>
            </w:pPr>
            <w:r>
              <w:rPr>
                <w:rFonts w:hint="eastAsia"/>
                <w:b/>
                <w:bCs/>
                <w:sz w:val="24"/>
              </w:rPr>
              <w:t>3.声环境</w:t>
            </w:r>
          </w:p>
          <w:p w14:paraId="73716ABF">
            <w:pPr>
              <w:adjustRightInd w:val="0"/>
              <w:snapToGrid w:val="0"/>
              <w:spacing w:line="480" w:lineRule="exact"/>
              <w:ind w:firstLine="480" w:firstLineChars="200"/>
              <w:rPr>
                <w:sz w:val="24"/>
              </w:rPr>
            </w:pPr>
            <w:r>
              <w:rPr>
                <w:rFonts w:hint="eastAsia"/>
                <w:sz w:val="24"/>
              </w:rPr>
              <w:t>矿界外50m范围内无声环境保护目标。</w:t>
            </w:r>
          </w:p>
          <w:p w14:paraId="62C53CF3">
            <w:pPr>
              <w:adjustRightInd w:val="0"/>
              <w:snapToGrid w:val="0"/>
              <w:spacing w:line="480" w:lineRule="exact"/>
              <w:ind w:firstLine="482" w:firstLineChars="200"/>
              <w:rPr>
                <w:b/>
                <w:bCs/>
                <w:sz w:val="24"/>
              </w:rPr>
            </w:pPr>
            <w:r>
              <w:rPr>
                <w:rFonts w:hint="eastAsia"/>
                <w:b/>
                <w:bCs/>
                <w:sz w:val="24"/>
              </w:rPr>
              <w:t>4.地下水环境</w:t>
            </w:r>
          </w:p>
          <w:p w14:paraId="47CC08B5">
            <w:pPr>
              <w:adjustRightInd w:val="0"/>
              <w:snapToGrid w:val="0"/>
              <w:spacing w:line="480" w:lineRule="exact"/>
              <w:ind w:firstLine="480" w:firstLineChars="200"/>
              <w:rPr>
                <w:sz w:val="24"/>
              </w:rPr>
            </w:pPr>
            <w:r>
              <w:rPr>
                <w:rFonts w:hint="eastAsia"/>
                <w:sz w:val="24"/>
              </w:rPr>
              <w:t>本项目不在娘子关泉域范围内，矿界周边500m范围内无地下水集中式饮用水水源及其他特殊地下水资源。</w:t>
            </w:r>
          </w:p>
          <w:p w14:paraId="24582C0B">
            <w:pPr>
              <w:adjustRightInd w:val="0"/>
              <w:snapToGrid w:val="0"/>
              <w:spacing w:line="480" w:lineRule="exact"/>
              <w:ind w:firstLine="482" w:firstLineChars="200"/>
              <w:rPr>
                <w:b/>
                <w:bCs/>
                <w:sz w:val="24"/>
              </w:rPr>
            </w:pPr>
            <w:r>
              <w:rPr>
                <w:rFonts w:hint="eastAsia"/>
                <w:b/>
                <w:bCs/>
                <w:sz w:val="24"/>
              </w:rPr>
              <w:t>5.生态环境</w:t>
            </w:r>
          </w:p>
          <w:p w14:paraId="1EEC775F">
            <w:pPr>
              <w:adjustRightInd w:val="0"/>
              <w:snapToGrid w:val="0"/>
              <w:spacing w:line="480" w:lineRule="exact"/>
              <w:ind w:firstLine="480" w:firstLineChars="200"/>
              <w:rPr>
                <w:sz w:val="24"/>
              </w:rPr>
            </w:pPr>
            <w:r>
              <w:rPr>
                <w:rFonts w:hint="eastAsia"/>
                <w:sz w:val="24"/>
              </w:rPr>
              <w:t>项目评价区内无国家公园、自然保护区、自然公园等自然保护地、世界自然遗产、生态保护红线等区域、重要生境等生态敏感保护目标。生态保护目标主要为矿区及周边林地生态系统。</w:t>
            </w:r>
          </w:p>
          <w:p w14:paraId="65AF8BE4">
            <w:pPr>
              <w:adjustRightInd w:val="0"/>
              <w:snapToGrid w:val="0"/>
              <w:rPr>
                <w:rFonts w:ascii="宋体" w:hAnsi="宋体" w:cs="宋体"/>
                <w:color w:val="FF0000"/>
                <w:kern w:val="0"/>
                <w:sz w:val="24"/>
              </w:rPr>
            </w:pPr>
          </w:p>
          <w:p w14:paraId="3E8B9EBD">
            <w:pPr>
              <w:pStyle w:val="4"/>
            </w:pPr>
          </w:p>
          <w:p w14:paraId="2F8F6A60">
            <w:pPr>
              <w:pStyle w:val="7"/>
            </w:pPr>
          </w:p>
          <w:p w14:paraId="1BAE1854"/>
          <w:p w14:paraId="5CE12B2C"/>
          <w:p w14:paraId="63714B11"/>
          <w:p w14:paraId="11E3AEC3"/>
          <w:p w14:paraId="52AB02AF"/>
          <w:p w14:paraId="4C331352"/>
          <w:p w14:paraId="37844592"/>
          <w:p w14:paraId="425BCEF9"/>
          <w:p w14:paraId="046AE3E2">
            <w:pPr>
              <w:pStyle w:val="7"/>
              <w:ind w:left="0" w:leftChars="0"/>
            </w:pPr>
          </w:p>
        </w:tc>
      </w:tr>
      <w:tr w14:paraId="22A0EAF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29" w:hRule="atLeast"/>
          <w:jc w:val="center"/>
        </w:trPr>
        <w:tc>
          <w:tcPr>
            <w:tcW w:w="702" w:type="dxa"/>
            <w:vAlign w:val="center"/>
          </w:tcPr>
          <w:p w14:paraId="39AF2760">
            <w:pPr>
              <w:adjustRightInd w:val="0"/>
              <w:snapToGrid w:val="0"/>
              <w:jc w:val="center"/>
              <w:rPr>
                <w:rFonts w:ascii="宋体" w:hAnsi="宋体" w:cs="宋体"/>
                <w:kern w:val="0"/>
                <w:sz w:val="24"/>
              </w:rPr>
            </w:pPr>
            <w:r>
              <w:rPr>
                <w:rFonts w:hint="eastAsia" w:ascii="宋体" w:hAnsi="宋体" w:cs="宋体"/>
                <w:kern w:val="0"/>
                <w:sz w:val="24"/>
              </w:rPr>
              <w:t>评价</w:t>
            </w:r>
          </w:p>
          <w:p w14:paraId="0C35D8B0">
            <w:pPr>
              <w:adjustRightInd w:val="0"/>
              <w:snapToGrid w:val="0"/>
              <w:jc w:val="center"/>
              <w:rPr>
                <w:rFonts w:ascii="宋体" w:hAnsi="宋体" w:cs="宋体"/>
                <w:kern w:val="0"/>
                <w:sz w:val="24"/>
              </w:rPr>
            </w:pPr>
            <w:r>
              <w:rPr>
                <w:rFonts w:hint="eastAsia" w:ascii="宋体" w:hAnsi="宋体" w:cs="宋体"/>
                <w:kern w:val="0"/>
                <w:sz w:val="24"/>
              </w:rPr>
              <w:t>标准</w:t>
            </w:r>
          </w:p>
        </w:tc>
        <w:tc>
          <w:tcPr>
            <w:tcW w:w="9063" w:type="dxa"/>
            <w:vAlign w:val="center"/>
          </w:tcPr>
          <w:p w14:paraId="1DF7330D">
            <w:pPr>
              <w:keepNext w:val="0"/>
              <w:keepLines w:val="0"/>
              <w:pageBreakBefore w:val="0"/>
              <w:widowControl w:val="0"/>
              <w:kinsoku/>
              <w:wordWrap/>
              <w:overflowPunct/>
              <w:topLinePunct w:val="0"/>
              <w:autoSpaceDE/>
              <w:autoSpaceDN/>
              <w:bidi w:val="0"/>
              <w:adjustRightInd w:val="0"/>
              <w:snapToGrid w:val="0"/>
              <w:spacing w:line="480" w:lineRule="exact"/>
              <w:textAlignment w:val="auto"/>
              <w:rPr>
                <w:b/>
                <w:bCs/>
                <w:kern w:val="0"/>
                <w:sz w:val="24"/>
              </w:rPr>
            </w:pPr>
            <w:r>
              <w:rPr>
                <w:b/>
                <w:bCs/>
                <w:kern w:val="0"/>
                <w:sz w:val="24"/>
              </w:rPr>
              <w:t>一、环境质量标准</w:t>
            </w:r>
          </w:p>
          <w:p w14:paraId="5D0532CF">
            <w:pPr>
              <w:keepNext w:val="0"/>
              <w:keepLines w:val="0"/>
              <w:pageBreakBefore w:val="0"/>
              <w:widowControl w:val="0"/>
              <w:kinsoku/>
              <w:wordWrap/>
              <w:overflowPunct/>
              <w:topLinePunct w:val="0"/>
              <w:autoSpaceDE/>
              <w:autoSpaceDN/>
              <w:bidi w:val="0"/>
              <w:adjustRightInd w:val="0"/>
              <w:snapToGrid w:val="0"/>
              <w:spacing w:line="480" w:lineRule="exact"/>
              <w:ind w:firstLine="482" w:firstLineChars="200"/>
              <w:textAlignment w:val="auto"/>
              <w:rPr>
                <w:b/>
                <w:bCs/>
                <w:kern w:val="0"/>
                <w:sz w:val="24"/>
              </w:rPr>
            </w:pPr>
            <w:r>
              <w:rPr>
                <w:rFonts w:hint="eastAsia"/>
                <w:b/>
                <w:bCs/>
                <w:kern w:val="0"/>
                <w:sz w:val="24"/>
              </w:rPr>
              <w:t>1.</w:t>
            </w:r>
            <w:r>
              <w:rPr>
                <w:b/>
                <w:bCs/>
                <w:kern w:val="0"/>
                <w:sz w:val="24"/>
              </w:rPr>
              <w:t>环境空气质量标准</w:t>
            </w:r>
          </w:p>
          <w:p w14:paraId="3B47A5B0">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szCs w:val="21"/>
                <w:lang w:bidi="ar"/>
              </w:rPr>
            </w:pPr>
            <w:r>
              <w:rPr>
                <w:kern w:val="0"/>
                <w:sz w:val="24"/>
              </w:rPr>
              <w:t>项目区域</w:t>
            </w:r>
            <w:r>
              <w:rPr>
                <w:rFonts w:hint="eastAsia"/>
                <w:kern w:val="0"/>
                <w:sz w:val="24"/>
                <w:lang w:val="en-US" w:eastAsia="zh-CN"/>
              </w:rPr>
              <w:t>基本项目</w:t>
            </w:r>
            <w:r>
              <w:rPr>
                <w:kern w:val="0"/>
                <w:sz w:val="24"/>
              </w:rPr>
              <w:t>环境空气质量执行</w:t>
            </w:r>
            <w:r>
              <w:rPr>
                <w:kern w:val="21"/>
                <w:sz w:val="24"/>
                <w:lang w:bidi="ar"/>
              </w:rPr>
              <w:t>《环境空气质量标准》（GB3095-20</w:t>
            </w:r>
            <w:r>
              <w:rPr>
                <w:rFonts w:hint="eastAsia"/>
                <w:kern w:val="21"/>
                <w:sz w:val="24"/>
                <w:lang w:val="en-US" w:eastAsia="zh-CN" w:bidi="ar"/>
              </w:rPr>
              <w:t>26</w:t>
            </w:r>
            <w:r>
              <w:rPr>
                <w:kern w:val="21"/>
                <w:sz w:val="24"/>
                <w:lang w:bidi="ar"/>
              </w:rPr>
              <w:t>）</w:t>
            </w:r>
            <w:r>
              <w:rPr>
                <w:rFonts w:hint="eastAsia"/>
                <w:kern w:val="21"/>
                <w:sz w:val="24"/>
                <w:lang w:val="en-US" w:eastAsia="zh-CN" w:bidi="ar"/>
              </w:rPr>
              <w:t>表1中过渡阶段</w:t>
            </w:r>
            <w:r>
              <w:rPr>
                <w:kern w:val="21"/>
                <w:sz w:val="24"/>
                <w:lang w:bidi="ar"/>
              </w:rPr>
              <w:t>二级</w:t>
            </w:r>
            <w:r>
              <w:rPr>
                <w:rFonts w:hint="eastAsia"/>
                <w:kern w:val="21"/>
                <w:sz w:val="24"/>
                <w:lang w:val="en-US" w:eastAsia="zh-CN" w:bidi="ar"/>
              </w:rPr>
              <w:t>浓度限值</w:t>
            </w:r>
            <w:r>
              <w:rPr>
                <w:kern w:val="21"/>
                <w:sz w:val="24"/>
                <w:lang w:bidi="ar"/>
              </w:rPr>
              <w:t>，</w:t>
            </w:r>
            <w:r>
              <w:rPr>
                <w:rFonts w:hint="eastAsia"/>
                <w:kern w:val="21"/>
                <w:sz w:val="24"/>
                <w:lang w:val="en-US" w:eastAsia="zh-CN" w:bidi="ar"/>
              </w:rPr>
              <w:t>TSP执行</w:t>
            </w:r>
            <w:r>
              <w:rPr>
                <w:kern w:val="21"/>
                <w:sz w:val="24"/>
                <w:lang w:bidi="ar"/>
              </w:rPr>
              <w:t>《环境空气质量标准》（GB3095-20</w:t>
            </w:r>
            <w:r>
              <w:rPr>
                <w:rFonts w:hint="eastAsia"/>
                <w:kern w:val="21"/>
                <w:sz w:val="24"/>
                <w:lang w:val="en-US" w:eastAsia="zh-CN" w:bidi="ar"/>
              </w:rPr>
              <w:t>26</w:t>
            </w:r>
            <w:r>
              <w:rPr>
                <w:kern w:val="21"/>
                <w:sz w:val="24"/>
                <w:lang w:bidi="ar"/>
              </w:rPr>
              <w:t>）</w:t>
            </w:r>
            <w:r>
              <w:rPr>
                <w:rFonts w:hint="eastAsia"/>
                <w:kern w:val="21"/>
                <w:sz w:val="24"/>
                <w:lang w:val="en-US" w:eastAsia="zh-CN" w:bidi="ar"/>
              </w:rPr>
              <w:t>表2中</w:t>
            </w:r>
            <w:r>
              <w:rPr>
                <w:kern w:val="21"/>
                <w:sz w:val="24"/>
                <w:lang w:bidi="ar"/>
              </w:rPr>
              <w:t>二级</w:t>
            </w:r>
            <w:r>
              <w:rPr>
                <w:rFonts w:hint="eastAsia"/>
                <w:kern w:val="21"/>
                <w:sz w:val="24"/>
                <w:lang w:val="en-US" w:eastAsia="zh-CN" w:bidi="ar"/>
              </w:rPr>
              <w:t>浓度限值，</w:t>
            </w:r>
            <w:r>
              <w:rPr>
                <w:kern w:val="21"/>
                <w:sz w:val="24"/>
                <w:lang w:bidi="ar"/>
              </w:rPr>
              <w:t>详见下表。</w:t>
            </w:r>
          </w:p>
          <w:p w14:paraId="457C402E">
            <w:pPr>
              <w:pStyle w:val="15"/>
              <w:keepNext w:val="0"/>
              <w:keepLines w:val="0"/>
              <w:pageBreakBefore w:val="0"/>
              <w:widowControl w:val="0"/>
              <w:tabs>
                <w:tab w:val="left" w:pos="2340"/>
              </w:tabs>
              <w:kinsoku/>
              <w:wordWrap/>
              <w:overflowPunct/>
              <w:topLinePunct w:val="0"/>
              <w:autoSpaceDE/>
              <w:autoSpaceDN/>
              <w:bidi w:val="0"/>
              <w:spacing w:line="480" w:lineRule="exact"/>
              <w:textAlignment w:val="auto"/>
              <w:rPr>
                <w:rFonts w:eastAsia="宋体"/>
                <w:sz w:val="21"/>
                <w:szCs w:val="21"/>
              </w:rPr>
            </w:pPr>
            <w:r>
              <w:rPr>
                <w:rFonts w:eastAsia="宋体"/>
                <w:sz w:val="21"/>
                <w:szCs w:val="21"/>
                <w:lang w:bidi="ar"/>
              </w:rPr>
              <w:t>表3-</w:t>
            </w:r>
            <w:r>
              <w:rPr>
                <w:rFonts w:hint="eastAsia" w:eastAsia="宋体"/>
                <w:sz w:val="21"/>
                <w:szCs w:val="21"/>
                <w:lang w:val="en-US" w:eastAsia="zh-CN" w:bidi="ar"/>
              </w:rPr>
              <w:t>11</w:t>
            </w:r>
            <w:r>
              <w:rPr>
                <w:rFonts w:eastAsia="宋体"/>
                <w:sz w:val="21"/>
                <w:szCs w:val="21"/>
                <w:lang w:bidi="ar"/>
              </w:rPr>
              <w:t xml:space="preserve"> 环境空气质量评价标准  （μg/m</w:t>
            </w:r>
            <w:r>
              <w:rPr>
                <w:rFonts w:hint="eastAsia" w:eastAsia="宋体"/>
                <w:sz w:val="21"/>
                <w:szCs w:val="21"/>
                <w:vertAlign w:val="superscript"/>
                <w:lang w:bidi="ar"/>
              </w:rPr>
              <w:t>3</w:t>
            </w:r>
            <w:r>
              <w:rPr>
                <w:rFonts w:eastAsia="宋体"/>
                <w:sz w:val="21"/>
                <w:szCs w:val="21"/>
                <w:lang w:bidi="ar"/>
              </w:rPr>
              <w:t>）</w:t>
            </w:r>
          </w:p>
          <w:tbl>
            <w:tblPr>
              <w:tblStyle w:val="29"/>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50"/>
              <w:gridCol w:w="792"/>
              <w:gridCol w:w="1024"/>
              <w:gridCol w:w="1024"/>
              <w:gridCol w:w="1024"/>
              <w:gridCol w:w="1024"/>
              <w:gridCol w:w="1024"/>
              <w:gridCol w:w="1024"/>
            </w:tblGrid>
            <w:tr w14:paraId="2F4CE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1183" w:type="pct"/>
                  <w:tcBorders>
                    <w:tl2br w:val="nil"/>
                    <w:tr2bl w:val="nil"/>
                  </w:tcBorders>
                  <w:vAlign w:val="center"/>
                </w:tcPr>
                <w:p w14:paraId="109A3BF0">
                  <w:pPr>
                    <w:pStyle w:val="18"/>
                    <w:adjustRightInd w:val="0"/>
                    <w:snapToGrid w:val="0"/>
                    <w:spacing w:line="240" w:lineRule="atLeast"/>
                    <w:jc w:val="center"/>
                    <w:rPr>
                      <w:rFonts w:ascii="Times New Roman" w:hAnsi="Times New Roman"/>
                      <w:szCs w:val="21"/>
                    </w:rPr>
                  </w:pPr>
                  <w:r>
                    <w:rPr>
                      <w:rFonts w:ascii="Times New Roman" w:hAnsi="Times New Roman"/>
                      <w:szCs w:val="21"/>
                    </w:rPr>
                    <w:t>项目</w:t>
                  </w:r>
                </w:p>
              </w:tc>
              <w:tc>
                <w:tcPr>
                  <w:tcW w:w="436" w:type="pct"/>
                  <w:tcBorders>
                    <w:tl2br w:val="nil"/>
                    <w:tr2bl w:val="nil"/>
                  </w:tcBorders>
                  <w:vAlign w:val="center"/>
                </w:tcPr>
                <w:p w14:paraId="12461B81">
                  <w:pPr>
                    <w:adjustRightInd w:val="0"/>
                    <w:snapToGrid w:val="0"/>
                    <w:spacing w:line="240" w:lineRule="atLeast"/>
                    <w:jc w:val="center"/>
                    <w:rPr>
                      <w:szCs w:val="21"/>
                    </w:rPr>
                  </w:pPr>
                  <w:r>
                    <w:rPr>
                      <w:szCs w:val="21"/>
                    </w:rPr>
                    <w:t>NO</w:t>
                  </w:r>
                  <w:r>
                    <w:rPr>
                      <w:szCs w:val="21"/>
                      <w:vertAlign w:val="subscript"/>
                    </w:rPr>
                    <w:t>2</w:t>
                  </w:r>
                </w:p>
              </w:tc>
              <w:tc>
                <w:tcPr>
                  <w:tcW w:w="563" w:type="pct"/>
                  <w:tcBorders>
                    <w:tl2br w:val="nil"/>
                    <w:tr2bl w:val="nil"/>
                  </w:tcBorders>
                  <w:vAlign w:val="center"/>
                </w:tcPr>
                <w:p w14:paraId="32381A2A">
                  <w:pPr>
                    <w:adjustRightInd w:val="0"/>
                    <w:snapToGrid w:val="0"/>
                    <w:spacing w:line="240" w:lineRule="atLeast"/>
                    <w:jc w:val="center"/>
                    <w:rPr>
                      <w:szCs w:val="21"/>
                    </w:rPr>
                  </w:pPr>
                  <w:r>
                    <w:rPr>
                      <w:szCs w:val="21"/>
                    </w:rPr>
                    <w:t>SO</w:t>
                  </w:r>
                  <w:r>
                    <w:rPr>
                      <w:szCs w:val="21"/>
                      <w:vertAlign w:val="subscript"/>
                    </w:rPr>
                    <w:t>2</w:t>
                  </w:r>
                </w:p>
              </w:tc>
              <w:tc>
                <w:tcPr>
                  <w:tcW w:w="563" w:type="pct"/>
                  <w:tcBorders>
                    <w:tl2br w:val="nil"/>
                    <w:tr2bl w:val="nil"/>
                  </w:tcBorders>
                  <w:vAlign w:val="center"/>
                </w:tcPr>
                <w:p w14:paraId="5B4E229E">
                  <w:pPr>
                    <w:adjustRightInd w:val="0"/>
                    <w:snapToGrid w:val="0"/>
                    <w:spacing w:line="240" w:lineRule="atLeast"/>
                    <w:jc w:val="center"/>
                    <w:rPr>
                      <w:szCs w:val="21"/>
                    </w:rPr>
                  </w:pPr>
                  <w:r>
                    <w:rPr>
                      <w:szCs w:val="21"/>
                    </w:rPr>
                    <w:t>TSP</w:t>
                  </w:r>
                </w:p>
              </w:tc>
              <w:tc>
                <w:tcPr>
                  <w:tcW w:w="563" w:type="pct"/>
                  <w:tcBorders>
                    <w:tl2br w:val="nil"/>
                    <w:tr2bl w:val="nil"/>
                  </w:tcBorders>
                  <w:vAlign w:val="center"/>
                </w:tcPr>
                <w:p w14:paraId="795B8028">
                  <w:pPr>
                    <w:adjustRightInd w:val="0"/>
                    <w:snapToGrid w:val="0"/>
                    <w:spacing w:line="240" w:lineRule="atLeast"/>
                    <w:jc w:val="center"/>
                    <w:rPr>
                      <w:szCs w:val="21"/>
                    </w:rPr>
                  </w:pPr>
                  <w:r>
                    <w:rPr>
                      <w:szCs w:val="21"/>
                    </w:rPr>
                    <w:t>PM</w:t>
                  </w:r>
                  <w:r>
                    <w:rPr>
                      <w:szCs w:val="21"/>
                      <w:vertAlign w:val="subscript"/>
                    </w:rPr>
                    <w:t>2.5</w:t>
                  </w:r>
                </w:p>
              </w:tc>
              <w:tc>
                <w:tcPr>
                  <w:tcW w:w="563" w:type="pct"/>
                  <w:tcBorders>
                    <w:tl2br w:val="nil"/>
                    <w:tr2bl w:val="nil"/>
                  </w:tcBorders>
                  <w:vAlign w:val="center"/>
                </w:tcPr>
                <w:p w14:paraId="4B2A4281">
                  <w:pPr>
                    <w:adjustRightInd w:val="0"/>
                    <w:snapToGrid w:val="0"/>
                    <w:spacing w:line="240" w:lineRule="atLeast"/>
                    <w:jc w:val="center"/>
                    <w:rPr>
                      <w:szCs w:val="21"/>
                    </w:rPr>
                  </w:pPr>
                  <w:r>
                    <w:rPr>
                      <w:szCs w:val="21"/>
                    </w:rPr>
                    <w:t>PM</w:t>
                  </w:r>
                  <w:r>
                    <w:rPr>
                      <w:szCs w:val="21"/>
                      <w:vertAlign w:val="subscript"/>
                    </w:rPr>
                    <w:t>10</w:t>
                  </w:r>
                </w:p>
              </w:tc>
              <w:tc>
                <w:tcPr>
                  <w:tcW w:w="563" w:type="pct"/>
                  <w:tcBorders>
                    <w:tl2br w:val="nil"/>
                    <w:tr2bl w:val="nil"/>
                  </w:tcBorders>
                  <w:vAlign w:val="center"/>
                </w:tcPr>
                <w:p w14:paraId="7D4D2457">
                  <w:pPr>
                    <w:adjustRightInd w:val="0"/>
                    <w:snapToGrid w:val="0"/>
                    <w:spacing w:line="240" w:lineRule="atLeast"/>
                    <w:jc w:val="center"/>
                    <w:rPr>
                      <w:szCs w:val="21"/>
                    </w:rPr>
                  </w:pPr>
                  <w:r>
                    <w:rPr>
                      <w:szCs w:val="21"/>
                    </w:rPr>
                    <w:t>CO</w:t>
                  </w:r>
                </w:p>
              </w:tc>
              <w:tc>
                <w:tcPr>
                  <w:tcW w:w="563" w:type="pct"/>
                  <w:tcBorders>
                    <w:tl2br w:val="nil"/>
                    <w:tr2bl w:val="nil"/>
                  </w:tcBorders>
                  <w:vAlign w:val="center"/>
                </w:tcPr>
                <w:p w14:paraId="32B1DBD8">
                  <w:pPr>
                    <w:adjustRightInd w:val="0"/>
                    <w:snapToGrid w:val="0"/>
                    <w:spacing w:line="240" w:lineRule="atLeast"/>
                    <w:jc w:val="center"/>
                    <w:rPr>
                      <w:szCs w:val="21"/>
                    </w:rPr>
                  </w:pPr>
                  <w:r>
                    <w:rPr>
                      <w:szCs w:val="21"/>
                    </w:rPr>
                    <w:t>O</w:t>
                  </w:r>
                  <w:r>
                    <w:rPr>
                      <w:szCs w:val="21"/>
                      <w:vertAlign w:val="subscript"/>
                    </w:rPr>
                    <w:t>3</w:t>
                  </w:r>
                </w:p>
              </w:tc>
            </w:tr>
            <w:tr w14:paraId="7DAF8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3" w:type="pct"/>
                  <w:tcBorders>
                    <w:tl2br w:val="nil"/>
                    <w:tr2bl w:val="nil"/>
                  </w:tcBorders>
                  <w:vAlign w:val="center"/>
                </w:tcPr>
                <w:p w14:paraId="19CDE886">
                  <w:pPr>
                    <w:adjustRightInd w:val="0"/>
                    <w:snapToGrid w:val="0"/>
                    <w:spacing w:line="240" w:lineRule="atLeast"/>
                    <w:jc w:val="center"/>
                    <w:rPr>
                      <w:szCs w:val="21"/>
                    </w:rPr>
                  </w:pPr>
                  <w:r>
                    <w:rPr>
                      <w:szCs w:val="21"/>
                    </w:rPr>
                    <w:t>年平均</w:t>
                  </w:r>
                </w:p>
              </w:tc>
              <w:tc>
                <w:tcPr>
                  <w:tcW w:w="436" w:type="pct"/>
                  <w:tcBorders>
                    <w:tl2br w:val="nil"/>
                    <w:tr2bl w:val="nil"/>
                  </w:tcBorders>
                  <w:vAlign w:val="center"/>
                </w:tcPr>
                <w:p w14:paraId="5EFEAB8F">
                  <w:pPr>
                    <w:adjustRightInd w:val="0"/>
                    <w:snapToGrid w:val="0"/>
                    <w:spacing w:line="240" w:lineRule="atLeast"/>
                    <w:jc w:val="center"/>
                    <w:rPr>
                      <w:color w:val="FF0000"/>
                      <w:szCs w:val="21"/>
                    </w:rPr>
                  </w:pPr>
                  <w:r>
                    <w:rPr>
                      <w:color w:val="auto"/>
                      <w:szCs w:val="21"/>
                    </w:rPr>
                    <w:t>40</w:t>
                  </w:r>
                </w:p>
              </w:tc>
              <w:tc>
                <w:tcPr>
                  <w:tcW w:w="563" w:type="pct"/>
                  <w:tcBorders>
                    <w:tl2br w:val="nil"/>
                    <w:tr2bl w:val="nil"/>
                  </w:tcBorders>
                  <w:vAlign w:val="center"/>
                </w:tcPr>
                <w:p w14:paraId="46A5B29D">
                  <w:pPr>
                    <w:adjustRightInd w:val="0"/>
                    <w:snapToGrid w:val="0"/>
                    <w:spacing w:line="240" w:lineRule="atLeast"/>
                    <w:jc w:val="center"/>
                    <w:rPr>
                      <w:color w:val="FF0000"/>
                      <w:szCs w:val="21"/>
                    </w:rPr>
                  </w:pPr>
                  <w:r>
                    <w:rPr>
                      <w:color w:val="auto"/>
                      <w:szCs w:val="21"/>
                    </w:rPr>
                    <w:t>60</w:t>
                  </w:r>
                </w:p>
              </w:tc>
              <w:tc>
                <w:tcPr>
                  <w:tcW w:w="563" w:type="pct"/>
                  <w:tcBorders>
                    <w:tl2br w:val="nil"/>
                    <w:tr2bl w:val="nil"/>
                  </w:tcBorders>
                  <w:vAlign w:val="center"/>
                </w:tcPr>
                <w:p w14:paraId="0F5CF54C">
                  <w:pPr>
                    <w:adjustRightInd w:val="0"/>
                    <w:snapToGrid w:val="0"/>
                    <w:spacing w:line="240" w:lineRule="atLeast"/>
                    <w:jc w:val="center"/>
                    <w:rPr>
                      <w:color w:val="FF0000"/>
                      <w:szCs w:val="21"/>
                    </w:rPr>
                  </w:pPr>
                  <w:r>
                    <w:rPr>
                      <w:color w:val="auto"/>
                      <w:szCs w:val="21"/>
                    </w:rPr>
                    <w:t>200</w:t>
                  </w:r>
                </w:p>
              </w:tc>
              <w:tc>
                <w:tcPr>
                  <w:tcW w:w="563" w:type="pct"/>
                  <w:tcBorders>
                    <w:tl2br w:val="nil"/>
                    <w:tr2bl w:val="nil"/>
                  </w:tcBorders>
                  <w:vAlign w:val="center"/>
                </w:tcPr>
                <w:p w14:paraId="30197B98">
                  <w:pPr>
                    <w:adjustRightInd w:val="0"/>
                    <w:snapToGrid w:val="0"/>
                    <w:spacing w:line="240" w:lineRule="atLeast"/>
                    <w:jc w:val="center"/>
                    <w:rPr>
                      <w:rFonts w:hint="default" w:eastAsia="宋体"/>
                      <w:color w:val="auto"/>
                      <w:szCs w:val="21"/>
                      <w:lang w:val="en-US" w:eastAsia="zh-CN"/>
                    </w:rPr>
                  </w:pPr>
                  <w:r>
                    <w:rPr>
                      <w:rFonts w:hint="eastAsia"/>
                      <w:color w:val="auto"/>
                      <w:szCs w:val="21"/>
                      <w:lang w:val="en-US" w:eastAsia="zh-CN"/>
                    </w:rPr>
                    <w:t>30</w:t>
                  </w:r>
                </w:p>
              </w:tc>
              <w:tc>
                <w:tcPr>
                  <w:tcW w:w="563" w:type="pct"/>
                  <w:tcBorders>
                    <w:tl2br w:val="nil"/>
                    <w:tr2bl w:val="nil"/>
                  </w:tcBorders>
                  <w:vAlign w:val="center"/>
                </w:tcPr>
                <w:p w14:paraId="3D3F81FF">
                  <w:pPr>
                    <w:adjustRightInd w:val="0"/>
                    <w:snapToGrid w:val="0"/>
                    <w:spacing w:line="240" w:lineRule="atLeast"/>
                    <w:jc w:val="center"/>
                    <w:rPr>
                      <w:rFonts w:hint="default" w:eastAsia="宋体"/>
                      <w:color w:val="auto"/>
                      <w:szCs w:val="21"/>
                      <w:lang w:val="en-US" w:eastAsia="zh-CN"/>
                    </w:rPr>
                  </w:pPr>
                  <w:r>
                    <w:rPr>
                      <w:rFonts w:hint="eastAsia"/>
                      <w:color w:val="auto"/>
                      <w:szCs w:val="21"/>
                      <w:lang w:val="en-US" w:eastAsia="zh-CN"/>
                    </w:rPr>
                    <w:t>60</w:t>
                  </w:r>
                </w:p>
              </w:tc>
              <w:tc>
                <w:tcPr>
                  <w:tcW w:w="563" w:type="pct"/>
                  <w:tcBorders>
                    <w:tl2br w:val="nil"/>
                    <w:tr2bl w:val="nil"/>
                  </w:tcBorders>
                  <w:vAlign w:val="center"/>
                </w:tcPr>
                <w:p w14:paraId="372BF8F4">
                  <w:pPr>
                    <w:adjustRightInd w:val="0"/>
                    <w:snapToGrid w:val="0"/>
                    <w:spacing w:line="240" w:lineRule="atLeast"/>
                    <w:jc w:val="center"/>
                    <w:rPr>
                      <w:color w:val="auto"/>
                      <w:szCs w:val="21"/>
                    </w:rPr>
                  </w:pPr>
                  <w:r>
                    <w:rPr>
                      <w:color w:val="auto"/>
                      <w:szCs w:val="21"/>
                    </w:rPr>
                    <w:t>/</w:t>
                  </w:r>
                </w:p>
              </w:tc>
              <w:tc>
                <w:tcPr>
                  <w:tcW w:w="563" w:type="pct"/>
                  <w:tcBorders>
                    <w:tl2br w:val="nil"/>
                    <w:tr2bl w:val="nil"/>
                  </w:tcBorders>
                  <w:vAlign w:val="center"/>
                </w:tcPr>
                <w:p w14:paraId="6F2E20A2">
                  <w:pPr>
                    <w:adjustRightInd w:val="0"/>
                    <w:snapToGrid w:val="0"/>
                    <w:spacing w:line="240" w:lineRule="atLeast"/>
                    <w:jc w:val="center"/>
                    <w:rPr>
                      <w:color w:val="auto"/>
                      <w:szCs w:val="21"/>
                    </w:rPr>
                  </w:pPr>
                  <w:r>
                    <w:rPr>
                      <w:color w:val="auto"/>
                      <w:szCs w:val="21"/>
                    </w:rPr>
                    <w:t>/</w:t>
                  </w:r>
                </w:p>
              </w:tc>
            </w:tr>
            <w:tr w14:paraId="06E83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3" w:type="pct"/>
                  <w:tcBorders>
                    <w:tl2br w:val="nil"/>
                    <w:tr2bl w:val="nil"/>
                  </w:tcBorders>
                  <w:vAlign w:val="center"/>
                </w:tcPr>
                <w:p w14:paraId="36E0A687">
                  <w:pPr>
                    <w:adjustRightInd w:val="0"/>
                    <w:snapToGrid w:val="0"/>
                    <w:spacing w:line="240" w:lineRule="atLeast"/>
                    <w:jc w:val="center"/>
                    <w:rPr>
                      <w:szCs w:val="21"/>
                    </w:rPr>
                  </w:pPr>
                  <w:r>
                    <w:rPr>
                      <w:rFonts w:hint="eastAsia"/>
                      <w:szCs w:val="21"/>
                      <w:lang w:val="en-US" w:eastAsia="zh-CN"/>
                    </w:rPr>
                    <w:t>日</w:t>
                  </w:r>
                  <w:r>
                    <w:rPr>
                      <w:szCs w:val="21"/>
                    </w:rPr>
                    <w:t>平均</w:t>
                  </w:r>
                </w:p>
              </w:tc>
              <w:tc>
                <w:tcPr>
                  <w:tcW w:w="436" w:type="pct"/>
                  <w:tcBorders>
                    <w:tl2br w:val="nil"/>
                    <w:tr2bl w:val="nil"/>
                  </w:tcBorders>
                  <w:vAlign w:val="center"/>
                </w:tcPr>
                <w:p w14:paraId="4E0FA4D8">
                  <w:pPr>
                    <w:adjustRightInd w:val="0"/>
                    <w:snapToGrid w:val="0"/>
                    <w:spacing w:line="240" w:lineRule="atLeast"/>
                    <w:jc w:val="center"/>
                    <w:rPr>
                      <w:color w:val="auto"/>
                      <w:szCs w:val="21"/>
                    </w:rPr>
                  </w:pPr>
                  <w:r>
                    <w:rPr>
                      <w:color w:val="auto"/>
                      <w:szCs w:val="21"/>
                    </w:rPr>
                    <w:t>80</w:t>
                  </w:r>
                </w:p>
              </w:tc>
              <w:tc>
                <w:tcPr>
                  <w:tcW w:w="563" w:type="pct"/>
                  <w:tcBorders>
                    <w:tl2br w:val="nil"/>
                    <w:tr2bl w:val="nil"/>
                  </w:tcBorders>
                  <w:vAlign w:val="center"/>
                </w:tcPr>
                <w:p w14:paraId="19B57133">
                  <w:pPr>
                    <w:adjustRightInd w:val="0"/>
                    <w:snapToGrid w:val="0"/>
                    <w:spacing w:line="240" w:lineRule="atLeast"/>
                    <w:jc w:val="center"/>
                    <w:rPr>
                      <w:color w:val="auto"/>
                      <w:szCs w:val="21"/>
                    </w:rPr>
                  </w:pPr>
                  <w:r>
                    <w:rPr>
                      <w:color w:val="auto"/>
                      <w:szCs w:val="21"/>
                    </w:rPr>
                    <w:t>150</w:t>
                  </w:r>
                </w:p>
              </w:tc>
              <w:tc>
                <w:tcPr>
                  <w:tcW w:w="563" w:type="pct"/>
                  <w:tcBorders>
                    <w:tl2br w:val="nil"/>
                    <w:tr2bl w:val="nil"/>
                  </w:tcBorders>
                  <w:vAlign w:val="center"/>
                </w:tcPr>
                <w:p w14:paraId="6D986D6D">
                  <w:pPr>
                    <w:adjustRightInd w:val="0"/>
                    <w:snapToGrid w:val="0"/>
                    <w:spacing w:line="240" w:lineRule="atLeast"/>
                    <w:jc w:val="center"/>
                    <w:rPr>
                      <w:color w:val="FF0000"/>
                      <w:szCs w:val="21"/>
                    </w:rPr>
                  </w:pPr>
                  <w:r>
                    <w:rPr>
                      <w:color w:val="auto"/>
                      <w:szCs w:val="21"/>
                    </w:rPr>
                    <w:t>300</w:t>
                  </w:r>
                </w:p>
              </w:tc>
              <w:tc>
                <w:tcPr>
                  <w:tcW w:w="563" w:type="pct"/>
                  <w:tcBorders>
                    <w:tl2br w:val="nil"/>
                    <w:tr2bl w:val="nil"/>
                  </w:tcBorders>
                  <w:vAlign w:val="center"/>
                </w:tcPr>
                <w:p w14:paraId="34EE1BC3">
                  <w:pPr>
                    <w:adjustRightInd w:val="0"/>
                    <w:snapToGrid w:val="0"/>
                    <w:spacing w:line="240" w:lineRule="atLeast"/>
                    <w:jc w:val="center"/>
                    <w:rPr>
                      <w:rFonts w:hint="default" w:eastAsia="宋体"/>
                      <w:color w:val="auto"/>
                      <w:szCs w:val="21"/>
                      <w:lang w:val="en-US" w:eastAsia="zh-CN"/>
                    </w:rPr>
                  </w:pPr>
                  <w:r>
                    <w:rPr>
                      <w:rFonts w:hint="eastAsia"/>
                      <w:color w:val="auto"/>
                      <w:szCs w:val="21"/>
                      <w:lang w:val="en-US" w:eastAsia="zh-CN"/>
                    </w:rPr>
                    <w:t>60</w:t>
                  </w:r>
                </w:p>
              </w:tc>
              <w:tc>
                <w:tcPr>
                  <w:tcW w:w="563" w:type="pct"/>
                  <w:tcBorders>
                    <w:tl2br w:val="nil"/>
                    <w:tr2bl w:val="nil"/>
                  </w:tcBorders>
                  <w:vAlign w:val="center"/>
                </w:tcPr>
                <w:p w14:paraId="47BA305F">
                  <w:pPr>
                    <w:adjustRightInd w:val="0"/>
                    <w:snapToGrid w:val="0"/>
                    <w:spacing w:line="240" w:lineRule="atLeast"/>
                    <w:jc w:val="center"/>
                    <w:rPr>
                      <w:rFonts w:hint="default" w:eastAsia="宋体"/>
                      <w:color w:val="auto"/>
                      <w:szCs w:val="21"/>
                      <w:lang w:val="en-US" w:eastAsia="zh-CN"/>
                    </w:rPr>
                  </w:pPr>
                  <w:r>
                    <w:rPr>
                      <w:rFonts w:hint="eastAsia"/>
                      <w:color w:val="auto"/>
                      <w:szCs w:val="21"/>
                      <w:lang w:val="en-US" w:eastAsia="zh-CN"/>
                    </w:rPr>
                    <w:t>120</w:t>
                  </w:r>
                </w:p>
              </w:tc>
              <w:tc>
                <w:tcPr>
                  <w:tcW w:w="563" w:type="pct"/>
                  <w:tcBorders>
                    <w:tl2br w:val="nil"/>
                    <w:tr2bl w:val="nil"/>
                  </w:tcBorders>
                  <w:vAlign w:val="center"/>
                </w:tcPr>
                <w:p w14:paraId="16995E0D">
                  <w:pPr>
                    <w:adjustRightInd w:val="0"/>
                    <w:snapToGrid w:val="0"/>
                    <w:spacing w:line="240" w:lineRule="atLeast"/>
                    <w:jc w:val="center"/>
                    <w:rPr>
                      <w:color w:val="auto"/>
                      <w:szCs w:val="21"/>
                    </w:rPr>
                  </w:pPr>
                  <w:r>
                    <w:rPr>
                      <w:color w:val="auto"/>
                      <w:szCs w:val="21"/>
                    </w:rPr>
                    <w:t>4000</w:t>
                  </w:r>
                </w:p>
              </w:tc>
              <w:tc>
                <w:tcPr>
                  <w:tcW w:w="563" w:type="pct"/>
                  <w:tcBorders>
                    <w:tl2br w:val="nil"/>
                    <w:tr2bl w:val="nil"/>
                  </w:tcBorders>
                  <w:vAlign w:val="center"/>
                </w:tcPr>
                <w:p w14:paraId="0DC7921C">
                  <w:pPr>
                    <w:adjustRightInd w:val="0"/>
                    <w:snapToGrid w:val="0"/>
                    <w:spacing w:line="240" w:lineRule="atLeast"/>
                    <w:jc w:val="center"/>
                    <w:rPr>
                      <w:color w:val="auto"/>
                      <w:szCs w:val="21"/>
                    </w:rPr>
                  </w:pPr>
                  <w:r>
                    <w:rPr>
                      <w:color w:val="auto"/>
                      <w:szCs w:val="21"/>
                    </w:rPr>
                    <w:t>/</w:t>
                  </w:r>
                </w:p>
              </w:tc>
            </w:tr>
            <w:tr w14:paraId="5824C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3" w:type="pct"/>
                  <w:tcBorders>
                    <w:tl2br w:val="nil"/>
                    <w:tr2bl w:val="nil"/>
                  </w:tcBorders>
                  <w:vAlign w:val="center"/>
                </w:tcPr>
                <w:p w14:paraId="335D7ADA">
                  <w:pPr>
                    <w:adjustRightInd w:val="0"/>
                    <w:snapToGrid w:val="0"/>
                    <w:spacing w:line="240" w:lineRule="atLeast"/>
                    <w:jc w:val="center"/>
                    <w:rPr>
                      <w:szCs w:val="21"/>
                    </w:rPr>
                  </w:pPr>
                  <w:r>
                    <w:rPr>
                      <w:szCs w:val="21"/>
                    </w:rPr>
                    <w:t>日最大8小时平均</w:t>
                  </w:r>
                </w:p>
              </w:tc>
              <w:tc>
                <w:tcPr>
                  <w:tcW w:w="436" w:type="pct"/>
                  <w:tcBorders>
                    <w:tl2br w:val="nil"/>
                    <w:tr2bl w:val="nil"/>
                  </w:tcBorders>
                  <w:vAlign w:val="center"/>
                </w:tcPr>
                <w:p w14:paraId="46C04F9A">
                  <w:pPr>
                    <w:adjustRightInd w:val="0"/>
                    <w:snapToGrid w:val="0"/>
                    <w:spacing w:line="240" w:lineRule="atLeast"/>
                    <w:jc w:val="center"/>
                    <w:rPr>
                      <w:color w:val="auto"/>
                      <w:szCs w:val="21"/>
                    </w:rPr>
                  </w:pPr>
                  <w:r>
                    <w:rPr>
                      <w:color w:val="auto"/>
                      <w:szCs w:val="21"/>
                    </w:rPr>
                    <w:t>/</w:t>
                  </w:r>
                </w:p>
              </w:tc>
              <w:tc>
                <w:tcPr>
                  <w:tcW w:w="563" w:type="pct"/>
                  <w:tcBorders>
                    <w:tl2br w:val="nil"/>
                    <w:tr2bl w:val="nil"/>
                  </w:tcBorders>
                  <w:vAlign w:val="center"/>
                </w:tcPr>
                <w:p w14:paraId="2A25EE66">
                  <w:pPr>
                    <w:adjustRightInd w:val="0"/>
                    <w:snapToGrid w:val="0"/>
                    <w:spacing w:line="240" w:lineRule="atLeast"/>
                    <w:jc w:val="center"/>
                    <w:rPr>
                      <w:color w:val="auto"/>
                      <w:szCs w:val="21"/>
                    </w:rPr>
                  </w:pPr>
                  <w:r>
                    <w:rPr>
                      <w:color w:val="auto"/>
                      <w:szCs w:val="21"/>
                    </w:rPr>
                    <w:t>/</w:t>
                  </w:r>
                </w:p>
              </w:tc>
              <w:tc>
                <w:tcPr>
                  <w:tcW w:w="563" w:type="pct"/>
                  <w:tcBorders>
                    <w:tl2br w:val="nil"/>
                    <w:tr2bl w:val="nil"/>
                  </w:tcBorders>
                  <w:vAlign w:val="center"/>
                </w:tcPr>
                <w:p w14:paraId="483C5DB7">
                  <w:pPr>
                    <w:adjustRightInd w:val="0"/>
                    <w:snapToGrid w:val="0"/>
                    <w:spacing w:line="240" w:lineRule="atLeast"/>
                    <w:jc w:val="center"/>
                    <w:rPr>
                      <w:color w:val="auto"/>
                      <w:szCs w:val="21"/>
                    </w:rPr>
                  </w:pPr>
                  <w:r>
                    <w:rPr>
                      <w:color w:val="auto"/>
                      <w:szCs w:val="21"/>
                    </w:rPr>
                    <w:t>/</w:t>
                  </w:r>
                </w:p>
              </w:tc>
              <w:tc>
                <w:tcPr>
                  <w:tcW w:w="563" w:type="pct"/>
                  <w:tcBorders>
                    <w:tl2br w:val="nil"/>
                    <w:tr2bl w:val="nil"/>
                  </w:tcBorders>
                  <w:vAlign w:val="center"/>
                </w:tcPr>
                <w:p w14:paraId="3C745A00">
                  <w:pPr>
                    <w:adjustRightInd w:val="0"/>
                    <w:snapToGrid w:val="0"/>
                    <w:spacing w:line="240" w:lineRule="atLeast"/>
                    <w:jc w:val="center"/>
                    <w:rPr>
                      <w:color w:val="auto"/>
                      <w:szCs w:val="21"/>
                    </w:rPr>
                  </w:pPr>
                  <w:r>
                    <w:rPr>
                      <w:color w:val="auto"/>
                      <w:szCs w:val="21"/>
                    </w:rPr>
                    <w:t>/</w:t>
                  </w:r>
                </w:p>
              </w:tc>
              <w:tc>
                <w:tcPr>
                  <w:tcW w:w="563" w:type="pct"/>
                  <w:tcBorders>
                    <w:tl2br w:val="nil"/>
                    <w:tr2bl w:val="nil"/>
                  </w:tcBorders>
                  <w:vAlign w:val="center"/>
                </w:tcPr>
                <w:p w14:paraId="0BE42844">
                  <w:pPr>
                    <w:adjustRightInd w:val="0"/>
                    <w:snapToGrid w:val="0"/>
                    <w:spacing w:line="240" w:lineRule="atLeast"/>
                    <w:jc w:val="center"/>
                    <w:rPr>
                      <w:color w:val="auto"/>
                      <w:szCs w:val="21"/>
                    </w:rPr>
                  </w:pPr>
                  <w:r>
                    <w:rPr>
                      <w:color w:val="auto"/>
                      <w:szCs w:val="21"/>
                    </w:rPr>
                    <w:t>/</w:t>
                  </w:r>
                </w:p>
              </w:tc>
              <w:tc>
                <w:tcPr>
                  <w:tcW w:w="563" w:type="pct"/>
                  <w:tcBorders>
                    <w:tl2br w:val="nil"/>
                    <w:tr2bl w:val="nil"/>
                  </w:tcBorders>
                  <w:vAlign w:val="center"/>
                </w:tcPr>
                <w:p w14:paraId="60B9D060">
                  <w:pPr>
                    <w:adjustRightInd w:val="0"/>
                    <w:snapToGrid w:val="0"/>
                    <w:spacing w:line="240" w:lineRule="atLeast"/>
                    <w:jc w:val="center"/>
                    <w:rPr>
                      <w:color w:val="auto"/>
                      <w:szCs w:val="21"/>
                    </w:rPr>
                  </w:pPr>
                  <w:r>
                    <w:rPr>
                      <w:color w:val="auto"/>
                      <w:szCs w:val="21"/>
                    </w:rPr>
                    <w:t>/</w:t>
                  </w:r>
                </w:p>
              </w:tc>
              <w:tc>
                <w:tcPr>
                  <w:tcW w:w="563" w:type="pct"/>
                  <w:tcBorders>
                    <w:tl2br w:val="nil"/>
                    <w:tr2bl w:val="nil"/>
                  </w:tcBorders>
                  <w:vAlign w:val="center"/>
                </w:tcPr>
                <w:p w14:paraId="02E05333">
                  <w:pPr>
                    <w:adjustRightInd w:val="0"/>
                    <w:snapToGrid w:val="0"/>
                    <w:spacing w:line="240" w:lineRule="atLeast"/>
                    <w:jc w:val="center"/>
                    <w:rPr>
                      <w:color w:val="auto"/>
                      <w:szCs w:val="21"/>
                    </w:rPr>
                  </w:pPr>
                  <w:r>
                    <w:rPr>
                      <w:color w:val="auto"/>
                      <w:szCs w:val="21"/>
                    </w:rPr>
                    <w:t>160</w:t>
                  </w:r>
                </w:p>
              </w:tc>
            </w:tr>
            <w:tr w14:paraId="70CF9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3" w:type="pct"/>
                  <w:tcBorders>
                    <w:tl2br w:val="nil"/>
                    <w:tr2bl w:val="nil"/>
                  </w:tcBorders>
                  <w:vAlign w:val="center"/>
                </w:tcPr>
                <w:p w14:paraId="05B36701">
                  <w:pPr>
                    <w:adjustRightInd w:val="0"/>
                    <w:snapToGrid w:val="0"/>
                    <w:spacing w:line="240" w:lineRule="atLeast"/>
                    <w:jc w:val="center"/>
                    <w:rPr>
                      <w:szCs w:val="21"/>
                    </w:rPr>
                  </w:pPr>
                  <w:r>
                    <w:rPr>
                      <w:szCs w:val="21"/>
                    </w:rPr>
                    <w:t>1小时平均</w:t>
                  </w:r>
                </w:p>
              </w:tc>
              <w:tc>
                <w:tcPr>
                  <w:tcW w:w="436" w:type="pct"/>
                  <w:tcBorders>
                    <w:tl2br w:val="nil"/>
                    <w:tr2bl w:val="nil"/>
                  </w:tcBorders>
                  <w:vAlign w:val="center"/>
                </w:tcPr>
                <w:p w14:paraId="3A2E02C2">
                  <w:pPr>
                    <w:adjustRightInd w:val="0"/>
                    <w:snapToGrid w:val="0"/>
                    <w:spacing w:line="240" w:lineRule="atLeast"/>
                    <w:jc w:val="center"/>
                    <w:rPr>
                      <w:color w:val="auto"/>
                      <w:szCs w:val="21"/>
                    </w:rPr>
                  </w:pPr>
                  <w:r>
                    <w:rPr>
                      <w:color w:val="auto"/>
                      <w:szCs w:val="21"/>
                    </w:rPr>
                    <w:t>200</w:t>
                  </w:r>
                </w:p>
              </w:tc>
              <w:tc>
                <w:tcPr>
                  <w:tcW w:w="563" w:type="pct"/>
                  <w:tcBorders>
                    <w:tl2br w:val="nil"/>
                    <w:tr2bl w:val="nil"/>
                  </w:tcBorders>
                  <w:vAlign w:val="center"/>
                </w:tcPr>
                <w:p w14:paraId="3BD9E195">
                  <w:pPr>
                    <w:adjustRightInd w:val="0"/>
                    <w:snapToGrid w:val="0"/>
                    <w:spacing w:line="240" w:lineRule="atLeast"/>
                    <w:jc w:val="center"/>
                    <w:rPr>
                      <w:color w:val="auto"/>
                      <w:szCs w:val="21"/>
                    </w:rPr>
                  </w:pPr>
                  <w:r>
                    <w:rPr>
                      <w:color w:val="auto"/>
                      <w:szCs w:val="21"/>
                    </w:rPr>
                    <w:t>500</w:t>
                  </w:r>
                </w:p>
              </w:tc>
              <w:tc>
                <w:tcPr>
                  <w:tcW w:w="563" w:type="pct"/>
                  <w:tcBorders>
                    <w:tl2br w:val="nil"/>
                    <w:tr2bl w:val="nil"/>
                  </w:tcBorders>
                  <w:vAlign w:val="center"/>
                </w:tcPr>
                <w:p w14:paraId="21525988">
                  <w:pPr>
                    <w:adjustRightInd w:val="0"/>
                    <w:snapToGrid w:val="0"/>
                    <w:spacing w:line="240" w:lineRule="atLeast"/>
                    <w:jc w:val="center"/>
                    <w:rPr>
                      <w:color w:val="auto"/>
                      <w:szCs w:val="21"/>
                    </w:rPr>
                  </w:pPr>
                  <w:r>
                    <w:rPr>
                      <w:color w:val="auto"/>
                      <w:szCs w:val="21"/>
                    </w:rPr>
                    <w:t>/</w:t>
                  </w:r>
                </w:p>
              </w:tc>
              <w:tc>
                <w:tcPr>
                  <w:tcW w:w="563" w:type="pct"/>
                  <w:tcBorders>
                    <w:tl2br w:val="nil"/>
                    <w:tr2bl w:val="nil"/>
                  </w:tcBorders>
                  <w:vAlign w:val="center"/>
                </w:tcPr>
                <w:p w14:paraId="742B0933">
                  <w:pPr>
                    <w:adjustRightInd w:val="0"/>
                    <w:snapToGrid w:val="0"/>
                    <w:spacing w:line="240" w:lineRule="atLeast"/>
                    <w:jc w:val="center"/>
                    <w:rPr>
                      <w:color w:val="auto"/>
                      <w:szCs w:val="21"/>
                    </w:rPr>
                  </w:pPr>
                  <w:r>
                    <w:rPr>
                      <w:color w:val="auto"/>
                      <w:szCs w:val="21"/>
                    </w:rPr>
                    <w:t>/</w:t>
                  </w:r>
                </w:p>
              </w:tc>
              <w:tc>
                <w:tcPr>
                  <w:tcW w:w="563" w:type="pct"/>
                  <w:tcBorders>
                    <w:tl2br w:val="nil"/>
                    <w:tr2bl w:val="nil"/>
                  </w:tcBorders>
                  <w:vAlign w:val="center"/>
                </w:tcPr>
                <w:p w14:paraId="3B8B264E">
                  <w:pPr>
                    <w:adjustRightInd w:val="0"/>
                    <w:snapToGrid w:val="0"/>
                    <w:spacing w:line="240" w:lineRule="atLeast"/>
                    <w:jc w:val="center"/>
                    <w:rPr>
                      <w:color w:val="auto"/>
                      <w:szCs w:val="21"/>
                    </w:rPr>
                  </w:pPr>
                  <w:r>
                    <w:rPr>
                      <w:color w:val="auto"/>
                      <w:szCs w:val="21"/>
                    </w:rPr>
                    <w:t>/</w:t>
                  </w:r>
                </w:p>
              </w:tc>
              <w:tc>
                <w:tcPr>
                  <w:tcW w:w="563" w:type="pct"/>
                  <w:tcBorders>
                    <w:tl2br w:val="nil"/>
                    <w:tr2bl w:val="nil"/>
                  </w:tcBorders>
                  <w:vAlign w:val="center"/>
                </w:tcPr>
                <w:p w14:paraId="4A6A57E2">
                  <w:pPr>
                    <w:adjustRightInd w:val="0"/>
                    <w:snapToGrid w:val="0"/>
                    <w:spacing w:line="240" w:lineRule="atLeast"/>
                    <w:jc w:val="center"/>
                    <w:rPr>
                      <w:color w:val="auto"/>
                      <w:szCs w:val="21"/>
                    </w:rPr>
                  </w:pPr>
                  <w:r>
                    <w:rPr>
                      <w:color w:val="auto"/>
                      <w:szCs w:val="21"/>
                    </w:rPr>
                    <w:t>10000</w:t>
                  </w:r>
                </w:p>
              </w:tc>
              <w:tc>
                <w:tcPr>
                  <w:tcW w:w="563" w:type="pct"/>
                  <w:tcBorders>
                    <w:tl2br w:val="nil"/>
                    <w:tr2bl w:val="nil"/>
                  </w:tcBorders>
                  <w:vAlign w:val="center"/>
                </w:tcPr>
                <w:p w14:paraId="522B6BF1">
                  <w:pPr>
                    <w:adjustRightInd w:val="0"/>
                    <w:snapToGrid w:val="0"/>
                    <w:spacing w:line="240" w:lineRule="atLeast"/>
                    <w:jc w:val="center"/>
                    <w:rPr>
                      <w:color w:val="auto"/>
                      <w:szCs w:val="21"/>
                    </w:rPr>
                  </w:pPr>
                  <w:r>
                    <w:rPr>
                      <w:color w:val="auto"/>
                      <w:szCs w:val="21"/>
                    </w:rPr>
                    <w:t>200</w:t>
                  </w:r>
                </w:p>
              </w:tc>
            </w:tr>
          </w:tbl>
          <w:p w14:paraId="4DB3CC1C">
            <w:pPr>
              <w:adjustRightInd w:val="0"/>
              <w:snapToGrid w:val="0"/>
              <w:spacing w:line="480" w:lineRule="exact"/>
              <w:ind w:firstLine="482" w:firstLineChars="200"/>
              <w:rPr>
                <w:b/>
                <w:bCs/>
                <w:kern w:val="0"/>
                <w:sz w:val="24"/>
              </w:rPr>
            </w:pPr>
            <w:r>
              <w:rPr>
                <w:rFonts w:hint="eastAsia"/>
                <w:b/>
                <w:bCs/>
                <w:kern w:val="0"/>
                <w:sz w:val="24"/>
              </w:rPr>
              <w:t>2.</w:t>
            </w:r>
            <w:r>
              <w:rPr>
                <w:b/>
                <w:bCs/>
                <w:kern w:val="0"/>
                <w:sz w:val="24"/>
              </w:rPr>
              <w:t>声环境质量标准</w:t>
            </w:r>
          </w:p>
          <w:p w14:paraId="2E67B1DF">
            <w:pPr>
              <w:adjustRightInd w:val="0"/>
              <w:snapToGrid w:val="0"/>
              <w:spacing w:line="480" w:lineRule="exact"/>
              <w:ind w:firstLine="480" w:firstLineChars="200"/>
              <w:rPr>
                <w:kern w:val="0"/>
                <w:sz w:val="24"/>
              </w:rPr>
            </w:pPr>
            <w:r>
              <w:rPr>
                <w:kern w:val="0"/>
                <w:sz w:val="24"/>
              </w:rPr>
              <w:t>声环境质量执行《声环境质量标准》（GB 3096-2008）中</w:t>
            </w:r>
            <w:r>
              <w:rPr>
                <w:rFonts w:hint="eastAsia"/>
                <w:kern w:val="0"/>
                <w:sz w:val="24"/>
              </w:rPr>
              <w:t>2</w:t>
            </w:r>
            <w:r>
              <w:rPr>
                <w:kern w:val="0"/>
                <w:sz w:val="24"/>
              </w:rPr>
              <w:t>类标准，</w:t>
            </w:r>
            <w:r>
              <w:rPr>
                <w:kern w:val="21"/>
                <w:sz w:val="24"/>
                <w:lang w:bidi="ar"/>
              </w:rPr>
              <w:t>详见下表</w:t>
            </w:r>
            <w:r>
              <w:rPr>
                <w:kern w:val="0"/>
                <w:sz w:val="24"/>
              </w:rPr>
              <w:t>。</w:t>
            </w:r>
          </w:p>
          <w:p w14:paraId="72A5243D">
            <w:pPr>
              <w:pStyle w:val="15"/>
              <w:tabs>
                <w:tab w:val="left" w:pos="2340"/>
              </w:tabs>
              <w:spacing w:line="480" w:lineRule="exact"/>
              <w:rPr>
                <w:rFonts w:eastAsia="宋体"/>
                <w:sz w:val="21"/>
                <w:szCs w:val="21"/>
              </w:rPr>
            </w:pPr>
            <w:r>
              <w:rPr>
                <w:rFonts w:eastAsia="宋体"/>
                <w:sz w:val="21"/>
                <w:szCs w:val="21"/>
                <w:lang w:bidi="ar"/>
              </w:rPr>
              <w:t>表</w:t>
            </w:r>
            <w:r>
              <w:rPr>
                <w:rFonts w:hint="eastAsia" w:eastAsia="宋体"/>
                <w:sz w:val="21"/>
                <w:szCs w:val="21"/>
                <w:lang w:bidi="ar"/>
              </w:rPr>
              <w:t>3-1</w:t>
            </w:r>
            <w:r>
              <w:rPr>
                <w:rFonts w:hint="eastAsia" w:eastAsia="宋体"/>
                <w:sz w:val="21"/>
                <w:szCs w:val="21"/>
                <w:lang w:val="en-US" w:eastAsia="zh-CN" w:bidi="ar"/>
              </w:rPr>
              <w:t>2</w:t>
            </w:r>
            <w:r>
              <w:rPr>
                <w:rFonts w:eastAsia="宋体"/>
                <w:sz w:val="21"/>
                <w:szCs w:val="21"/>
                <w:lang w:bidi="ar"/>
              </w:rPr>
              <w:t xml:space="preserve">  环境噪声标准值  单位：dB(A)</w:t>
            </w:r>
          </w:p>
          <w:tbl>
            <w:tblPr>
              <w:tblStyle w:val="29"/>
              <w:tblW w:w="4999" w:type="pct"/>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04"/>
              <w:gridCol w:w="2128"/>
              <w:gridCol w:w="2128"/>
              <w:gridCol w:w="3031"/>
            </w:tblGrid>
            <w:tr w14:paraId="65928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92" w:type="pct"/>
                  <w:vMerge w:val="restart"/>
                  <w:tcBorders>
                    <w:tl2br w:val="nil"/>
                    <w:tr2bl w:val="nil"/>
                  </w:tcBorders>
                  <w:vAlign w:val="center"/>
                </w:tcPr>
                <w:p w14:paraId="7B6C4C27">
                  <w:pPr>
                    <w:adjustRightInd w:val="0"/>
                    <w:snapToGrid w:val="0"/>
                    <w:spacing w:line="240" w:lineRule="atLeast"/>
                    <w:jc w:val="center"/>
                    <w:rPr>
                      <w:szCs w:val="21"/>
                    </w:rPr>
                  </w:pPr>
                  <w:r>
                    <w:rPr>
                      <w:szCs w:val="21"/>
                    </w:rPr>
                    <w:t>标准级</w:t>
                  </w:r>
                </w:p>
                <w:p w14:paraId="574E6E58">
                  <w:pPr>
                    <w:adjustRightInd w:val="0"/>
                    <w:snapToGrid w:val="0"/>
                    <w:spacing w:line="240" w:lineRule="atLeast"/>
                    <w:jc w:val="center"/>
                    <w:rPr>
                      <w:szCs w:val="21"/>
                    </w:rPr>
                  </w:pPr>
                  <w:r>
                    <w:rPr>
                      <w:szCs w:val="21"/>
                    </w:rPr>
                    <w:t>（类别）</w:t>
                  </w:r>
                </w:p>
              </w:tc>
              <w:tc>
                <w:tcPr>
                  <w:tcW w:w="2340" w:type="pct"/>
                  <w:gridSpan w:val="2"/>
                  <w:tcBorders>
                    <w:tl2br w:val="nil"/>
                    <w:tr2bl w:val="nil"/>
                  </w:tcBorders>
                  <w:vAlign w:val="center"/>
                </w:tcPr>
                <w:p w14:paraId="5C6D6B30">
                  <w:pPr>
                    <w:adjustRightInd w:val="0"/>
                    <w:snapToGrid w:val="0"/>
                    <w:spacing w:line="240" w:lineRule="atLeast"/>
                    <w:jc w:val="center"/>
                    <w:rPr>
                      <w:szCs w:val="21"/>
                    </w:rPr>
                  </w:pPr>
                  <w:r>
                    <w:rPr>
                      <w:szCs w:val="21"/>
                    </w:rPr>
                    <w:t>标准限值</w:t>
                  </w:r>
                </w:p>
              </w:tc>
              <w:tc>
                <w:tcPr>
                  <w:tcW w:w="1666" w:type="pct"/>
                  <w:vMerge w:val="restart"/>
                  <w:tcBorders>
                    <w:tl2br w:val="nil"/>
                    <w:tr2bl w:val="nil"/>
                  </w:tcBorders>
                  <w:vAlign w:val="center"/>
                </w:tcPr>
                <w:p w14:paraId="5715CC9B">
                  <w:pPr>
                    <w:adjustRightInd w:val="0"/>
                    <w:snapToGrid w:val="0"/>
                    <w:spacing w:line="240" w:lineRule="atLeast"/>
                    <w:jc w:val="center"/>
                    <w:rPr>
                      <w:szCs w:val="21"/>
                    </w:rPr>
                  </w:pPr>
                  <w:r>
                    <w:rPr>
                      <w:szCs w:val="21"/>
                    </w:rPr>
                    <w:t>标准来源</w:t>
                  </w:r>
                </w:p>
              </w:tc>
            </w:tr>
            <w:tr w14:paraId="1B8F8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92" w:type="pct"/>
                  <w:vMerge w:val="continue"/>
                  <w:tcBorders>
                    <w:tl2br w:val="nil"/>
                    <w:tr2bl w:val="nil"/>
                  </w:tcBorders>
                  <w:vAlign w:val="center"/>
                </w:tcPr>
                <w:p w14:paraId="3F989DD0">
                  <w:pPr>
                    <w:adjustRightInd w:val="0"/>
                    <w:snapToGrid w:val="0"/>
                    <w:spacing w:line="240" w:lineRule="atLeast"/>
                    <w:jc w:val="center"/>
                    <w:rPr>
                      <w:szCs w:val="21"/>
                    </w:rPr>
                  </w:pPr>
                </w:p>
              </w:tc>
              <w:tc>
                <w:tcPr>
                  <w:tcW w:w="1170" w:type="pct"/>
                  <w:tcBorders>
                    <w:tl2br w:val="nil"/>
                    <w:tr2bl w:val="nil"/>
                  </w:tcBorders>
                  <w:vAlign w:val="center"/>
                </w:tcPr>
                <w:p w14:paraId="77C0BCA3">
                  <w:pPr>
                    <w:adjustRightInd w:val="0"/>
                    <w:snapToGrid w:val="0"/>
                    <w:spacing w:line="240" w:lineRule="atLeast"/>
                    <w:jc w:val="center"/>
                    <w:rPr>
                      <w:szCs w:val="21"/>
                    </w:rPr>
                  </w:pPr>
                  <w:r>
                    <w:rPr>
                      <w:szCs w:val="21"/>
                    </w:rPr>
                    <w:t>昼间</w:t>
                  </w:r>
                </w:p>
              </w:tc>
              <w:tc>
                <w:tcPr>
                  <w:tcW w:w="1170" w:type="pct"/>
                  <w:tcBorders>
                    <w:tl2br w:val="nil"/>
                    <w:tr2bl w:val="nil"/>
                  </w:tcBorders>
                  <w:vAlign w:val="center"/>
                </w:tcPr>
                <w:p w14:paraId="10E16A46">
                  <w:pPr>
                    <w:adjustRightInd w:val="0"/>
                    <w:snapToGrid w:val="0"/>
                    <w:spacing w:line="240" w:lineRule="atLeast"/>
                    <w:jc w:val="center"/>
                    <w:rPr>
                      <w:szCs w:val="21"/>
                    </w:rPr>
                  </w:pPr>
                  <w:r>
                    <w:rPr>
                      <w:szCs w:val="21"/>
                    </w:rPr>
                    <w:t>夜间</w:t>
                  </w:r>
                </w:p>
              </w:tc>
              <w:tc>
                <w:tcPr>
                  <w:tcW w:w="1666" w:type="pct"/>
                  <w:vMerge w:val="continue"/>
                  <w:tcBorders>
                    <w:tl2br w:val="nil"/>
                    <w:tr2bl w:val="nil"/>
                  </w:tcBorders>
                  <w:vAlign w:val="center"/>
                </w:tcPr>
                <w:p w14:paraId="461DCC22">
                  <w:pPr>
                    <w:adjustRightInd w:val="0"/>
                    <w:snapToGrid w:val="0"/>
                    <w:spacing w:line="240" w:lineRule="atLeast"/>
                    <w:jc w:val="center"/>
                    <w:rPr>
                      <w:szCs w:val="21"/>
                    </w:rPr>
                  </w:pPr>
                </w:p>
              </w:tc>
            </w:tr>
            <w:tr w14:paraId="7E103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92" w:type="pct"/>
                  <w:tcBorders>
                    <w:tl2br w:val="nil"/>
                    <w:tr2bl w:val="nil"/>
                  </w:tcBorders>
                  <w:vAlign w:val="center"/>
                </w:tcPr>
                <w:p w14:paraId="7B03B95F">
                  <w:pPr>
                    <w:adjustRightInd w:val="0"/>
                    <w:snapToGrid w:val="0"/>
                    <w:spacing w:line="240" w:lineRule="atLeast"/>
                    <w:jc w:val="center"/>
                    <w:rPr>
                      <w:szCs w:val="21"/>
                    </w:rPr>
                  </w:pPr>
                  <w:r>
                    <w:rPr>
                      <w:rFonts w:hint="eastAsia"/>
                      <w:szCs w:val="21"/>
                    </w:rPr>
                    <w:t>2</w:t>
                  </w:r>
                  <w:r>
                    <w:rPr>
                      <w:szCs w:val="21"/>
                    </w:rPr>
                    <w:t>类区</w:t>
                  </w:r>
                </w:p>
              </w:tc>
              <w:tc>
                <w:tcPr>
                  <w:tcW w:w="1170" w:type="pct"/>
                  <w:tcBorders>
                    <w:tl2br w:val="nil"/>
                    <w:tr2bl w:val="nil"/>
                  </w:tcBorders>
                  <w:vAlign w:val="center"/>
                </w:tcPr>
                <w:p w14:paraId="6CF6C9FD">
                  <w:pPr>
                    <w:adjustRightInd w:val="0"/>
                    <w:snapToGrid w:val="0"/>
                    <w:spacing w:line="240" w:lineRule="atLeast"/>
                    <w:jc w:val="center"/>
                    <w:rPr>
                      <w:szCs w:val="21"/>
                    </w:rPr>
                  </w:pPr>
                  <w:r>
                    <w:rPr>
                      <w:rFonts w:hint="eastAsia"/>
                      <w:szCs w:val="21"/>
                    </w:rPr>
                    <w:t>60</w:t>
                  </w:r>
                </w:p>
              </w:tc>
              <w:tc>
                <w:tcPr>
                  <w:tcW w:w="1170" w:type="pct"/>
                  <w:tcBorders>
                    <w:tl2br w:val="nil"/>
                    <w:tr2bl w:val="nil"/>
                  </w:tcBorders>
                  <w:vAlign w:val="center"/>
                </w:tcPr>
                <w:p w14:paraId="3C56C7EB">
                  <w:pPr>
                    <w:adjustRightInd w:val="0"/>
                    <w:snapToGrid w:val="0"/>
                    <w:spacing w:line="240" w:lineRule="atLeast"/>
                    <w:jc w:val="center"/>
                    <w:rPr>
                      <w:szCs w:val="21"/>
                    </w:rPr>
                  </w:pPr>
                  <w:r>
                    <w:rPr>
                      <w:rFonts w:hint="eastAsia"/>
                      <w:szCs w:val="21"/>
                    </w:rPr>
                    <w:t>50</w:t>
                  </w:r>
                </w:p>
              </w:tc>
              <w:tc>
                <w:tcPr>
                  <w:tcW w:w="1666" w:type="pct"/>
                  <w:tcBorders>
                    <w:tl2br w:val="nil"/>
                    <w:tr2bl w:val="nil"/>
                  </w:tcBorders>
                  <w:vAlign w:val="center"/>
                </w:tcPr>
                <w:p w14:paraId="2E7A14E5">
                  <w:pPr>
                    <w:adjustRightInd w:val="0"/>
                    <w:snapToGrid w:val="0"/>
                    <w:spacing w:line="240" w:lineRule="atLeast"/>
                    <w:jc w:val="center"/>
                    <w:rPr>
                      <w:szCs w:val="21"/>
                    </w:rPr>
                  </w:pPr>
                  <w:r>
                    <w:rPr>
                      <w:szCs w:val="21"/>
                    </w:rPr>
                    <w:t>GB 3096-2008</w:t>
                  </w:r>
                </w:p>
              </w:tc>
            </w:tr>
          </w:tbl>
          <w:p w14:paraId="0FB12EA9">
            <w:pPr>
              <w:adjustRightInd w:val="0"/>
              <w:snapToGrid w:val="0"/>
              <w:spacing w:line="480" w:lineRule="exact"/>
              <w:rPr>
                <w:b/>
                <w:bCs/>
                <w:kern w:val="0"/>
                <w:sz w:val="24"/>
              </w:rPr>
            </w:pPr>
            <w:r>
              <w:rPr>
                <w:b/>
                <w:bCs/>
                <w:kern w:val="0"/>
                <w:sz w:val="24"/>
              </w:rPr>
              <w:t>二、污染物排放控制标准</w:t>
            </w:r>
          </w:p>
          <w:p w14:paraId="57C11674">
            <w:pPr>
              <w:adjustRightInd w:val="0"/>
              <w:snapToGrid w:val="0"/>
              <w:spacing w:line="480" w:lineRule="exact"/>
              <w:ind w:firstLine="482" w:firstLineChars="200"/>
              <w:rPr>
                <w:b/>
                <w:bCs/>
                <w:kern w:val="0"/>
                <w:sz w:val="24"/>
              </w:rPr>
            </w:pPr>
            <w:r>
              <w:rPr>
                <w:rFonts w:hint="eastAsia"/>
                <w:b/>
                <w:bCs/>
                <w:kern w:val="0"/>
                <w:sz w:val="24"/>
              </w:rPr>
              <w:t>1.废气</w:t>
            </w:r>
          </w:p>
          <w:p w14:paraId="5BD5E141">
            <w:pPr>
              <w:adjustRightInd w:val="0"/>
              <w:snapToGrid w:val="0"/>
              <w:spacing w:line="480" w:lineRule="exact"/>
              <w:ind w:firstLine="480" w:firstLineChars="200"/>
              <w:rPr>
                <w:kern w:val="0"/>
                <w:sz w:val="24"/>
              </w:rPr>
            </w:pPr>
            <w:r>
              <w:rPr>
                <w:rFonts w:hint="eastAsia"/>
                <w:kern w:val="0"/>
                <w:sz w:val="24"/>
              </w:rPr>
              <w:t>本项目运营期厂界无组织执行《大气污染物综合排放标准》（GB16297-1996），执行标准见表3-</w:t>
            </w:r>
            <w:r>
              <w:rPr>
                <w:kern w:val="0"/>
                <w:sz w:val="24"/>
              </w:rPr>
              <w:t>11</w:t>
            </w:r>
            <w:r>
              <w:rPr>
                <w:rFonts w:hint="eastAsia"/>
                <w:kern w:val="0"/>
                <w:sz w:val="24"/>
              </w:rPr>
              <w:t>。</w:t>
            </w:r>
          </w:p>
          <w:p w14:paraId="0485C00F">
            <w:pPr>
              <w:adjustRightInd w:val="0"/>
              <w:snapToGrid w:val="0"/>
              <w:spacing w:line="480" w:lineRule="exact"/>
              <w:jc w:val="center"/>
              <w:rPr>
                <w:szCs w:val="21"/>
                <w:lang w:bidi="ar"/>
              </w:rPr>
            </w:pPr>
            <w:r>
              <w:rPr>
                <w:rFonts w:hint="eastAsia"/>
                <w:szCs w:val="21"/>
                <w:lang w:bidi="ar"/>
              </w:rPr>
              <w:t>表3-</w:t>
            </w:r>
            <w:r>
              <w:rPr>
                <w:szCs w:val="21"/>
                <w:lang w:bidi="ar"/>
              </w:rPr>
              <w:t>1</w:t>
            </w:r>
            <w:r>
              <w:rPr>
                <w:rFonts w:hint="eastAsia"/>
                <w:szCs w:val="21"/>
                <w:lang w:val="en-US" w:eastAsia="zh-CN" w:bidi="ar"/>
              </w:rPr>
              <w:t>3</w:t>
            </w:r>
            <w:r>
              <w:rPr>
                <w:rFonts w:hint="eastAsia"/>
                <w:szCs w:val="21"/>
                <w:lang w:bidi="ar"/>
              </w:rPr>
              <w:t xml:space="preserve"> 大气综合排放标准</w:t>
            </w:r>
          </w:p>
          <w:tbl>
            <w:tblPr>
              <w:tblStyle w:val="3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26"/>
              <w:gridCol w:w="1815"/>
              <w:gridCol w:w="2273"/>
              <w:gridCol w:w="2275"/>
            </w:tblGrid>
            <w:tr w14:paraId="2BE5D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00" w:type="pct"/>
                  <w:vAlign w:val="center"/>
                </w:tcPr>
                <w:p w14:paraId="78FC270E">
                  <w:pPr>
                    <w:adjustRightInd w:val="0"/>
                    <w:snapToGrid w:val="0"/>
                    <w:jc w:val="center"/>
                    <w:rPr>
                      <w:kern w:val="0"/>
                      <w:szCs w:val="21"/>
                    </w:rPr>
                  </w:pPr>
                  <w:r>
                    <w:rPr>
                      <w:rFonts w:hint="eastAsia"/>
                      <w:kern w:val="0"/>
                      <w:szCs w:val="21"/>
                    </w:rPr>
                    <w:t>排放环节及污染物</w:t>
                  </w:r>
                </w:p>
              </w:tc>
              <w:tc>
                <w:tcPr>
                  <w:tcW w:w="998" w:type="pct"/>
                  <w:vAlign w:val="center"/>
                </w:tcPr>
                <w:p w14:paraId="5830F888">
                  <w:pPr>
                    <w:adjustRightInd w:val="0"/>
                    <w:snapToGrid w:val="0"/>
                    <w:jc w:val="center"/>
                    <w:rPr>
                      <w:kern w:val="0"/>
                      <w:szCs w:val="21"/>
                    </w:rPr>
                  </w:pPr>
                  <w:r>
                    <w:rPr>
                      <w:rFonts w:hint="eastAsia"/>
                      <w:kern w:val="0"/>
                      <w:szCs w:val="21"/>
                    </w:rPr>
                    <w:t>排放浓度</w:t>
                  </w:r>
                </w:p>
              </w:tc>
              <w:tc>
                <w:tcPr>
                  <w:tcW w:w="1250" w:type="pct"/>
                  <w:vAlign w:val="center"/>
                </w:tcPr>
                <w:p w14:paraId="4514BB2B">
                  <w:pPr>
                    <w:adjustRightInd w:val="0"/>
                    <w:snapToGrid w:val="0"/>
                    <w:jc w:val="center"/>
                    <w:rPr>
                      <w:kern w:val="0"/>
                      <w:szCs w:val="21"/>
                    </w:rPr>
                  </w:pPr>
                  <w:r>
                    <w:rPr>
                      <w:rFonts w:hint="eastAsia"/>
                      <w:kern w:val="0"/>
                      <w:szCs w:val="21"/>
                    </w:rPr>
                    <w:t>排放速率</w:t>
                  </w:r>
                </w:p>
              </w:tc>
              <w:tc>
                <w:tcPr>
                  <w:tcW w:w="1250" w:type="pct"/>
                  <w:vAlign w:val="center"/>
                </w:tcPr>
                <w:p w14:paraId="6E784EF3">
                  <w:pPr>
                    <w:adjustRightInd w:val="0"/>
                    <w:snapToGrid w:val="0"/>
                    <w:jc w:val="center"/>
                    <w:rPr>
                      <w:kern w:val="0"/>
                      <w:szCs w:val="21"/>
                    </w:rPr>
                  </w:pPr>
                  <w:r>
                    <w:rPr>
                      <w:rFonts w:hint="eastAsia"/>
                      <w:kern w:val="0"/>
                      <w:szCs w:val="21"/>
                    </w:rPr>
                    <w:t>排气筒高度</w:t>
                  </w:r>
                </w:p>
              </w:tc>
            </w:tr>
            <w:tr w14:paraId="56D36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00" w:type="pct"/>
                  <w:vAlign w:val="center"/>
                </w:tcPr>
                <w:p w14:paraId="13901DF3">
                  <w:pPr>
                    <w:adjustRightInd w:val="0"/>
                    <w:snapToGrid w:val="0"/>
                    <w:jc w:val="center"/>
                    <w:rPr>
                      <w:kern w:val="0"/>
                      <w:szCs w:val="21"/>
                    </w:rPr>
                  </w:pPr>
                  <w:r>
                    <w:rPr>
                      <w:rFonts w:hint="eastAsia"/>
                      <w:szCs w:val="21"/>
                    </w:rPr>
                    <w:t>厂界颗粒物无组织排放</w:t>
                  </w:r>
                </w:p>
              </w:tc>
              <w:tc>
                <w:tcPr>
                  <w:tcW w:w="3499" w:type="pct"/>
                  <w:gridSpan w:val="3"/>
                  <w:vAlign w:val="center"/>
                </w:tcPr>
                <w:p w14:paraId="25FE3C6D">
                  <w:pPr>
                    <w:adjustRightInd w:val="0"/>
                    <w:snapToGrid w:val="0"/>
                    <w:jc w:val="center"/>
                    <w:rPr>
                      <w:kern w:val="0"/>
                      <w:szCs w:val="21"/>
                    </w:rPr>
                  </w:pPr>
                  <w:r>
                    <w:rPr>
                      <w:rFonts w:hint="eastAsia"/>
                      <w:kern w:val="0"/>
                      <w:szCs w:val="21"/>
                    </w:rPr>
                    <w:t>周界外浓度最高点1.0mg/m</w:t>
                  </w:r>
                  <w:r>
                    <w:rPr>
                      <w:rFonts w:hint="eastAsia"/>
                      <w:kern w:val="0"/>
                      <w:szCs w:val="21"/>
                      <w:vertAlign w:val="superscript"/>
                    </w:rPr>
                    <w:t>3</w:t>
                  </w:r>
                </w:p>
              </w:tc>
            </w:tr>
          </w:tbl>
          <w:p w14:paraId="05F43E72">
            <w:pPr>
              <w:adjustRightInd w:val="0"/>
              <w:snapToGrid w:val="0"/>
              <w:spacing w:line="480" w:lineRule="exact"/>
              <w:ind w:firstLine="480" w:firstLineChars="200"/>
              <w:rPr>
                <w:kern w:val="0"/>
                <w:sz w:val="24"/>
              </w:rPr>
            </w:pPr>
            <w:r>
              <w:rPr>
                <w:rFonts w:hint="eastAsia"/>
                <w:kern w:val="0"/>
                <w:sz w:val="24"/>
              </w:rPr>
              <w:t>同时建设单位承诺按照阳泉市大气污染防治工作领导组办公室文件“阳大气办〔2019〕16号”《关于在全市工业企业开展大气污染防治千企千策服务企业“春风”行动的通知》中非煤矿山（含石料加工）行业污染物排放限值进行管控，见表3-</w:t>
            </w:r>
            <w:r>
              <w:rPr>
                <w:kern w:val="0"/>
                <w:sz w:val="24"/>
              </w:rPr>
              <w:t>12</w:t>
            </w:r>
            <w:r>
              <w:rPr>
                <w:rFonts w:hint="eastAsia"/>
                <w:kern w:val="0"/>
                <w:sz w:val="24"/>
              </w:rPr>
              <w:t>。</w:t>
            </w:r>
          </w:p>
          <w:p w14:paraId="467CC532">
            <w:pPr>
              <w:pStyle w:val="15"/>
              <w:tabs>
                <w:tab w:val="left" w:pos="2340"/>
              </w:tabs>
              <w:spacing w:line="480" w:lineRule="exact"/>
              <w:rPr>
                <w:rFonts w:eastAsia="宋体"/>
                <w:sz w:val="21"/>
                <w:szCs w:val="21"/>
              </w:rPr>
            </w:pPr>
            <w:r>
              <w:rPr>
                <w:rFonts w:eastAsia="宋体"/>
                <w:sz w:val="21"/>
                <w:szCs w:val="21"/>
                <w:lang w:bidi="ar"/>
              </w:rPr>
              <w:t>表</w:t>
            </w:r>
            <w:r>
              <w:rPr>
                <w:rFonts w:hint="eastAsia" w:eastAsia="宋体"/>
                <w:sz w:val="21"/>
                <w:szCs w:val="21"/>
                <w:lang w:bidi="ar"/>
              </w:rPr>
              <w:t>3-</w:t>
            </w:r>
            <w:r>
              <w:rPr>
                <w:rFonts w:eastAsia="宋体"/>
                <w:sz w:val="21"/>
                <w:szCs w:val="21"/>
                <w:lang w:bidi="ar"/>
              </w:rPr>
              <w:t>1</w:t>
            </w:r>
            <w:r>
              <w:rPr>
                <w:rFonts w:hint="eastAsia" w:eastAsia="宋体"/>
                <w:sz w:val="21"/>
                <w:szCs w:val="21"/>
                <w:lang w:val="en-US" w:eastAsia="zh-CN" w:bidi="ar"/>
              </w:rPr>
              <w:t>4</w:t>
            </w:r>
            <w:r>
              <w:rPr>
                <w:rFonts w:hint="eastAsia" w:eastAsia="宋体"/>
                <w:sz w:val="21"/>
                <w:szCs w:val="21"/>
                <w:lang w:bidi="ar"/>
              </w:rPr>
              <w:t xml:space="preserve"> 大气污染防治千企千策服务企业“春风”行动大气污染物排放标准</w:t>
            </w:r>
          </w:p>
          <w:tbl>
            <w:tblPr>
              <w:tblStyle w:val="3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9"/>
              <w:gridCol w:w="2467"/>
              <w:gridCol w:w="1140"/>
              <w:gridCol w:w="1140"/>
              <w:gridCol w:w="1047"/>
              <w:gridCol w:w="2626"/>
            </w:tblGrid>
            <w:tr w14:paraId="4DB21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25" w:type="pct"/>
                  <w:gridSpan w:val="2"/>
                  <w:tcBorders>
                    <w:tl2br w:val="nil"/>
                    <w:tr2bl w:val="nil"/>
                  </w:tcBorders>
                  <w:vAlign w:val="center"/>
                </w:tcPr>
                <w:p w14:paraId="3D8AEEAC">
                  <w:pPr>
                    <w:adjustRightInd w:val="0"/>
                    <w:snapToGrid w:val="0"/>
                    <w:spacing w:line="240" w:lineRule="atLeast"/>
                    <w:jc w:val="center"/>
                    <w:rPr>
                      <w:szCs w:val="21"/>
                    </w:rPr>
                  </w:pPr>
                  <w:r>
                    <w:rPr>
                      <w:rFonts w:hint="eastAsia"/>
                      <w:szCs w:val="21"/>
                    </w:rPr>
                    <w:t>类型</w:t>
                  </w:r>
                </w:p>
              </w:tc>
              <w:tc>
                <w:tcPr>
                  <w:tcW w:w="627" w:type="pct"/>
                  <w:tcBorders>
                    <w:tl2br w:val="nil"/>
                    <w:tr2bl w:val="nil"/>
                  </w:tcBorders>
                  <w:vAlign w:val="center"/>
                </w:tcPr>
                <w:p w14:paraId="272ED5E1">
                  <w:pPr>
                    <w:adjustRightInd w:val="0"/>
                    <w:snapToGrid w:val="0"/>
                    <w:spacing w:line="240" w:lineRule="atLeast"/>
                    <w:jc w:val="center"/>
                    <w:rPr>
                      <w:szCs w:val="21"/>
                    </w:rPr>
                  </w:pPr>
                  <w:r>
                    <w:rPr>
                      <w:rFonts w:hint="eastAsia"/>
                      <w:szCs w:val="21"/>
                    </w:rPr>
                    <w:t>污染物</w:t>
                  </w:r>
                </w:p>
              </w:tc>
              <w:tc>
                <w:tcPr>
                  <w:tcW w:w="627" w:type="pct"/>
                  <w:tcBorders>
                    <w:tl2br w:val="nil"/>
                    <w:tr2bl w:val="nil"/>
                  </w:tcBorders>
                  <w:vAlign w:val="center"/>
                </w:tcPr>
                <w:p w14:paraId="0333DCD5">
                  <w:pPr>
                    <w:adjustRightInd w:val="0"/>
                    <w:snapToGrid w:val="0"/>
                    <w:spacing w:line="240" w:lineRule="atLeast"/>
                    <w:jc w:val="center"/>
                    <w:rPr>
                      <w:szCs w:val="21"/>
                    </w:rPr>
                  </w:pPr>
                  <w:r>
                    <w:rPr>
                      <w:rFonts w:hint="eastAsia"/>
                      <w:szCs w:val="21"/>
                    </w:rPr>
                    <w:t>单位</w:t>
                  </w:r>
                </w:p>
              </w:tc>
              <w:tc>
                <w:tcPr>
                  <w:tcW w:w="576" w:type="pct"/>
                  <w:tcBorders>
                    <w:tl2br w:val="nil"/>
                    <w:tr2bl w:val="nil"/>
                  </w:tcBorders>
                  <w:vAlign w:val="center"/>
                </w:tcPr>
                <w:p w14:paraId="08E8D5A0">
                  <w:pPr>
                    <w:adjustRightInd w:val="0"/>
                    <w:snapToGrid w:val="0"/>
                    <w:spacing w:line="240" w:lineRule="atLeast"/>
                    <w:jc w:val="center"/>
                    <w:rPr>
                      <w:szCs w:val="21"/>
                    </w:rPr>
                  </w:pPr>
                  <w:r>
                    <w:rPr>
                      <w:rFonts w:hint="eastAsia"/>
                      <w:szCs w:val="21"/>
                    </w:rPr>
                    <w:t>标准值</w:t>
                  </w:r>
                </w:p>
              </w:tc>
              <w:tc>
                <w:tcPr>
                  <w:tcW w:w="1444" w:type="pct"/>
                  <w:tcBorders>
                    <w:tl2br w:val="nil"/>
                    <w:tr2bl w:val="nil"/>
                  </w:tcBorders>
                  <w:vAlign w:val="center"/>
                </w:tcPr>
                <w:p w14:paraId="58A2933F">
                  <w:pPr>
                    <w:adjustRightInd w:val="0"/>
                    <w:snapToGrid w:val="0"/>
                    <w:spacing w:line="240" w:lineRule="atLeast"/>
                    <w:jc w:val="center"/>
                    <w:rPr>
                      <w:szCs w:val="21"/>
                    </w:rPr>
                  </w:pPr>
                  <w:r>
                    <w:rPr>
                      <w:rFonts w:hint="eastAsia"/>
                      <w:szCs w:val="21"/>
                    </w:rPr>
                    <w:t>备注</w:t>
                  </w:r>
                </w:p>
              </w:tc>
            </w:tr>
            <w:tr w14:paraId="142FE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68" w:type="pct"/>
                  <w:tcBorders>
                    <w:tl2br w:val="nil"/>
                    <w:tr2bl w:val="nil"/>
                  </w:tcBorders>
                  <w:vAlign w:val="center"/>
                </w:tcPr>
                <w:p w14:paraId="2D6340C0">
                  <w:pPr>
                    <w:adjustRightInd w:val="0"/>
                    <w:snapToGrid w:val="0"/>
                    <w:spacing w:line="240" w:lineRule="atLeast"/>
                    <w:jc w:val="center"/>
                    <w:rPr>
                      <w:szCs w:val="21"/>
                    </w:rPr>
                  </w:pPr>
                  <w:r>
                    <w:rPr>
                      <w:rFonts w:hint="eastAsia"/>
                      <w:szCs w:val="21"/>
                    </w:rPr>
                    <w:t>矿山开采</w:t>
                  </w:r>
                </w:p>
              </w:tc>
              <w:tc>
                <w:tcPr>
                  <w:tcW w:w="1356" w:type="pct"/>
                  <w:tcBorders>
                    <w:tl2br w:val="nil"/>
                    <w:tr2bl w:val="nil"/>
                  </w:tcBorders>
                  <w:vAlign w:val="center"/>
                </w:tcPr>
                <w:p w14:paraId="7E67E4D3">
                  <w:pPr>
                    <w:adjustRightInd w:val="0"/>
                    <w:snapToGrid w:val="0"/>
                    <w:spacing w:line="240" w:lineRule="atLeast"/>
                    <w:jc w:val="center"/>
                    <w:rPr>
                      <w:szCs w:val="21"/>
                    </w:rPr>
                  </w:pPr>
                  <w:r>
                    <w:rPr>
                      <w:rFonts w:hint="eastAsia"/>
                      <w:szCs w:val="21"/>
                    </w:rPr>
                    <w:t>厂界颗粒物无组织排放</w:t>
                  </w:r>
                </w:p>
              </w:tc>
              <w:tc>
                <w:tcPr>
                  <w:tcW w:w="627" w:type="pct"/>
                  <w:tcBorders>
                    <w:tl2br w:val="nil"/>
                    <w:tr2bl w:val="nil"/>
                  </w:tcBorders>
                  <w:vAlign w:val="center"/>
                </w:tcPr>
                <w:p w14:paraId="33A1C7C5">
                  <w:pPr>
                    <w:adjustRightInd w:val="0"/>
                    <w:snapToGrid w:val="0"/>
                    <w:spacing w:line="240" w:lineRule="atLeast"/>
                    <w:jc w:val="center"/>
                    <w:rPr>
                      <w:szCs w:val="21"/>
                    </w:rPr>
                  </w:pPr>
                  <w:r>
                    <w:rPr>
                      <w:rFonts w:hint="eastAsia"/>
                      <w:szCs w:val="21"/>
                    </w:rPr>
                    <w:t>颗粒物</w:t>
                  </w:r>
                </w:p>
              </w:tc>
              <w:tc>
                <w:tcPr>
                  <w:tcW w:w="627" w:type="pct"/>
                  <w:tcBorders>
                    <w:tl2br w:val="nil"/>
                    <w:tr2bl w:val="nil"/>
                  </w:tcBorders>
                  <w:vAlign w:val="center"/>
                </w:tcPr>
                <w:p w14:paraId="4A48D7CE">
                  <w:pPr>
                    <w:adjustRightInd w:val="0"/>
                    <w:snapToGrid w:val="0"/>
                    <w:spacing w:line="240" w:lineRule="atLeast"/>
                    <w:jc w:val="center"/>
                    <w:rPr>
                      <w:szCs w:val="21"/>
                    </w:rPr>
                  </w:pPr>
                  <w:r>
                    <w:rPr>
                      <w:rFonts w:hint="eastAsia"/>
                      <w:szCs w:val="21"/>
                    </w:rPr>
                    <w:t>mg/m</w:t>
                  </w:r>
                  <w:r>
                    <w:rPr>
                      <w:rFonts w:hint="eastAsia"/>
                      <w:szCs w:val="21"/>
                      <w:vertAlign w:val="superscript"/>
                    </w:rPr>
                    <w:t>3</w:t>
                  </w:r>
                </w:p>
              </w:tc>
              <w:tc>
                <w:tcPr>
                  <w:tcW w:w="576" w:type="pct"/>
                  <w:tcBorders>
                    <w:tl2br w:val="nil"/>
                    <w:tr2bl w:val="nil"/>
                  </w:tcBorders>
                  <w:vAlign w:val="center"/>
                </w:tcPr>
                <w:p w14:paraId="39A23782">
                  <w:pPr>
                    <w:adjustRightInd w:val="0"/>
                    <w:snapToGrid w:val="0"/>
                    <w:spacing w:line="240" w:lineRule="atLeast"/>
                    <w:jc w:val="center"/>
                    <w:rPr>
                      <w:szCs w:val="21"/>
                    </w:rPr>
                  </w:pPr>
                  <w:r>
                    <w:rPr>
                      <w:rFonts w:hint="eastAsia"/>
                      <w:szCs w:val="21"/>
                    </w:rPr>
                    <w:t>0.5</w:t>
                  </w:r>
                </w:p>
              </w:tc>
              <w:tc>
                <w:tcPr>
                  <w:tcW w:w="1444" w:type="pct"/>
                  <w:tcBorders>
                    <w:tl2br w:val="nil"/>
                    <w:tr2bl w:val="nil"/>
                  </w:tcBorders>
                  <w:vAlign w:val="center"/>
                </w:tcPr>
                <w:p w14:paraId="733F5A73">
                  <w:pPr>
                    <w:adjustRightInd w:val="0"/>
                    <w:snapToGrid w:val="0"/>
                    <w:spacing w:line="240" w:lineRule="atLeast"/>
                    <w:jc w:val="center"/>
                    <w:rPr>
                      <w:szCs w:val="21"/>
                    </w:rPr>
                  </w:pPr>
                  <w:r>
                    <w:rPr>
                      <w:rFonts w:hint="eastAsia"/>
                      <w:szCs w:val="21"/>
                    </w:rPr>
                    <w:t>监控点与参照点1小时浓度值的差值</w:t>
                  </w:r>
                </w:p>
              </w:tc>
            </w:tr>
          </w:tbl>
          <w:p w14:paraId="265DD825">
            <w:pPr>
              <w:keepNext w:val="0"/>
              <w:keepLines w:val="0"/>
              <w:pageBreakBefore w:val="0"/>
              <w:widowControl w:val="0"/>
              <w:kinsoku/>
              <w:wordWrap/>
              <w:overflowPunct/>
              <w:topLinePunct w:val="0"/>
              <w:autoSpaceDE/>
              <w:autoSpaceDN/>
              <w:bidi w:val="0"/>
              <w:adjustRightInd w:val="0"/>
              <w:snapToGrid w:val="0"/>
              <w:spacing w:line="480" w:lineRule="exact"/>
              <w:ind w:firstLine="482" w:firstLineChars="200"/>
              <w:textAlignment w:val="auto"/>
              <w:rPr>
                <w:rFonts w:hint="eastAsia"/>
                <w:b/>
                <w:bCs/>
                <w:kern w:val="0"/>
                <w:sz w:val="24"/>
              </w:rPr>
            </w:pPr>
          </w:p>
          <w:p w14:paraId="40983DCE">
            <w:pPr>
              <w:keepNext w:val="0"/>
              <w:keepLines w:val="0"/>
              <w:pageBreakBefore w:val="0"/>
              <w:widowControl w:val="0"/>
              <w:kinsoku/>
              <w:wordWrap/>
              <w:overflowPunct/>
              <w:topLinePunct w:val="0"/>
              <w:autoSpaceDE/>
              <w:autoSpaceDN/>
              <w:bidi w:val="0"/>
              <w:adjustRightInd w:val="0"/>
              <w:snapToGrid w:val="0"/>
              <w:spacing w:line="480" w:lineRule="exact"/>
              <w:ind w:firstLine="482" w:firstLineChars="200"/>
              <w:textAlignment w:val="auto"/>
              <w:rPr>
                <w:b/>
                <w:bCs/>
                <w:kern w:val="0"/>
                <w:sz w:val="24"/>
              </w:rPr>
            </w:pPr>
            <w:r>
              <w:rPr>
                <w:rFonts w:hint="eastAsia"/>
                <w:b/>
                <w:bCs/>
                <w:kern w:val="0"/>
                <w:sz w:val="24"/>
              </w:rPr>
              <w:t>2.</w:t>
            </w:r>
            <w:r>
              <w:rPr>
                <w:b/>
                <w:bCs/>
                <w:kern w:val="0"/>
                <w:sz w:val="24"/>
              </w:rPr>
              <w:t>噪声</w:t>
            </w:r>
          </w:p>
          <w:p w14:paraId="692926B4">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sz w:val="24"/>
              </w:rPr>
            </w:pPr>
            <w:r>
              <w:rPr>
                <w:kern w:val="0"/>
                <w:sz w:val="24"/>
              </w:rPr>
              <w:t>本项目</w:t>
            </w:r>
            <w:r>
              <w:rPr>
                <w:rFonts w:hint="eastAsia"/>
                <w:kern w:val="0"/>
                <w:sz w:val="24"/>
              </w:rPr>
              <w:t>施工期建筑施工场界噪声排放执行《建筑施工噪声排放标准》（GB 12523-20</w:t>
            </w:r>
            <w:r>
              <w:rPr>
                <w:rFonts w:hint="eastAsia"/>
                <w:kern w:val="0"/>
                <w:sz w:val="24"/>
                <w:lang w:val="en-US" w:eastAsia="zh-CN"/>
              </w:rPr>
              <w:t>25</w:t>
            </w:r>
            <w:r>
              <w:rPr>
                <w:rFonts w:hint="eastAsia"/>
                <w:kern w:val="0"/>
                <w:sz w:val="24"/>
              </w:rPr>
              <w:t>），具体见下表</w:t>
            </w:r>
            <w:r>
              <w:rPr>
                <w:sz w:val="24"/>
              </w:rPr>
              <w:t>。</w:t>
            </w:r>
          </w:p>
          <w:p w14:paraId="4B6D1478">
            <w:pPr>
              <w:pStyle w:val="15"/>
              <w:keepNext w:val="0"/>
              <w:keepLines w:val="0"/>
              <w:pageBreakBefore w:val="0"/>
              <w:widowControl w:val="0"/>
              <w:tabs>
                <w:tab w:val="left" w:pos="2340"/>
              </w:tabs>
              <w:kinsoku/>
              <w:wordWrap/>
              <w:overflowPunct/>
              <w:topLinePunct w:val="0"/>
              <w:autoSpaceDE/>
              <w:autoSpaceDN/>
              <w:bidi w:val="0"/>
              <w:spacing w:line="480" w:lineRule="exact"/>
              <w:textAlignment w:val="auto"/>
              <w:rPr>
                <w:rFonts w:eastAsia="宋体"/>
                <w:sz w:val="21"/>
                <w:szCs w:val="21"/>
              </w:rPr>
            </w:pPr>
            <w:r>
              <w:rPr>
                <w:rFonts w:eastAsia="宋体"/>
                <w:sz w:val="21"/>
                <w:szCs w:val="21"/>
                <w:lang w:bidi="ar"/>
              </w:rPr>
              <w:t>表</w:t>
            </w:r>
            <w:r>
              <w:rPr>
                <w:rFonts w:hint="eastAsia" w:eastAsia="宋体"/>
                <w:sz w:val="21"/>
                <w:szCs w:val="21"/>
                <w:lang w:bidi="ar"/>
              </w:rPr>
              <w:t>3-</w:t>
            </w:r>
            <w:r>
              <w:rPr>
                <w:rFonts w:eastAsia="宋体"/>
                <w:sz w:val="21"/>
                <w:szCs w:val="21"/>
                <w:lang w:bidi="ar"/>
              </w:rPr>
              <w:t>1</w:t>
            </w:r>
            <w:r>
              <w:rPr>
                <w:rFonts w:hint="eastAsia" w:eastAsia="宋体"/>
                <w:sz w:val="21"/>
                <w:szCs w:val="21"/>
                <w:lang w:val="en-US" w:eastAsia="zh-CN" w:bidi="ar"/>
              </w:rPr>
              <w:t>5</w:t>
            </w:r>
            <w:r>
              <w:rPr>
                <w:rFonts w:eastAsia="宋体"/>
                <w:sz w:val="21"/>
                <w:szCs w:val="21"/>
                <w:lang w:bidi="ar"/>
              </w:rPr>
              <w:t xml:space="preserve">  施工期噪声标准值 单位：dB(A)</w:t>
            </w:r>
          </w:p>
          <w:tbl>
            <w:tblPr>
              <w:tblStyle w:val="29"/>
              <w:tblW w:w="4997" w:type="pct"/>
              <w:tblInd w:w="1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87"/>
              <w:gridCol w:w="2783"/>
              <w:gridCol w:w="3018"/>
            </w:tblGrid>
            <w:tr w14:paraId="7B29A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3339" w:type="pct"/>
                  <w:gridSpan w:val="2"/>
                  <w:vAlign w:val="center"/>
                </w:tcPr>
                <w:p w14:paraId="6DCD7429">
                  <w:pPr>
                    <w:adjustRightInd w:val="0"/>
                    <w:snapToGrid w:val="0"/>
                    <w:spacing w:line="240" w:lineRule="atLeast"/>
                    <w:jc w:val="center"/>
                    <w:rPr>
                      <w:szCs w:val="21"/>
                    </w:rPr>
                  </w:pPr>
                  <w:r>
                    <w:rPr>
                      <w:szCs w:val="21"/>
                    </w:rPr>
                    <w:t>标准限值</w:t>
                  </w:r>
                </w:p>
              </w:tc>
              <w:tc>
                <w:tcPr>
                  <w:tcW w:w="1660" w:type="pct"/>
                  <w:vMerge w:val="restart"/>
                  <w:vAlign w:val="center"/>
                </w:tcPr>
                <w:p w14:paraId="66F69FAE">
                  <w:pPr>
                    <w:adjustRightInd w:val="0"/>
                    <w:snapToGrid w:val="0"/>
                    <w:spacing w:line="240" w:lineRule="atLeast"/>
                    <w:jc w:val="center"/>
                    <w:rPr>
                      <w:szCs w:val="21"/>
                    </w:rPr>
                  </w:pPr>
                  <w:r>
                    <w:rPr>
                      <w:szCs w:val="21"/>
                    </w:rPr>
                    <w:t>标准来源</w:t>
                  </w:r>
                </w:p>
              </w:tc>
            </w:tr>
            <w:tr w14:paraId="391A0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808" w:type="pct"/>
                  <w:vAlign w:val="center"/>
                </w:tcPr>
                <w:p w14:paraId="3BCAC430">
                  <w:pPr>
                    <w:adjustRightInd w:val="0"/>
                    <w:snapToGrid w:val="0"/>
                    <w:spacing w:line="240" w:lineRule="atLeast"/>
                    <w:jc w:val="center"/>
                    <w:rPr>
                      <w:szCs w:val="21"/>
                    </w:rPr>
                  </w:pPr>
                  <w:r>
                    <w:rPr>
                      <w:szCs w:val="21"/>
                    </w:rPr>
                    <w:t>昼间</w:t>
                  </w:r>
                </w:p>
              </w:tc>
              <w:tc>
                <w:tcPr>
                  <w:tcW w:w="1530" w:type="pct"/>
                  <w:vAlign w:val="center"/>
                </w:tcPr>
                <w:p w14:paraId="4F57F949">
                  <w:pPr>
                    <w:adjustRightInd w:val="0"/>
                    <w:snapToGrid w:val="0"/>
                    <w:spacing w:line="240" w:lineRule="atLeast"/>
                    <w:jc w:val="center"/>
                    <w:rPr>
                      <w:szCs w:val="21"/>
                    </w:rPr>
                  </w:pPr>
                  <w:r>
                    <w:rPr>
                      <w:szCs w:val="21"/>
                    </w:rPr>
                    <w:t>夜间</w:t>
                  </w:r>
                </w:p>
              </w:tc>
              <w:tc>
                <w:tcPr>
                  <w:tcW w:w="1660" w:type="pct"/>
                  <w:vMerge w:val="continue"/>
                  <w:vAlign w:val="center"/>
                </w:tcPr>
                <w:p w14:paraId="3395B9D9">
                  <w:pPr>
                    <w:adjustRightInd w:val="0"/>
                    <w:snapToGrid w:val="0"/>
                    <w:spacing w:line="240" w:lineRule="atLeast"/>
                    <w:jc w:val="center"/>
                    <w:rPr>
                      <w:szCs w:val="21"/>
                    </w:rPr>
                  </w:pPr>
                </w:p>
              </w:tc>
            </w:tr>
            <w:tr w14:paraId="12BBE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5" w:hRule="atLeast"/>
              </w:trPr>
              <w:tc>
                <w:tcPr>
                  <w:tcW w:w="1808" w:type="pct"/>
                  <w:vAlign w:val="center"/>
                </w:tcPr>
                <w:p w14:paraId="104F540D">
                  <w:pPr>
                    <w:adjustRightInd w:val="0"/>
                    <w:snapToGrid w:val="0"/>
                    <w:spacing w:line="240" w:lineRule="atLeast"/>
                    <w:jc w:val="center"/>
                    <w:rPr>
                      <w:szCs w:val="21"/>
                    </w:rPr>
                  </w:pPr>
                  <w:r>
                    <w:rPr>
                      <w:szCs w:val="21"/>
                    </w:rPr>
                    <w:t>70</w:t>
                  </w:r>
                </w:p>
              </w:tc>
              <w:tc>
                <w:tcPr>
                  <w:tcW w:w="1530" w:type="pct"/>
                  <w:vAlign w:val="center"/>
                </w:tcPr>
                <w:p w14:paraId="082948FD">
                  <w:pPr>
                    <w:adjustRightInd w:val="0"/>
                    <w:snapToGrid w:val="0"/>
                    <w:spacing w:line="240" w:lineRule="atLeast"/>
                    <w:jc w:val="center"/>
                    <w:rPr>
                      <w:szCs w:val="21"/>
                    </w:rPr>
                  </w:pPr>
                  <w:r>
                    <w:rPr>
                      <w:szCs w:val="21"/>
                    </w:rPr>
                    <w:t>55</w:t>
                  </w:r>
                </w:p>
              </w:tc>
              <w:tc>
                <w:tcPr>
                  <w:tcW w:w="1660" w:type="pct"/>
                  <w:vAlign w:val="center"/>
                </w:tcPr>
                <w:p w14:paraId="0C8DD878">
                  <w:pPr>
                    <w:adjustRightInd w:val="0"/>
                    <w:snapToGrid w:val="0"/>
                    <w:spacing w:line="240" w:lineRule="atLeast"/>
                    <w:jc w:val="center"/>
                    <w:rPr>
                      <w:rFonts w:hint="default" w:eastAsia="宋体"/>
                      <w:szCs w:val="21"/>
                      <w:lang w:val="en-US" w:eastAsia="zh-CN"/>
                    </w:rPr>
                  </w:pPr>
                  <w:r>
                    <w:rPr>
                      <w:kern w:val="0"/>
                      <w:szCs w:val="21"/>
                    </w:rPr>
                    <w:t>GB 12523-20</w:t>
                  </w:r>
                  <w:r>
                    <w:rPr>
                      <w:rFonts w:hint="eastAsia"/>
                      <w:kern w:val="0"/>
                      <w:szCs w:val="21"/>
                      <w:lang w:val="en-US" w:eastAsia="zh-CN"/>
                    </w:rPr>
                    <w:t>25</w:t>
                  </w:r>
                </w:p>
              </w:tc>
            </w:tr>
          </w:tbl>
          <w:p w14:paraId="501DBA15">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sz w:val="24"/>
              </w:rPr>
            </w:pPr>
            <w:r>
              <w:rPr>
                <w:bCs/>
                <w:sz w:val="24"/>
              </w:rPr>
              <w:t>本项目运营期噪声排放执行《工业企业厂界环境噪声排放标准》（GB12348-2008）中2类标准，其标准值见</w:t>
            </w:r>
            <w:r>
              <w:rPr>
                <w:rFonts w:hint="eastAsia"/>
                <w:sz w:val="24"/>
              </w:rPr>
              <w:t>下表。</w:t>
            </w:r>
          </w:p>
          <w:p w14:paraId="07231F6D">
            <w:pPr>
              <w:pStyle w:val="15"/>
              <w:keepNext w:val="0"/>
              <w:keepLines w:val="0"/>
              <w:pageBreakBefore w:val="0"/>
              <w:widowControl w:val="0"/>
              <w:tabs>
                <w:tab w:val="left" w:pos="2340"/>
              </w:tabs>
              <w:kinsoku/>
              <w:wordWrap/>
              <w:overflowPunct/>
              <w:topLinePunct w:val="0"/>
              <w:autoSpaceDE/>
              <w:autoSpaceDN/>
              <w:bidi w:val="0"/>
              <w:spacing w:line="480" w:lineRule="exact"/>
              <w:textAlignment w:val="auto"/>
              <w:rPr>
                <w:rFonts w:eastAsia="宋体"/>
                <w:sz w:val="21"/>
                <w:szCs w:val="21"/>
              </w:rPr>
            </w:pPr>
            <w:r>
              <w:rPr>
                <w:rFonts w:eastAsia="宋体"/>
                <w:sz w:val="21"/>
                <w:szCs w:val="21"/>
                <w:lang w:bidi="ar"/>
              </w:rPr>
              <w:t>表</w:t>
            </w:r>
            <w:r>
              <w:rPr>
                <w:rFonts w:hint="eastAsia" w:eastAsia="宋体"/>
                <w:sz w:val="21"/>
                <w:szCs w:val="21"/>
                <w:lang w:bidi="ar"/>
              </w:rPr>
              <w:t>3-</w:t>
            </w:r>
            <w:r>
              <w:rPr>
                <w:rFonts w:eastAsia="宋体"/>
                <w:sz w:val="21"/>
                <w:szCs w:val="21"/>
                <w:lang w:bidi="ar"/>
              </w:rPr>
              <w:t>1</w:t>
            </w:r>
            <w:r>
              <w:rPr>
                <w:rFonts w:hint="eastAsia" w:eastAsia="宋体"/>
                <w:sz w:val="21"/>
                <w:szCs w:val="21"/>
                <w:lang w:val="en-US" w:eastAsia="zh-CN" w:bidi="ar"/>
              </w:rPr>
              <w:t>6</w:t>
            </w:r>
            <w:r>
              <w:rPr>
                <w:rFonts w:eastAsia="宋体"/>
                <w:sz w:val="21"/>
                <w:szCs w:val="21"/>
                <w:lang w:bidi="ar"/>
              </w:rPr>
              <w:t xml:space="preserve"> 《工业企业厂界环境噪声排放标准》（GB12348-2008）</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88"/>
              <w:gridCol w:w="3454"/>
              <w:gridCol w:w="3051"/>
            </w:tblGrid>
            <w:tr w14:paraId="3246F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423" w:type="pct"/>
                  <w:vMerge w:val="restart"/>
                  <w:vAlign w:val="center"/>
                </w:tcPr>
                <w:p w14:paraId="52232BE5">
                  <w:pPr>
                    <w:spacing w:line="360" w:lineRule="exact"/>
                    <w:jc w:val="center"/>
                    <w:rPr>
                      <w:szCs w:val="21"/>
                    </w:rPr>
                  </w:pPr>
                  <w:r>
                    <w:rPr>
                      <w:szCs w:val="21"/>
                    </w:rPr>
                    <w:t>类别</w:t>
                  </w:r>
                </w:p>
              </w:tc>
              <w:tc>
                <w:tcPr>
                  <w:tcW w:w="3576" w:type="pct"/>
                  <w:gridSpan w:val="2"/>
                  <w:vAlign w:val="center"/>
                </w:tcPr>
                <w:p w14:paraId="66DA686A">
                  <w:pPr>
                    <w:spacing w:line="360" w:lineRule="exact"/>
                    <w:jc w:val="center"/>
                    <w:rPr>
                      <w:szCs w:val="21"/>
                    </w:rPr>
                  </w:pPr>
                  <w:r>
                    <w:rPr>
                      <w:szCs w:val="21"/>
                    </w:rPr>
                    <w:t>评价标准Leq：dB（A）</w:t>
                  </w:r>
                </w:p>
              </w:tc>
            </w:tr>
            <w:tr w14:paraId="4BD69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423" w:type="pct"/>
                  <w:vMerge w:val="continue"/>
                  <w:vAlign w:val="center"/>
                </w:tcPr>
                <w:p w14:paraId="07859131">
                  <w:pPr>
                    <w:spacing w:line="360" w:lineRule="exact"/>
                    <w:jc w:val="center"/>
                    <w:rPr>
                      <w:szCs w:val="21"/>
                    </w:rPr>
                  </w:pPr>
                </w:p>
              </w:tc>
              <w:tc>
                <w:tcPr>
                  <w:tcW w:w="1899" w:type="pct"/>
                  <w:vAlign w:val="center"/>
                </w:tcPr>
                <w:p w14:paraId="70BAB7B5">
                  <w:pPr>
                    <w:spacing w:line="360" w:lineRule="exact"/>
                    <w:jc w:val="center"/>
                    <w:rPr>
                      <w:szCs w:val="21"/>
                    </w:rPr>
                  </w:pPr>
                  <w:r>
                    <w:rPr>
                      <w:szCs w:val="21"/>
                    </w:rPr>
                    <w:t>昼间</w:t>
                  </w:r>
                </w:p>
              </w:tc>
              <w:tc>
                <w:tcPr>
                  <w:tcW w:w="1676" w:type="pct"/>
                  <w:vAlign w:val="center"/>
                </w:tcPr>
                <w:p w14:paraId="68FBA865">
                  <w:pPr>
                    <w:spacing w:line="360" w:lineRule="exact"/>
                    <w:jc w:val="center"/>
                    <w:rPr>
                      <w:szCs w:val="21"/>
                    </w:rPr>
                  </w:pPr>
                  <w:r>
                    <w:rPr>
                      <w:szCs w:val="21"/>
                    </w:rPr>
                    <w:t>夜间</w:t>
                  </w:r>
                </w:p>
              </w:tc>
            </w:tr>
            <w:tr w14:paraId="0252A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423" w:type="pct"/>
                  <w:vAlign w:val="center"/>
                </w:tcPr>
                <w:p w14:paraId="5133F1AF">
                  <w:pPr>
                    <w:spacing w:line="360" w:lineRule="exact"/>
                    <w:jc w:val="center"/>
                    <w:rPr>
                      <w:szCs w:val="21"/>
                    </w:rPr>
                  </w:pPr>
                  <w:r>
                    <w:rPr>
                      <w:szCs w:val="21"/>
                    </w:rPr>
                    <w:t>2类</w:t>
                  </w:r>
                </w:p>
              </w:tc>
              <w:tc>
                <w:tcPr>
                  <w:tcW w:w="1899" w:type="pct"/>
                  <w:vAlign w:val="center"/>
                </w:tcPr>
                <w:p w14:paraId="10DA8B1B">
                  <w:pPr>
                    <w:spacing w:line="360" w:lineRule="exact"/>
                    <w:jc w:val="center"/>
                    <w:rPr>
                      <w:szCs w:val="21"/>
                    </w:rPr>
                  </w:pPr>
                  <w:r>
                    <w:rPr>
                      <w:szCs w:val="21"/>
                    </w:rPr>
                    <w:t>60</w:t>
                  </w:r>
                </w:p>
              </w:tc>
              <w:tc>
                <w:tcPr>
                  <w:tcW w:w="1676" w:type="pct"/>
                  <w:vAlign w:val="center"/>
                </w:tcPr>
                <w:p w14:paraId="541761E5">
                  <w:pPr>
                    <w:spacing w:line="360" w:lineRule="exact"/>
                    <w:jc w:val="center"/>
                    <w:rPr>
                      <w:szCs w:val="21"/>
                    </w:rPr>
                  </w:pPr>
                  <w:r>
                    <w:rPr>
                      <w:szCs w:val="21"/>
                    </w:rPr>
                    <w:t>50</w:t>
                  </w:r>
                </w:p>
              </w:tc>
            </w:tr>
          </w:tbl>
          <w:p w14:paraId="3FFED762">
            <w:pPr>
              <w:keepNext w:val="0"/>
              <w:keepLines w:val="0"/>
              <w:pageBreakBefore w:val="0"/>
              <w:widowControl w:val="0"/>
              <w:kinsoku/>
              <w:wordWrap/>
              <w:overflowPunct/>
              <w:topLinePunct w:val="0"/>
              <w:autoSpaceDE/>
              <w:autoSpaceDN/>
              <w:bidi w:val="0"/>
              <w:adjustRightInd w:val="0"/>
              <w:snapToGrid w:val="0"/>
              <w:spacing w:line="480" w:lineRule="exact"/>
              <w:ind w:firstLine="482" w:firstLineChars="200"/>
              <w:textAlignment w:val="auto"/>
              <w:rPr>
                <w:b/>
                <w:bCs/>
                <w:kern w:val="0"/>
                <w:sz w:val="24"/>
              </w:rPr>
            </w:pPr>
            <w:r>
              <w:rPr>
                <w:rFonts w:hint="eastAsia"/>
                <w:b/>
                <w:bCs/>
                <w:kern w:val="0"/>
                <w:sz w:val="24"/>
              </w:rPr>
              <w:t>3.</w:t>
            </w:r>
            <w:r>
              <w:rPr>
                <w:b/>
                <w:bCs/>
                <w:kern w:val="0"/>
                <w:sz w:val="24"/>
              </w:rPr>
              <w:t>固体废物</w:t>
            </w:r>
          </w:p>
          <w:p w14:paraId="1E2B909E">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ascii="宋体" w:hAnsi="宋体" w:cs="宋体"/>
                <w:color w:val="FF0000"/>
                <w:kern w:val="0"/>
                <w:sz w:val="24"/>
              </w:rPr>
            </w:pPr>
            <w:r>
              <w:rPr>
                <w:rFonts w:hint="eastAsia"/>
                <w:bCs/>
                <w:sz w:val="24"/>
              </w:rPr>
              <w:t>一般工业固体废物执行《一般工业固体废物贮存和填埋污染控制标准》（GB18599-2020）的有关规定，采用库房、包装工具（罐、桶、包装袋）贮存一般工业固体废物过程的污染控制，其贮存过程应满足相应防渗漏、防雨淋、防扬尘等环境保护要求；危险废物储存执行《危险废物贮存污染控制标准》（GB18597-2023）的有关规定。</w:t>
            </w:r>
          </w:p>
        </w:tc>
      </w:tr>
      <w:tr w14:paraId="631CEA9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63" w:hRule="atLeast"/>
          <w:jc w:val="center"/>
        </w:trPr>
        <w:tc>
          <w:tcPr>
            <w:tcW w:w="702" w:type="dxa"/>
            <w:vAlign w:val="center"/>
          </w:tcPr>
          <w:p w14:paraId="02B657CA">
            <w:pPr>
              <w:adjustRightInd w:val="0"/>
              <w:snapToGrid w:val="0"/>
              <w:jc w:val="center"/>
              <w:rPr>
                <w:rFonts w:ascii="宋体" w:hAnsi="宋体" w:cs="宋体"/>
                <w:kern w:val="0"/>
                <w:sz w:val="24"/>
              </w:rPr>
            </w:pPr>
            <w:r>
              <w:rPr>
                <w:rFonts w:hint="eastAsia" w:ascii="宋体" w:hAnsi="宋体" w:cs="宋体"/>
                <w:kern w:val="0"/>
                <w:sz w:val="24"/>
              </w:rPr>
              <w:t>其他</w:t>
            </w:r>
          </w:p>
        </w:tc>
        <w:tc>
          <w:tcPr>
            <w:tcW w:w="9063" w:type="dxa"/>
            <w:vAlign w:val="center"/>
          </w:tcPr>
          <w:p w14:paraId="1F996278">
            <w:pPr>
              <w:pStyle w:val="4"/>
            </w:pPr>
          </w:p>
          <w:p w14:paraId="4A7B67A1">
            <w:pPr>
              <w:pStyle w:val="7"/>
            </w:pPr>
          </w:p>
          <w:p w14:paraId="15026A96">
            <w:pPr>
              <w:pStyle w:val="7"/>
            </w:pPr>
          </w:p>
          <w:p w14:paraId="25547CB6">
            <w:pPr>
              <w:pStyle w:val="2"/>
            </w:pPr>
          </w:p>
          <w:p w14:paraId="3C8D7B7A">
            <w:pPr>
              <w:spacing w:line="480" w:lineRule="exact"/>
              <w:ind w:firstLine="472" w:firstLineChars="200"/>
              <w:rPr>
                <w:spacing w:val="-2"/>
                <w:sz w:val="24"/>
              </w:rPr>
            </w:pPr>
            <w:r>
              <w:rPr>
                <w:rFonts w:hint="eastAsia"/>
                <w:spacing w:val="-2"/>
                <w:sz w:val="24"/>
              </w:rPr>
              <w:t>根据山西省生态环境厅关于印发《建设项目主要污染物排放总量指标核定办法》的通知（晋环规〔2023〕1号），本项目无有组织排放，不需要申请排放总量。</w:t>
            </w:r>
          </w:p>
          <w:p w14:paraId="67F41562">
            <w:pPr>
              <w:pStyle w:val="4"/>
              <w:rPr>
                <w:spacing w:val="-2"/>
                <w:sz w:val="24"/>
                <w:szCs w:val="24"/>
              </w:rPr>
            </w:pPr>
          </w:p>
          <w:p w14:paraId="0D102C02">
            <w:pPr>
              <w:pStyle w:val="7"/>
              <w:rPr>
                <w:spacing w:val="-2"/>
                <w:sz w:val="24"/>
              </w:rPr>
            </w:pPr>
          </w:p>
          <w:p w14:paraId="068A14D6">
            <w:pPr>
              <w:rPr>
                <w:spacing w:val="-2"/>
                <w:sz w:val="24"/>
              </w:rPr>
            </w:pPr>
          </w:p>
          <w:p w14:paraId="7A5F2049">
            <w:pPr>
              <w:pStyle w:val="2"/>
              <w:rPr>
                <w:spacing w:val="-2"/>
                <w:sz w:val="24"/>
              </w:rPr>
            </w:pPr>
          </w:p>
          <w:p w14:paraId="1621317E"/>
        </w:tc>
      </w:tr>
    </w:tbl>
    <w:p w14:paraId="4B2923CD">
      <w:pPr>
        <w:pStyle w:val="21"/>
        <w:numPr>
          <w:ilvl w:val="0"/>
          <w:numId w:val="1"/>
        </w:numPr>
        <w:jc w:val="center"/>
        <w:outlineLvl w:val="0"/>
        <w:rPr>
          <w:rFonts w:ascii="黑体" w:hAnsi="黑体" w:eastAsia="黑体"/>
          <w:snapToGrid w:val="0"/>
          <w:sz w:val="30"/>
          <w:szCs w:val="30"/>
        </w:rPr>
      </w:pPr>
      <w:r>
        <w:rPr>
          <w:rFonts w:ascii="黑体" w:hAnsi="黑体" w:eastAsia="黑体"/>
          <w:snapToGrid w:val="0"/>
          <w:kern w:val="2"/>
          <w:sz w:val="36"/>
          <w:szCs w:val="36"/>
        </w:rPr>
        <w:br w:type="page"/>
      </w:r>
      <w:r>
        <w:rPr>
          <w:rFonts w:hint="eastAsia" w:ascii="黑体" w:hAnsi="黑体" w:eastAsia="黑体"/>
          <w:snapToGrid w:val="0"/>
          <w:sz w:val="30"/>
          <w:szCs w:val="30"/>
        </w:rPr>
        <w:t>生态环境影响分析</w:t>
      </w:r>
    </w:p>
    <w:tbl>
      <w:tblPr>
        <w:tblStyle w:val="30"/>
        <w:tblW w:w="9627" w:type="dxa"/>
        <w:tblInd w:w="-57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7"/>
        <w:gridCol w:w="8550"/>
      </w:tblGrid>
      <w:tr w14:paraId="2E5C7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77" w:type="dxa"/>
            <w:vAlign w:val="center"/>
          </w:tcPr>
          <w:p w14:paraId="354BCCAC">
            <w:pPr>
              <w:pStyle w:val="21"/>
              <w:adjustRightInd w:val="0"/>
              <w:snapToGrid w:val="0"/>
              <w:spacing w:before="0" w:beforeAutospacing="0" w:after="0" w:afterAutospacing="0"/>
              <w:jc w:val="center"/>
              <w:rPr>
                <w:rFonts w:cs="宋体"/>
                <w:bCs/>
                <w:kern w:val="2"/>
                <w:sz w:val="21"/>
                <w:szCs w:val="21"/>
              </w:rPr>
            </w:pPr>
            <w:r>
              <w:rPr>
                <w:rFonts w:hint="eastAsia" w:cs="宋体"/>
                <w:bCs/>
                <w:spacing w:val="10"/>
                <w:kern w:val="2"/>
              </w:rPr>
              <w:t>施工期生态环境影响分析</w:t>
            </w:r>
          </w:p>
        </w:tc>
        <w:tc>
          <w:tcPr>
            <w:tcW w:w="8550" w:type="dxa"/>
          </w:tcPr>
          <w:p w14:paraId="0A703A31">
            <w:pPr>
              <w:keepNext w:val="0"/>
              <w:keepLines w:val="0"/>
              <w:pageBreakBefore w:val="0"/>
              <w:widowControl/>
              <w:tabs>
                <w:tab w:val="center" w:pos="4186"/>
              </w:tabs>
              <w:kinsoku/>
              <w:wordWrap/>
              <w:overflowPunct/>
              <w:topLinePunct w:val="0"/>
              <w:autoSpaceDE/>
              <w:autoSpaceDN/>
              <w:bidi w:val="0"/>
              <w:adjustRightInd/>
              <w:snapToGrid/>
              <w:spacing w:line="480" w:lineRule="exact"/>
              <w:ind w:firstLine="482" w:firstLineChars="200"/>
              <w:jc w:val="left"/>
              <w:textAlignment w:val="auto"/>
              <w:rPr>
                <w:highlight w:val="none"/>
              </w:rPr>
            </w:pPr>
            <w:r>
              <w:rPr>
                <w:rFonts w:hint="eastAsia" w:ascii="宋体" w:hAnsi="宋体" w:cs="宋体"/>
                <w:b/>
                <w:bCs/>
                <w:kern w:val="0"/>
                <w:sz w:val="24"/>
                <w:highlight w:val="none"/>
                <w:lang w:bidi="ar"/>
              </w:rPr>
              <w:t>一、施工期生态环境影响分析</w:t>
            </w:r>
            <w:r>
              <w:rPr>
                <w:rFonts w:hint="eastAsia" w:ascii="宋体" w:hAnsi="宋体" w:cs="宋体"/>
                <w:b/>
                <w:bCs/>
                <w:kern w:val="0"/>
                <w:sz w:val="24"/>
                <w:highlight w:val="none"/>
                <w:lang w:bidi="ar"/>
              </w:rPr>
              <w:tab/>
            </w:r>
          </w:p>
          <w:p w14:paraId="2E81097A">
            <w:pPr>
              <w:keepNext w:val="0"/>
              <w:keepLines w:val="0"/>
              <w:pageBreakBefore w:val="0"/>
              <w:widowControl/>
              <w:kinsoku/>
              <w:wordWrap/>
              <w:overflowPunct/>
              <w:topLinePunct w:val="0"/>
              <w:autoSpaceDE/>
              <w:autoSpaceDN/>
              <w:bidi w:val="0"/>
              <w:adjustRightInd/>
              <w:snapToGrid/>
              <w:spacing w:line="480" w:lineRule="exact"/>
              <w:ind w:firstLine="482" w:firstLineChars="200"/>
              <w:textAlignment w:val="auto"/>
              <w:rPr>
                <w:b/>
                <w:bCs/>
                <w:kern w:val="0"/>
                <w:sz w:val="24"/>
                <w:highlight w:val="none"/>
                <w:lang w:bidi="ar"/>
              </w:rPr>
            </w:pPr>
            <w:r>
              <w:rPr>
                <w:rFonts w:hint="eastAsia"/>
                <w:b/>
                <w:bCs/>
                <w:kern w:val="0"/>
                <w:sz w:val="24"/>
                <w:highlight w:val="none"/>
                <w:lang w:bidi="ar"/>
              </w:rPr>
              <w:t>1.土地资源占用影响分析</w:t>
            </w:r>
          </w:p>
          <w:p w14:paraId="11E7AF51">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kern w:val="0"/>
                <w:sz w:val="24"/>
                <w:highlight w:val="none"/>
                <w:lang w:bidi="ar"/>
              </w:rPr>
            </w:pPr>
            <w:r>
              <w:rPr>
                <w:rFonts w:hint="eastAsia"/>
                <w:kern w:val="0"/>
                <w:sz w:val="24"/>
                <w:highlight w:val="none"/>
                <w:lang w:bidi="ar"/>
              </w:rPr>
              <w:t>项目建设过程中将引起局部区域生态群落变化，但从整个区域而言，项目占用的土地不会对当地土地利用结构产生明显影响。</w:t>
            </w:r>
          </w:p>
          <w:p w14:paraId="180714F3">
            <w:pPr>
              <w:keepNext w:val="0"/>
              <w:keepLines w:val="0"/>
              <w:pageBreakBefore w:val="0"/>
              <w:widowControl/>
              <w:kinsoku/>
              <w:wordWrap/>
              <w:overflowPunct/>
              <w:topLinePunct w:val="0"/>
              <w:autoSpaceDE/>
              <w:autoSpaceDN/>
              <w:bidi w:val="0"/>
              <w:adjustRightInd/>
              <w:snapToGrid/>
              <w:spacing w:line="480" w:lineRule="exact"/>
              <w:ind w:firstLine="482" w:firstLineChars="200"/>
              <w:textAlignment w:val="auto"/>
              <w:rPr>
                <w:b/>
                <w:bCs/>
                <w:kern w:val="0"/>
                <w:sz w:val="24"/>
                <w:highlight w:val="none"/>
                <w:lang w:bidi="ar"/>
              </w:rPr>
            </w:pPr>
            <w:r>
              <w:rPr>
                <w:rFonts w:hint="eastAsia"/>
                <w:b/>
                <w:bCs/>
                <w:kern w:val="0"/>
                <w:sz w:val="24"/>
                <w:highlight w:val="none"/>
                <w:lang w:bidi="ar"/>
              </w:rPr>
              <w:t>2.对陆生植物的影响分析</w:t>
            </w:r>
          </w:p>
          <w:p w14:paraId="50971A4C">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kern w:val="0"/>
                <w:sz w:val="24"/>
                <w:highlight w:val="none"/>
                <w:lang w:bidi="ar"/>
              </w:rPr>
            </w:pPr>
            <w:r>
              <w:rPr>
                <w:rFonts w:hint="eastAsia"/>
                <w:kern w:val="0"/>
                <w:sz w:val="24"/>
                <w:highlight w:val="none"/>
                <w:lang w:bidi="ar"/>
              </w:rPr>
              <w:t>工程评价范围内植被以灌木丛植被</w:t>
            </w:r>
            <w:r>
              <w:rPr>
                <w:rFonts w:hint="eastAsia"/>
                <w:kern w:val="0"/>
                <w:sz w:val="24"/>
                <w:highlight w:val="none"/>
                <w:lang w:eastAsia="zh-CN" w:bidi="ar"/>
              </w:rPr>
              <w:t>、</w:t>
            </w:r>
            <w:r>
              <w:rPr>
                <w:rFonts w:hint="eastAsia"/>
                <w:kern w:val="0"/>
                <w:sz w:val="24"/>
                <w:highlight w:val="none"/>
                <w:lang w:val="en-US" w:eastAsia="zh-CN" w:bidi="ar"/>
              </w:rPr>
              <w:t>草丛</w:t>
            </w:r>
            <w:r>
              <w:rPr>
                <w:rFonts w:hint="eastAsia"/>
                <w:kern w:val="0"/>
                <w:sz w:val="24"/>
                <w:highlight w:val="none"/>
                <w:lang w:bidi="ar"/>
              </w:rPr>
              <w:t>为主。项目扰动范围内没有国家重点保护的珍稀濒危植物分布，植被均为本地区常见物种，工程建设</w:t>
            </w:r>
            <w:r>
              <w:rPr>
                <w:rFonts w:hint="eastAsia"/>
                <w:kern w:val="0"/>
                <w:sz w:val="24"/>
                <w:highlight w:val="none"/>
                <w:lang w:val="en-US" w:eastAsia="zh-CN" w:bidi="ar"/>
              </w:rPr>
              <w:t>区植被已完全破坏</w:t>
            </w:r>
            <w:r>
              <w:rPr>
                <w:rFonts w:hint="eastAsia"/>
                <w:kern w:val="0"/>
                <w:sz w:val="24"/>
                <w:highlight w:val="none"/>
                <w:lang w:bidi="ar"/>
              </w:rPr>
              <w:t>。</w:t>
            </w:r>
          </w:p>
          <w:p w14:paraId="27445560">
            <w:pPr>
              <w:keepNext w:val="0"/>
              <w:keepLines w:val="0"/>
              <w:pageBreakBefore w:val="0"/>
              <w:widowControl/>
              <w:kinsoku/>
              <w:wordWrap/>
              <w:overflowPunct/>
              <w:topLinePunct w:val="0"/>
              <w:autoSpaceDE/>
              <w:autoSpaceDN/>
              <w:bidi w:val="0"/>
              <w:adjustRightInd/>
              <w:snapToGrid/>
              <w:spacing w:line="480" w:lineRule="exact"/>
              <w:ind w:firstLine="482" w:firstLineChars="200"/>
              <w:textAlignment w:val="auto"/>
              <w:rPr>
                <w:b/>
                <w:bCs/>
                <w:kern w:val="0"/>
                <w:sz w:val="24"/>
                <w:highlight w:val="none"/>
                <w:lang w:bidi="ar"/>
              </w:rPr>
            </w:pPr>
            <w:r>
              <w:rPr>
                <w:rFonts w:hint="eastAsia"/>
                <w:b/>
                <w:bCs/>
                <w:kern w:val="0"/>
                <w:sz w:val="24"/>
                <w:highlight w:val="none"/>
                <w:lang w:bidi="ar"/>
              </w:rPr>
              <w:t>3.对陆生动物的影响分析</w:t>
            </w:r>
          </w:p>
          <w:p w14:paraId="17C7DF4A">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color w:val="FF0000"/>
                <w:kern w:val="0"/>
                <w:sz w:val="24"/>
                <w:highlight w:val="none"/>
                <w:lang w:bidi="ar"/>
              </w:rPr>
            </w:pPr>
            <w:r>
              <w:rPr>
                <w:rFonts w:hint="eastAsia"/>
                <w:kern w:val="0"/>
                <w:sz w:val="24"/>
                <w:highlight w:val="none"/>
                <w:lang w:bidi="ar"/>
              </w:rPr>
              <w:t>据调查，矿区范围内野生动物种类较少，未发现有受国家和地方保护的珍稀野生动物，主要影响陆生动物为鼠类、鸟类。项目开始施工后，大量施工人员、施工车辆和机械进入场地，人员活动及机械噪声会干扰鼠类、鸟类的生境，迫使一些动物种类向周围扩散，同时由于食料随着施工人员的进驻变得丰富，周边鼠类会增多。由于这些动物适应性广泛，可以顺利找到替代生境。总之，本项目建设的不利影响体现在施工场地，且区域内无珍稀的动物和鸟类，不会对当地动物和鸟类产生显著的不良影响。</w:t>
            </w:r>
          </w:p>
          <w:p w14:paraId="65011694">
            <w:pPr>
              <w:keepNext w:val="0"/>
              <w:keepLines w:val="0"/>
              <w:pageBreakBefore w:val="0"/>
              <w:widowControl/>
              <w:kinsoku/>
              <w:wordWrap/>
              <w:overflowPunct/>
              <w:topLinePunct w:val="0"/>
              <w:autoSpaceDE/>
              <w:autoSpaceDN/>
              <w:bidi w:val="0"/>
              <w:adjustRightInd/>
              <w:snapToGrid/>
              <w:spacing w:line="480" w:lineRule="exact"/>
              <w:ind w:firstLine="482" w:firstLineChars="200"/>
              <w:textAlignment w:val="auto"/>
              <w:rPr>
                <w:b/>
                <w:bCs/>
                <w:kern w:val="0"/>
                <w:sz w:val="24"/>
                <w:highlight w:val="none"/>
                <w:lang w:bidi="ar"/>
              </w:rPr>
            </w:pPr>
            <w:r>
              <w:rPr>
                <w:rFonts w:hint="eastAsia"/>
                <w:b/>
                <w:bCs/>
                <w:kern w:val="0"/>
                <w:sz w:val="24"/>
                <w:highlight w:val="none"/>
                <w:lang w:bidi="ar"/>
              </w:rPr>
              <w:t>4.对水土流失的影响分析</w:t>
            </w:r>
          </w:p>
          <w:p w14:paraId="3A532A48">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kern w:val="0"/>
                <w:sz w:val="24"/>
                <w:highlight w:val="none"/>
                <w:lang w:bidi="ar"/>
              </w:rPr>
            </w:pPr>
            <w:r>
              <w:rPr>
                <w:rFonts w:hint="eastAsia"/>
                <w:kern w:val="0"/>
                <w:sz w:val="24"/>
                <w:highlight w:val="none"/>
                <w:lang w:val="en-US" w:eastAsia="zh-CN" w:bidi="ar"/>
              </w:rPr>
              <w:t>由于资源整合前的开采，</w:t>
            </w:r>
            <w:r>
              <w:rPr>
                <w:rFonts w:hint="eastAsia"/>
                <w:kern w:val="0"/>
                <w:sz w:val="24"/>
                <w:highlight w:val="none"/>
                <w:lang w:bidi="ar"/>
              </w:rPr>
              <w:t>矿山所在区域植被</w:t>
            </w:r>
            <w:r>
              <w:rPr>
                <w:rFonts w:hint="eastAsia"/>
                <w:kern w:val="0"/>
                <w:sz w:val="24"/>
                <w:highlight w:val="none"/>
                <w:lang w:val="en-US" w:eastAsia="zh-CN" w:bidi="ar"/>
              </w:rPr>
              <w:t>已破坏殆尽</w:t>
            </w:r>
            <w:r>
              <w:rPr>
                <w:rFonts w:hint="eastAsia"/>
                <w:kern w:val="0"/>
                <w:sz w:val="24"/>
                <w:highlight w:val="none"/>
                <w:lang w:bidi="ar"/>
              </w:rPr>
              <w:t>，按土壤侵蚀类型主要为水力侵蚀。</w:t>
            </w:r>
          </w:p>
          <w:p w14:paraId="2AF726DE">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kern w:val="0"/>
                <w:sz w:val="24"/>
                <w:highlight w:val="none"/>
                <w:lang w:bidi="ar"/>
              </w:rPr>
            </w:pPr>
            <w:r>
              <w:rPr>
                <w:rFonts w:hint="eastAsia"/>
                <w:kern w:val="0"/>
                <w:sz w:val="24"/>
                <w:highlight w:val="none"/>
                <w:lang w:bidi="ar"/>
              </w:rPr>
              <w:t>本工程为露天开采，对区域水土保持的影响主要来自降雨，在降水期的水蚀和重力侵蚀作用下，易诱发滑坡和小范围的泥石流，水土流失危害主要如下：</w:t>
            </w:r>
          </w:p>
          <w:p w14:paraId="68746462">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kern w:val="0"/>
                <w:sz w:val="24"/>
                <w:highlight w:val="none"/>
                <w:lang w:bidi="ar"/>
              </w:rPr>
            </w:pPr>
            <w:r>
              <w:rPr>
                <w:rFonts w:hint="eastAsia"/>
                <w:kern w:val="0"/>
                <w:sz w:val="24"/>
                <w:highlight w:val="none"/>
                <w:lang w:bidi="ar"/>
              </w:rPr>
              <w:t>项目区内的原地貌</w:t>
            </w:r>
            <w:r>
              <w:rPr>
                <w:rFonts w:hint="eastAsia"/>
                <w:kern w:val="0"/>
                <w:sz w:val="24"/>
                <w:highlight w:val="none"/>
                <w:lang w:val="en-US" w:eastAsia="zh-CN" w:bidi="ar"/>
              </w:rPr>
              <w:t>已</w:t>
            </w:r>
            <w:r>
              <w:rPr>
                <w:rFonts w:hint="eastAsia"/>
                <w:kern w:val="0"/>
                <w:sz w:val="24"/>
                <w:highlight w:val="none"/>
                <w:lang w:bidi="ar"/>
              </w:rPr>
              <w:t>被</w:t>
            </w:r>
            <w:r>
              <w:rPr>
                <w:rFonts w:hint="eastAsia"/>
                <w:kern w:val="0"/>
                <w:sz w:val="24"/>
                <w:highlight w:val="none"/>
                <w:lang w:val="en-US" w:eastAsia="zh-CN" w:bidi="ar"/>
              </w:rPr>
              <w:t>破坏殆尽</w:t>
            </w:r>
            <w:r>
              <w:rPr>
                <w:rFonts w:hint="eastAsia"/>
                <w:kern w:val="0"/>
                <w:sz w:val="24"/>
                <w:highlight w:val="none"/>
                <w:lang w:bidi="ar"/>
              </w:rPr>
              <w:t>，地表土层和植被也被</w:t>
            </w:r>
            <w:r>
              <w:rPr>
                <w:rFonts w:hint="eastAsia"/>
                <w:kern w:val="0"/>
                <w:sz w:val="24"/>
                <w:highlight w:val="none"/>
                <w:lang w:val="en-US" w:eastAsia="zh-CN" w:bidi="ar"/>
              </w:rPr>
              <w:t>破坏殆尽</w:t>
            </w:r>
            <w:r>
              <w:rPr>
                <w:rFonts w:hint="eastAsia"/>
                <w:kern w:val="0"/>
                <w:sz w:val="24"/>
                <w:highlight w:val="none"/>
                <w:lang w:bidi="ar"/>
              </w:rPr>
              <w:t>，大大降低了地表土壤的抗蚀能力，在雨季会造成周边径流泥沙量的增加；在旱季会产生大量扬尘，给周边居民的生产、生活造成不便，影响周边植被的生产，导致生态环境恶化。</w:t>
            </w:r>
          </w:p>
          <w:p w14:paraId="3E2A5AAF">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color w:val="FF0000"/>
                <w:kern w:val="0"/>
                <w:sz w:val="24"/>
                <w:highlight w:val="none"/>
                <w:lang w:bidi="ar"/>
              </w:rPr>
            </w:pPr>
            <w:r>
              <w:rPr>
                <w:rFonts w:hint="eastAsia"/>
                <w:kern w:val="0"/>
                <w:sz w:val="24"/>
                <w:highlight w:val="none"/>
                <w:lang w:bidi="ar"/>
              </w:rPr>
              <w:t>原地貌因扰动损坏而加剧水土流失，有的水土流失顺着沟道、坡道流入农田，造成农田淤积，甚至覆盖庄稼，危害作物生产。</w:t>
            </w:r>
          </w:p>
          <w:p w14:paraId="4D0880DF">
            <w:pPr>
              <w:keepNext w:val="0"/>
              <w:keepLines w:val="0"/>
              <w:pageBreakBefore w:val="0"/>
              <w:widowControl/>
              <w:kinsoku/>
              <w:wordWrap/>
              <w:overflowPunct/>
              <w:topLinePunct w:val="0"/>
              <w:autoSpaceDE/>
              <w:autoSpaceDN/>
              <w:bidi w:val="0"/>
              <w:adjustRightInd/>
              <w:snapToGrid/>
              <w:spacing w:line="480" w:lineRule="exact"/>
              <w:ind w:firstLine="482" w:firstLineChars="200"/>
              <w:textAlignment w:val="auto"/>
              <w:rPr>
                <w:kern w:val="0"/>
                <w:sz w:val="24"/>
                <w:highlight w:val="none"/>
                <w:lang w:bidi="ar"/>
              </w:rPr>
            </w:pPr>
            <w:r>
              <w:rPr>
                <w:rFonts w:hint="eastAsia"/>
                <w:b/>
                <w:bCs/>
                <w:kern w:val="0"/>
                <w:sz w:val="24"/>
                <w:highlight w:val="none"/>
                <w:lang w:bidi="ar"/>
              </w:rPr>
              <w:t>5.对生物多样性的影响分析</w:t>
            </w:r>
          </w:p>
          <w:p w14:paraId="4D8E957B">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kern w:val="0"/>
                <w:sz w:val="24"/>
                <w:highlight w:val="none"/>
                <w:lang w:bidi="ar"/>
              </w:rPr>
            </w:pPr>
            <w:r>
              <w:rPr>
                <w:rFonts w:hint="eastAsia"/>
                <w:kern w:val="0"/>
                <w:sz w:val="24"/>
                <w:highlight w:val="none"/>
                <w:lang w:bidi="ar"/>
              </w:rPr>
              <w:t>项目区内没有濒危的重点保护植被，项目的施工区较小，施工量较少</w:t>
            </w:r>
            <w:r>
              <w:rPr>
                <w:rFonts w:hint="eastAsia"/>
                <w:kern w:val="0"/>
                <w:sz w:val="24"/>
                <w:highlight w:val="none"/>
                <w:lang w:eastAsia="zh-CN" w:bidi="ar"/>
              </w:rPr>
              <w:t>。</w:t>
            </w:r>
            <w:r>
              <w:rPr>
                <w:rFonts w:hint="eastAsia"/>
                <w:kern w:val="0"/>
                <w:sz w:val="24"/>
                <w:highlight w:val="none"/>
                <w:lang w:val="en-US" w:eastAsia="zh-CN" w:bidi="ar"/>
              </w:rPr>
              <w:t>由于资源整合前的开采，</w:t>
            </w:r>
            <w:r>
              <w:rPr>
                <w:rFonts w:hint="eastAsia"/>
                <w:kern w:val="0"/>
                <w:sz w:val="24"/>
                <w:highlight w:val="none"/>
                <w:lang w:bidi="ar"/>
              </w:rPr>
              <w:t>矿山所在区域植被</w:t>
            </w:r>
            <w:r>
              <w:rPr>
                <w:rFonts w:hint="eastAsia"/>
                <w:kern w:val="0"/>
                <w:sz w:val="24"/>
                <w:highlight w:val="none"/>
                <w:lang w:val="en-US" w:eastAsia="zh-CN" w:bidi="ar"/>
              </w:rPr>
              <w:t>已破坏殆尽</w:t>
            </w:r>
            <w:r>
              <w:rPr>
                <w:rFonts w:hint="eastAsia"/>
                <w:kern w:val="0"/>
                <w:sz w:val="24"/>
                <w:highlight w:val="none"/>
                <w:lang w:eastAsia="zh-CN" w:bidi="ar"/>
              </w:rPr>
              <w:t>。</w:t>
            </w:r>
            <w:r>
              <w:rPr>
                <w:rFonts w:hint="eastAsia"/>
                <w:kern w:val="0"/>
                <w:sz w:val="24"/>
                <w:highlight w:val="none"/>
                <w:lang w:bidi="ar"/>
              </w:rPr>
              <w:t>施工不会影响到动物的正常迁徙、运动。因此，本次工程不会引起区域内生态系统结构和功能的改变，对生物多样性影响很小。</w:t>
            </w:r>
          </w:p>
          <w:p w14:paraId="35BEDC09">
            <w:pPr>
              <w:keepNext w:val="0"/>
              <w:keepLines w:val="0"/>
              <w:pageBreakBefore w:val="0"/>
              <w:widowControl/>
              <w:kinsoku/>
              <w:wordWrap/>
              <w:overflowPunct/>
              <w:topLinePunct w:val="0"/>
              <w:autoSpaceDE/>
              <w:autoSpaceDN/>
              <w:bidi w:val="0"/>
              <w:adjustRightInd/>
              <w:snapToGrid/>
              <w:spacing w:line="480" w:lineRule="exact"/>
              <w:ind w:firstLine="482" w:firstLineChars="200"/>
              <w:textAlignment w:val="auto"/>
            </w:pPr>
            <w:r>
              <w:rPr>
                <w:rFonts w:hint="eastAsia"/>
                <w:b/>
                <w:bCs/>
                <w:kern w:val="0"/>
                <w:sz w:val="24"/>
                <w:lang w:bidi="ar"/>
              </w:rPr>
              <w:t>二</w:t>
            </w:r>
            <w:r>
              <w:rPr>
                <w:b/>
                <w:bCs/>
                <w:kern w:val="0"/>
                <w:sz w:val="24"/>
                <w:lang w:bidi="ar"/>
              </w:rPr>
              <w:t>、施工期污染影响分析</w:t>
            </w:r>
          </w:p>
          <w:p w14:paraId="09C69058">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color w:val="FF0000"/>
              </w:rPr>
            </w:pPr>
            <w:r>
              <w:rPr>
                <w:kern w:val="0"/>
                <w:sz w:val="24"/>
                <w:lang w:bidi="ar"/>
              </w:rPr>
              <w:t>根据上述分析可知，施工期产生的污染物主要为施工扬尘、施工机械废气、施工废水、施工噪声以及施工固废</w:t>
            </w:r>
            <w:r>
              <w:rPr>
                <w:rFonts w:hint="eastAsia"/>
                <w:kern w:val="0"/>
                <w:sz w:val="24"/>
                <w:lang w:bidi="ar"/>
              </w:rPr>
              <w:t>等</w:t>
            </w:r>
            <w:r>
              <w:rPr>
                <w:kern w:val="0"/>
                <w:sz w:val="24"/>
                <w:lang w:bidi="ar"/>
              </w:rPr>
              <w:t>。</w:t>
            </w:r>
          </w:p>
          <w:p w14:paraId="20275120">
            <w:pPr>
              <w:keepNext w:val="0"/>
              <w:keepLines w:val="0"/>
              <w:pageBreakBefore w:val="0"/>
              <w:widowControl/>
              <w:kinsoku/>
              <w:wordWrap/>
              <w:overflowPunct/>
              <w:topLinePunct w:val="0"/>
              <w:autoSpaceDE/>
              <w:autoSpaceDN/>
              <w:bidi w:val="0"/>
              <w:adjustRightInd/>
              <w:snapToGrid/>
              <w:spacing w:line="480" w:lineRule="exact"/>
              <w:ind w:firstLine="482" w:firstLineChars="200"/>
              <w:textAlignment w:val="auto"/>
            </w:pPr>
            <w:r>
              <w:rPr>
                <w:rFonts w:hint="eastAsia"/>
                <w:b/>
                <w:bCs/>
                <w:kern w:val="0"/>
                <w:sz w:val="24"/>
                <w:lang w:bidi="ar"/>
              </w:rPr>
              <w:t>1.施工期</w:t>
            </w:r>
            <w:r>
              <w:rPr>
                <w:b/>
                <w:bCs/>
                <w:kern w:val="0"/>
                <w:sz w:val="24"/>
                <w:lang w:bidi="ar"/>
              </w:rPr>
              <w:t>大气</w:t>
            </w:r>
            <w:r>
              <w:rPr>
                <w:rFonts w:hint="eastAsia"/>
                <w:b/>
                <w:bCs/>
                <w:kern w:val="0"/>
                <w:sz w:val="24"/>
                <w:lang w:bidi="ar"/>
              </w:rPr>
              <w:t>环境影响分析</w:t>
            </w:r>
          </w:p>
          <w:p w14:paraId="0F829CE9">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kern w:val="0"/>
                <w:sz w:val="24"/>
                <w:lang w:bidi="ar"/>
              </w:rPr>
            </w:pPr>
            <w:r>
              <w:rPr>
                <w:rFonts w:hint="eastAsia"/>
                <w:kern w:val="0"/>
                <w:sz w:val="24"/>
                <w:lang w:bidi="ar"/>
              </w:rPr>
              <w:t>本项目建设施工的主要内容包括：土方挖填、施工材料装卸等。因此，施工期间会产生施工扬尘，从而导致空气中的悬浮物颗粒浓度增大，对项目周围大气环境会造成一定的影响。同时，施工机械、运输车辆排放的尾气也将对该区域的环境产生一定的影响。</w:t>
            </w:r>
          </w:p>
          <w:p w14:paraId="57085358">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kern w:val="0"/>
                <w:sz w:val="24"/>
                <w:lang w:bidi="ar"/>
              </w:rPr>
            </w:pPr>
            <w:r>
              <w:rPr>
                <w:kern w:val="0"/>
                <w:sz w:val="24"/>
                <w:lang w:bidi="ar"/>
              </w:rPr>
              <w:t>（1）</w:t>
            </w:r>
            <w:r>
              <w:rPr>
                <w:rFonts w:hint="eastAsia"/>
                <w:kern w:val="0"/>
                <w:sz w:val="24"/>
                <w:lang w:bidi="ar"/>
              </w:rPr>
              <w:t>施工</w:t>
            </w:r>
            <w:r>
              <w:rPr>
                <w:kern w:val="0"/>
                <w:sz w:val="24"/>
                <w:lang w:bidi="ar"/>
              </w:rPr>
              <w:t>扬尘</w:t>
            </w:r>
            <w:r>
              <w:rPr>
                <w:rFonts w:hint="eastAsia"/>
                <w:kern w:val="0"/>
                <w:sz w:val="24"/>
                <w:lang w:bidi="ar"/>
              </w:rPr>
              <w:t>影响分析</w:t>
            </w:r>
          </w:p>
          <w:p w14:paraId="2FB11EAE">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sz w:val="24"/>
              </w:rPr>
            </w:pPr>
            <w:r>
              <w:rPr>
                <w:rFonts w:hint="eastAsia" w:ascii="宋体" w:hAnsi="宋体" w:cs="宋体"/>
                <w:kern w:val="0"/>
                <w:sz w:val="24"/>
                <w:lang w:bidi="ar"/>
              </w:rPr>
              <w:t>施工扬尘的排放源属于无组织的面源。本次参照</w:t>
            </w:r>
            <w:r>
              <w:rPr>
                <w:rFonts w:hint="eastAsia"/>
                <w:sz w:val="24"/>
              </w:rPr>
              <w:t>《扬尘源颗粒物排放清单编制技术指南》（环保部（2014年第92号））进行计算。具体计算过程如下：</w:t>
            </w:r>
          </w:p>
          <w:p w14:paraId="156F001D">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sz w:val="24"/>
              </w:rPr>
            </w:pPr>
            <w:r>
              <w:rPr>
                <w:rFonts w:hint="eastAsia"/>
                <w:sz w:val="24"/>
              </w:rPr>
              <w:t>施工扬尘源中颗粒物排放量的总体计算公式如下：</w:t>
            </w:r>
          </w:p>
          <w:p w14:paraId="6ABEE0B2">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sz w:val="24"/>
              </w:rPr>
            </w:pPr>
            <w:r>
              <w:rPr>
                <w:rFonts w:hint="eastAsia"/>
                <w:sz w:val="24"/>
              </w:rPr>
              <w:t>W</w:t>
            </w:r>
            <w:r>
              <w:rPr>
                <w:rFonts w:hint="eastAsia"/>
                <w:sz w:val="24"/>
                <w:vertAlign w:val="subscript"/>
              </w:rPr>
              <w:t>Ci</w:t>
            </w:r>
            <w:r>
              <w:rPr>
                <w:rFonts w:hint="eastAsia"/>
                <w:sz w:val="24"/>
              </w:rPr>
              <w:t>=E</w:t>
            </w:r>
            <w:r>
              <w:rPr>
                <w:rFonts w:hint="eastAsia"/>
                <w:sz w:val="24"/>
                <w:vertAlign w:val="subscript"/>
              </w:rPr>
              <w:t>Ci</w:t>
            </w:r>
            <w:r>
              <w:rPr>
                <w:rFonts w:hint="eastAsia"/>
                <w:sz w:val="24"/>
              </w:rPr>
              <w:t>×A</w:t>
            </w:r>
            <w:r>
              <w:rPr>
                <w:rFonts w:hint="eastAsia"/>
                <w:sz w:val="24"/>
                <w:vertAlign w:val="subscript"/>
              </w:rPr>
              <w:t>C</w:t>
            </w:r>
            <w:r>
              <w:rPr>
                <w:rFonts w:hint="eastAsia"/>
                <w:sz w:val="24"/>
              </w:rPr>
              <w:t>×T</w:t>
            </w:r>
          </w:p>
          <w:p w14:paraId="5A088207">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sz w:val="24"/>
              </w:rPr>
            </w:pPr>
            <w:r>
              <w:rPr>
                <w:rFonts w:hint="eastAsia"/>
                <w:sz w:val="24"/>
              </w:rPr>
              <w:t>E</w:t>
            </w:r>
            <w:r>
              <w:rPr>
                <w:rFonts w:hint="eastAsia"/>
                <w:sz w:val="24"/>
                <w:vertAlign w:val="subscript"/>
              </w:rPr>
              <w:t>Ci</w:t>
            </w:r>
            <w:r>
              <w:rPr>
                <w:rFonts w:hint="eastAsia"/>
                <w:sz w:val="24"/>
              </w:rPr>
              <w:t>=2.69×10</w:t>
            </w:r>
            <w:r>
              <w:rPr>
                <w:rFonts w:hint="eastAsia"/>
                <w:sz w:val="24"/>
                <w:vertAlign w:val="superscript"/>
              </w:rPr>
              <w:t>-4</w:t>
            </w:r>
            <w:r>
              <w:rPr>
                <w:rFonts w:hint="eastAsia"/>
                <w:sz w:val="24"/>
              </w:rPr>
              <w:t>×（1-</w:t>
            </w:r>
            <w:r>
              <w:t>η</w:t>
            </w:r>
            <w:r>
              <w:rPr>
                <w:rFonts w:hint="eastAsia"/>
                <w:sz w:val="24"/>
              </w:rPr>
              <w:t>）</w:t>
            </w:r>
          </w:p>
          <w:p w14:paraId="09991727">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sz w:val="24"/>
              </w:rPr>
            </w:pPr>
            <w:r>
              <w:rPr>
                <w:sz w:val="24"/>
              </w:rPr>
              <w:t>W</w:t>
            </w:r>
            <w:r>
              <w:rPr>
                <w:sz w:val="24"/>
                <w:vertAlign w:val="subscript"/>
              </w:rPr>
              <w:t>Ci</w:t>
            </w:r>
            <w:r>
              <w:rPr>
                <w:sz w:val="24"/>
              </w:rPr>
              <w:t xml:space="preserve"> 为施工扬尘源中PMi 总排放量，t/a</w:t>
            </w:r>
            <w:r>
              <w:rPr>
                <w:rFonts w:hint="eastAsia"/>
                <w:sz w:val="24"/>
              </w:rPr>
              <w:t>；</w:t>
            </w:r>
          </w:p>
          <w:p w14:paraId="4A636B6D">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sz w:val="24"/>
              </w:rPr>
            </w:pPr>
            <w:r>
              <w:rPr>
                <w:rFonts w:hint="eastAsia"/>
                <w:sz w:val="24"/>
              </w:rPr>
              <w:t>E</w:t>
            </w:r>
            <w:r>
              <w:rPr>
                <w:rFonts w:hint="eastAsia"/>
                <w:sz w:val="24"/>
                <w:vertAlign w:val="subscript"/>
              </w:rPr>
              <w:t>Ci</w:t>
            </w:r>
            <w:r>
              <w:rPr>
                <w:rFonts w:hint="eastAsia"/>
                <w:sz w:val="24"/>
              </w:rPr>
              <w:t>为整个施工工地PMi的平均排放系数，t/（m</w:t>
            </w:r>
            <w:r>
              <w:rPr>
                <w:rFonts w:hint="eastAsia"/>
                <w:sz w:val="24"/>
                <w:vertAlign w:val="superscript"/>
              </w:rPr>
              <w:t>2</w:t>
            </w:r>
            <w:r>
              <w:rPr>
                <w:rFonts w:hint="eastAsia"/>
                <w:sz w:val="24"/>
              </w:rPr>
              <w:t>▪月）；</w:t>
            </w:r>
          </w:p>
          <w:p w14:paraId="6792FE99">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sz w:val="24"/>
              </w:rPr>
            </w:pPr>
            <w:r>
              <w:rPr>
                <w:rFonts w:hint="eastAsia"/>
                <w:sz w:val="24"/>
              </w:rPr>
              <w:t>Ac为施工区域面积，m</w:t>
            </w:r>
            <w:r>
              <w:rPr>
                <w:rFonts w:hint="eastAsia"/>
                <w:sz w:val="24"/>
                <w:vertAlign w:val="superscript"/>
              </w:rPr>
              <w:t>2</w:t>
            </w:r>
            <w:r>
              <w:rPr>
                <w:rFonts w:hint="eastAsia"/>
                <w:sz w:val="24"/>
              </w:rPr>
              <w:t>；</w:t>
            </w:r>
          </w:p>
          <w:p w14:paraId="1EB325C4">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sz w:val="24"/>
              </w:rPr>
            </w:pPr>
            <w:r>
              <w:rPr>
                <w:rFonts w:hint="eastAsia"/>
                <w:sz w:val="24"/>
              </w:rPr>
              <w:t>T为工地的施工月份数，一般按施工天数/30计算；</w:t>
            </w:r>
          </w:p>
          <w:p w14:paraId="2125BA92">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sz w:val="24"/>
              </w:rPr>
            </w:pPr>
            <w:r>
              <w:rPr>
                <w:sz w:val="24"/>
              </w:rPr>
              <w:t>η为污染控制技术对扬尘的去除效率，%</w:t>
            </w:r>
            <w:r>
              <w:rPr>
                <w:rFonts w:hint="eastAsia"/>
                <w:sz w:val="24"/>
              </w:rPr>
              <w:t>。</w:t>
            </w:r>
          </w:p>
          <w:p w14:paraId="134243FD">
            <w:pPr>
              <w:pStyle w:val="15"/>
              <w:keepNext w:val="0"/>
              <w:keepLines w:val="0"/>
              <w:pageBreakBefore w:val="0"/>
              <w:widowControl/>
              <w:kinsoku/>
              <w:wordWrap/>
              <w:overflowPunct/>
              <w:topLinePunct w:val="0"/>
              <w:autoSpaceDE/>
              <w:autoSpaceDN/>
              <w:bidi w:val="0"/>
              <w:adjustRightInd/>
              <w:snapToGrid/>
              <w:spacing w:line="480" w:lineRule="exact"/>
              <w:ind w:firstLine="420" w:firstLineChars="200"/>
              <w:textAlignment w:val="auto"/>
              <w:rPr>
                <w:sz w:val="21"/>
                <w:szCs w:val="21"/>
              </w:rPr>
            </w:pPr>
            <w:r>
              <w:rPr>
                <w:rFonts w:hint="eastAsia" w:ascii="宋体" w:hAnsi="宋体" w:eastAsia="宋体" w:cs="宋体"/>
                <w:sz w:val="21"/>
                <w:szCs w:val="21"/>
              </w:rPr>
              <w:t>表</w:t>
            </w:r>
            <w:r>
              <w:rPr>
                <w:rFonts w:eastAsia="宋体"/>
                <w:sz w:val="21"/>
                <w:szCs w:val="21"/>
              </w:rPr>
              <w:t>4-1</w:t>
            </w:r>
            <w:r>
              <w:rPr>
                <w:rFonts w:hint="eastAsia" w:ascii="宋体" w:hAnsi="宋体" w:eastAsia="宋体" w:cs="宋体"/>
                <w:sz w:val="21"/>
                <w:szCs w:val="21"/>
              </w:rPr>
              <w:t xml:space="preserve"> 施工扬尘控制措施的控制效率</w:t>
            </w:r>
          </w:p>
          <w:tbl>
            <w:tblPr>
              <w:tblStyle w:val="3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37"/>
              <w:gridCol w:w="4641"/>
              <w:gridCol w:w="1743"/>
            </w:tblGrid>
            <w:tr w14:paraId="3CB02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52" w:type="pct"/>
                  <w:gridSpan w:val="2"/>
                  <w:tcBorders>
                    <w:tl2br w:val="nil"/>
                    <w:tr2bl w:val="nil"/>
                  </w:tcBorders>
                  <w:vAlign w:val="center"/>
                </w:tcPr>
                <w:p w14:paraId="298A4CC1">
                  <w:pPr>
                    <w:pStyle w:val="63"/>
                    <w:spacing w:line="240" w:lineRule="exact"/>
                    <w:rPr>
                      <w:rFonts w:ascii="Times New Roman" w:hAnsi="Times New Roman" w:cs="Times New Roman"/>
                      <w:szCs w:val="21"/>
                    </w:rPr>
                  </w:pPr>
                  <w:r>
                    <w:rPr>
                      <w:rFonts w:hint="eastAsia" w:ascii="Times New Roman" w:hAnsi="Times New Roman" w:cs="Times New Roman"/>
                      <w:szCs w:val="21"/>
                    </w:rPr>
                    <w:t>控制措施</w:t>
                  </w:r>
                </w:p>
              </w:tc>
              <w:tc>
                <w:tcPr>
                  <w:tcW w:w="1047" w:type="pct"/>
                  <w:tcBorders>
                    <w:tl2br w:val="nil"/>
                    <w:tr2bl w:val="nil"/>
                  </w:tcBorders>
                  <w:vAlign w:val="center"/>
                </w:tcPr>
                <w:p w14:paraId="22864F3D">
                  <w:pPr>
                    <w:pStyle w:val="63"/>
                    <w:spacing w:line="240" w:lineRule="exact"/>
                    <w:rPr>
                      <w:rFonts w:ascii="Times New Roman" w:hAnsi="Times New Roman" w:cs="Times New Roman"/>
                      <w:szCs w:val="21"/>
                    </w:rPr>
                  </w:pPr>
                  <w:r>
                    <w:rPr>
                      <w:rFonts w:hint="eastAsia" w:ascii="Times New Roman" w:hAnsi="Times New Roman" w:cs="Times New Roman"/>
                      <w:szCs w:val="21"/>
                    </w:rPr>
                    <w:t>TSP控制效率</w:t>
                  </w:r>
                </w:p>
              </w:tc>
            </w:tr>
            <w:tr w14:paraId="15A9F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1164" w:type="pct"/>
                  <w:tcBorders>
                    <w:tl2br w:val="nil"/>
                    <w:tr2bl w:val="nil"/>
                  </w:tcBorders>
                  <w:vAlign w:val="center"/>
                </w:tcPr>
                <w:p w14:paraId="5CD6DA32">
                  <w:pPr>
                    <w:pStyle w:val="63"/>
                    <w:spacing w:line="240" w:lineRule="exact"/>
                    <w:rPr>
                      <w:rFonts w:ascii="Times New Roman" w:hAnsi="Times New Roman" w:cs="Times New Roman"/>
                      <w:szCs w:val="21"/>
                    </w:rPr>
                  </w:pPr>
                  <w:r>
                    <w:rPr>
                      <w:rFonts w:hint="eastAsia" w:ascii="Times New Roman" w:hAnsi="Times New Roman" w:cs="Times New Roman"/>
                      <w:szCs w:val="21"/>
                    </w:rPr>
                    <w:t>路面铺装和洒水</w:t>
                  </w:r>
                </w:p>
              </w:tc>
              <w:tc>
                <w:tcPr>
                  <w:tcW w:w="2788" w:type="pct"/>
                  <w:tcBorders>
                    <w:tl2br w:val="nil"/>
                    <w:tr2bl w:val="nil"/>
                  </w:tcBorders>
                  <w:vAlign w:val="center"/>
                </w:tcPr>
                <w:p w14:paraId="1A481F37">
                  <w:pPr>
                    <w:pStyle w:val="63"/>
                    <w:spacing w:line="240" w:lineRule="exact"/>
                    <w:rPr>
                      <w:rFonts w:ascii="Times New Roman" w:hAnsi="Times New Roman" w:cs="Times New Roman"/>
                      <w:szCs w:val="21"/>
                    </w:rPr>
                  </w:pPr>
                  <w:r>
                    <w:rPr>
                      <w:rFonts w:hint="eastAsia" w:ascii="Times New Roman" w:hAnsi="Times New Roman" w:cs="Times New Roman"/>
                      <w:szCs w:val="21"/>
                    </w:rPr>
                    <w:t>铺装混凝土，洒水强度（W）=0.6mmH</w:t>
                  </w:r>
                  <w:r>
                    <w:rPr>
                      <w:rFonts w:hint="eastAsia" w:ascii="Times New Roman" w:hAnsi="Times New Roman" w:cs="Times New Roman"/>
                      <w:szCs w:val="21"/>
                      <w:vertAlign w:val="subscript"/>
                    </w:rPr>
                    <w:t>2</w:t>
                  </w:r>
                  <w:r>
                    <w:rPr>
                      <w:rFonts w:hint="eastAsia" w:ascii="Times New Roman" w:hAnsi="Times New Roman" w:cs="Times New Roman"/>
                      <w:szCs w:val="21"/>
                    </w:rPr>
                    <w:t>O/hr</w:t>
                  </w:r>
                </w:p>
              </w:tc>
              <w:tc>
                <w:tcPr>
                  <w:tcW w:w="1047" w:type="pct"/>
                  <w:tcBorders>
                    <w:tl2br w:val="nil"/>
                    <w:tr2bl w:val="nil"/>
                  </w:tcBorders>
                  <w:vAlign w:val="center"/>
                </w:tcPr>
                <w:p w14:paraId="0EC630EC">
                  <w:pPr>
                    <w:pStyle w:val="63"/>
                    <w:spacing w:line="240" w:lineRule="exact"/>
                    <w:rPr>
                      <w:rFonts w:ascii="Times New Roman" w:hAnsi="Times New Roman" w:cs="Times New Roman"/>
                      <w:szCs w:val="21"/>
                    </w:rPr>
                  </w:pPr>
                  <w:r>
                    <w:rPr>
                      <w:rFonts w:hint="eastAsia" w:ascii="Times New Roman" w:hAnsi="Times New Roman" w:cs="Times New Roman"/>
                      <w:szCs w:val="21"/>
                    </w:rPr>
                    <w:t>96%</w:t>
                  </w:r>
                </w:p>
              </w:tc>
            </w:tr>
            <w:tr w14:paraId="02AD9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64" w:type="pct"/>
                  <w:vMerge w:val="restart"/>
                  <w:tcBorders>
                    <w:tl2br w:val="nil"/>
                    <w:tr2bl w:val="nil"/>
                  </w:tcBorders>
                  <w:vAlign w:val="center"/>
                </w:tcPr>
                <w:p w14:paraId="4A1F3520">
                  <w:pPr>
                    <w:pStyle w:val="63"/>
                    <w:spacing w:line="240" w:lineRule="exact"/>
                    <w:rPr>
                      <w:rFonts w:ascii="Times New Roman" w:hAnsi="Times New Roman" w:cs="Times New Roman"/>
                      <w:szCs w:val="21"/>
                    </w:rPr>
                  </w:pPr>
                  <w:r>
                    <w:rPr>
                      <w:rFonts w:hint="eastAsia" w:ascii="Times New Roman" w:hAnsi="Times New Roman" w:cs="Times New Roman"/>
                      <w:szCs w:val="21"/>
                    </w:rPr>
                    <w:t>防尘网</w:t>
                  </w:r>
                </w:p>
              </w:tc>
              <w:tc>
                <w:tcPr>
                  <w:tcW w:w="2788" w:type="pct"/>
                  <w:tcBorders>
                    <w:tl2br w:val="nil"/>
                    <w:tr2bl w:val="nil"/>
                  </w:tcBorders>
                  <w:vAlign w:val="center"/>
                </w:tcPr>
                <w:p w14:paraId="3E126A2F">
                  <w:pPr>
                    <w:pStyle w:val="63"/>
                    <w:spacing w:line="240" w:lineRule="exact"/>
                    <w:rPr>
                      <w:rFonts w:ascii="Times New Roman" w:hAnsi="Times New Roman" w:cs="Times New Roman"/>
                      <w:szCs w:val="21"/>
                    </w:rPr>
                  </w:pPr>
                  <w:r>
                    <w:rPr>
                      <w:rFonts w:hint="eastAsia" w:ascii="Times New Roman" w:hAnsi="Times New Roman" w:cs="Times New Roman"/>
                      <w:szCs w:val="21"/>
                    </w:rPr>
                    <w:t>尼龙塑胶网网径0.5mm，网距3mm</w:t>
                  </w:r>
                </w:p>
              </w:tc>
              <w:tc>
                <w:tcPr>
                  <w:tcW w:w="1047" w:type="pct"/>
                  <w:tcBorders>
                    <w:tl2br w:val="nil"/>
                    <w:tr2bl w:val="nil"/>
                  </w:tcBorders>
                  <w:vAlign w:val="center"/>
                </w:tcPr>
                <w:p w14:paraId="0DCECAA5">
                  <w:pPr>
                    <w:pStyle w:val="63"/>
                    <w:spacing w:line="240" w:lineRule="exact"/>
                    <w:rPr>
                      <w:rFonts w:ascii="Times New Roman" w:hAnsi="Times New Roman" w:cs="Times New Roman"/>
                      <w:szCs w:val="21"/>
                    </w:rPr>
                  </w:pPr>
                  <w:r>
                    <w:rPr>
                      <w:rFonts w:hint="eastAsia" w:ascii="Times New Roman" w:hAnsi="Times New Roman" w:cs="Times New Roman"/>
                      <w:szCs w:val="21"/>
                    </w:rPr>
                    <w:t>24%</w:t>
                  </w:r>
                </w:p>
              </w:tc>
            </w:tr>
            <w:tr w14:paraId="2272A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64" w:type="pct"/>
                  <w:vMerge w:val="continue"/>
                  <w:tcBorders>
                    <w:tl2br w:val="nil"/>
                    <w:tr2bl w:val="nil"/>
                  </w:tcBorders>
                  <w:vAlign w:val="center"/>
                </w:tcPr>
                <w:p w14:paraId="79AACD82">
                  <w:pPr>
                    <w:pStyle w:val="63"/>
                    <w:spacing w:line="240" w:lineRule="exact"/>
                    <w:rPr>
                      <w:rFonts w:ascii="Times New Roman" w:hAnsi="Times New Roman" w:cs="Times New Roman"/>
                      <w:szCs w:val="21"/>
                    </w:rPr>
                  </w:pPr>
                </w:p>
              </w:tc>
              <w:tc>
                <w:tcPr>
                  <w:tcW w:w="2788" w:type="pct"/>
                  <w:tcBorders>
                    <w:tl2br w:val="nil"/>
                    <w:tr2bl w:val="nil"/>
                  </w:tcBorders>
                  <w:vAlign w:val="center"/>
                </w:tcPr>
                <w:p w14:paraId="2926AC9E">
                  <w:pPr>
                    <w:pStyle w:val="63"/>
                    <w:spacing w:line="240" w:lineRule="exact"/>
                    <w:rPr>
                      <w:rFonts w:ascii="Times New Roman" w:hAnsi="Times New Roman" w:cs="Times New Roman"/>
                      <w:szCs w:val="21"/>
                    </w:rPr>
                  </w:pPr>
                  <w:r>
                    <w:rPr>
                      <w:rFonts w:hint="eastAsia" w:ascii="Times New Roman" w:hAnsi="Times New Roman" w:cs="Times New Roman"/>
                      <w:szCs w:val="21"/>
                    </w:rPr>
                    <w:t>尼龙塑胶网网径1mm，网距5mm</w:t>
                  </w:r>
                </w:p>
              </w:tc>
              <w:tc>
                <w:tcPr>
                  <w:tcW w:w="1047" w:type="pct"/>
                  <w:tcBorders>
                    <w:tl2br w:val="nil"/>
                    <w:tr2bl w:val="nil"/>
                  </w:tcBorders>
                  <w:vAlign w:val="center"/>
                </w:tcPr>
                <w:p w14:paraId="1A448441">
                  <w:pPr>
                    <w:pStyle w:val="63"/>
                    <w:spacing w:line="240" w:lineRule="exact"/>
                    <w:rPr>
                      <w:rFonts w:ascii="Times New Roman" w:hAnsi="Times New Roman" w:cs="Times New Roman"/>
                      <w:szCs w:val="21"/>
                    </w:rPr>
                  </w:pPr>
                  <w:r>
                    <w:rPr>
                      <w:rFonts w:hint="eastAsia" w:ascii="Times New Roman" w:hAnsi="Times New Roman" w:cs="Times New Roman"/>
                      <w:szCs w:val="21"/>
                    </w:rPr>
                    <w:t>12%</w:t>
                  </w:r>
                </w:p>
              </w:tc>
            </w:tr>
            <w:tr w14:paraId="3ED0C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64" w:type="pct"/>
                  <w:tcBorders>
                    <w:tl2br w:val="nil"/>
                    <w:tr2bl w:val="nil"/>
                  </w:tcBorders>
                  <w:vAlign w:val="center"/>
                </w:tcPr>
                <w:p w14:paraId="3DF8CAEA">
                  <w:pPr>
                    <w:pStyle w:val="63"/>
                    <w:spacing w:line="240" w:lineRule="exact"/>
                    <w:rPr>
                      <w:rFonts w:ascii="Times New Roman" w:hAnsi="Times New Roman" w:cs="Times New Roman"/>
                      <w:szCs w:val="21"/>
                    </w:rPr>
                  </w:pPr>
                  <w:r>
                    <w:rPr>
                      <w:rFonts w:hint="eastAsia" w:ascii="Times New Roman" w:hAnsi="Times New Roman" w:cs="Times New Roman"/>
                      <w:szCs w:val="21"/>
                    </w:rPr>
                    <w:t>覆盖防尘布</w:t>
                  </w:r>
                </w:p>
              </w:tc>
              <w:tc>
                <w:tcPr>
                  <w:tcW w:w="2788" w:type="pct"/>
                  <w:tcBorders>
                    <w:tl2br w:val="nil"/>
                    <w:tr2bl w:val="nil"/>
                  </w:tcBorders>
                  <w:vAlign w:val="center"/>
                </w:tcPr>
                <w:p w14:paraId="1CAE3D69">
                  <w:pPr>
                    <w:pStyle w:val="63"/>
                    <w:spacing w:line="240" w:lineRule="exact"/>
                    <w:rPr>
                      <w:rFonts w:ascii="Times New Roman" w:hAnsi="Times New Roman" w:cs="Times New Roman"/>
                      <w:szCs w:val="21"/>
                    </w:rPr>
                  </w:pPr>
                  <w:r>
                    <w:rPr>
                      <w:rFonts w:hint="eastAsia" w:ascii="Times New Roman" w:hAnsi="Times New Roman" w:cs="Times New Roman"/>
                      <w:szCs w:val="21"/>
                    </w:rPr>
                    <w:t>高强度纤维织布密闭覆盖</w:t>
                  </w:r>
                </w:p>
              </w:tc>
              <w:tc>
                <w:tcPr>
                  <w:tcW w:w="1047" w:type="pct"/>
                  <w:tcBorders>
                    <w:tl2br w:val="nil"/>
                    <w:tr2bl w:val="nil"/>
                  </w:tcBorders>
                  <w:vAlign w:val="center"/>
                </w:tcPr>
                <w:p w14:paraId="6F690F69">
                  <w:pPr>
                    <w:pStyle w:val="63"/>
                    <w:spacing w:line="240" w:lineRule="exact"/>
                    <w:rPr>
                      <w:rFonts w:ascii="Times New Roman" w:hAnsi="Times New Roman" w:cs="Times New Roman"/>
                      <w:szCs w:val="21"/>
                    </w:rPr>
                  </w:pPr>
                  <w:r>
                    <w:rPr>
                      <w:rFonts w:hint="eastAsia" w:ascii="Times New Roman" w:hAnsi="Times New Roman" w:cs="Times New Roman"/>
                      <w:szCs w:val="21"/>
                    </w:rPr>
                    <w:t>32%</w:t>
                  </w:r>
                </w:p>
              </w:tc>
            </w:tr>
            <w:tr w14:paraId="0DDC2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64" w:type="pct"/>
                  <w:tcBorders>
                    <w:tl2br w:val="nil"/>
                    <w:tr2bl w:val="nil"/>
                  </w:tcBorders>
                  <w:vAlign w:val="center"/>
                </w:tcPr>
                <w:p w14:paraId="543949D0">
                  <w:pPr>
                    <w:pStyle w:val="63"/>
                    <w:spacing w:line="240" w:lineRule="exact"/>
                    <w:rPr>
                      <w:rFonts w:ascii="Times New Roman" w:hAnsi="Times New Roman" w:cs="Times New Roman"/>
                      <w:szCs w:val="21"/>
                    </w:rPr>
                  </w:pPr>
                </w:p>
              </w:tc>
              <w:tc>
                <w:tcPr>
                  <w:tcW w:w="2788" w:type="pct"/>
                  <w:tcBorders>
                    <w:tl2br w:val="nil"/>
                    <w:tr2bl w:val="nil"/>
                  </w:tcBorders>
                  <w:vAlign w:val="center"/>
                </w:tcPr>
                <w:p w14:paraId="04B8DD8A">
                  <w:pPr>
                    <w:pStyle w:val="63"/>
                    <w:spacing w:line="240" w:lineRule="exact"/>
                    <w:rPr>
                      <w:rFonts w:ascii="Times New Roman" w:hAnsi="Times New Roman" w:cs="Times New Roman"/>
                      <w:szCs w:val="21"/>
                    </w:rPr>
                  </w:pPr>
                  <w:r>
                    <w:rPr>
                      <w:rFonts w:hint="eastAsia" w:ascii="Times New Roman" w:hAnsi="Times New Roman" w:cs="Times New Roman"/>
                      <w:szCs w:val="21"/>
                    </w:rPr>
                    <w:t>尼龙塑胶网网径1mm，网距5mm</w:t>
                  </w:r>
                </w:p>
              </w:tc>
              <w:tc>
                <w:tcPr>
                  <w:tcW w:w="1047" w:type="pct"/>
                  <w:tcBorders>
                    <w:tl2br w:val="nil"/>
                    <w:tr2bl w:val="nil"/>
                  </w:tcBorders>
                  <w:vAlign w:val="center"/>
                </w:tcPr>
                <w:p w14:paraId="08D994BA">
                  <w:pPr>
                    <w:pStyle w:val="63"/>
                    <w:spacing w:line="240" w:lineRule="exact"/>
                    <w:rPr>
                      <w:rFonts w:ascii="Times New Roman" w:hAnsi="Times New Roman" w:cs="Times New Roman"/>
                      <w:szCs w:val="21"/>
                    </w:rPr>
                  </w:pPr>
                  <w:r>
                    <w:rPr>
                      <w:rFonts w:hint="eastAsia" w:ascii="Times New Roman" w:hAnsi="Times New Roman" w:cs="Times New Roman"/>
                      <w:szCs w:val="21"/>
                    </w:rPr>
                    <w:t>20%</w:t>
                  </w:r>
                </w:p>
              </w:tc>
            </w:tr>
            <w:tr w14:paraId="48652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52" w:type="pct"/>
                  <w:gridSpan w:val="2"/>
                  <w:tcBorders>
                    <w:tl2br w:val="nil"/>
                    <w:tr2bl w:val="nil"/>
                  </w:tcBorders>
                  <w:vAlign w:val="center"/>
                </w:tcPr>
                <w:p w14:paraId="62AC367E">
                  <w:pPr>
                    <w:pStyle w:val="63"/>
                    <w:spacing w:line="240" w:lineRule="exact"/>
                    <w:rPr>
                      <w:rFonts w:ascii="Times New Roman" w:hAnsi="Times New Roman" w:cs="Times New Roman"/>
                      <w:szCs w:val="21"/>
                    </w:rPr>
                  </w:pPr>
                  <w:r>
                    <w:rPr>
                      <w:rFonts w:hint="eastAsia" w:ascii="Times New Roman" w:hAnsi="Times New Roman" w:cs="Times New Roman"/>
                      <w:szCs w:val="21"/>
                    </w:rPr>
                    <w:t>化学抑尘剂</w:t>
                  </w:r>
                </w:p>
              </w:tc>
              <w:tc>
                <w:tcPr>
                  <w:tcW w:w="1047" w:type="pct"/>
                  <w:tcBorders>
                    <w:tl2br w:val="nil"/>
                    <w:tr2bl w:val="nil"/>
                  </w:tcBorders>
                  <w:vAlign w:val="center"/>
                </w:tcPr>
                <w:p w14:paraId="35311884">
                  <w:pPr>
                    <w:pStyle w:val="63"/>
                    <w:spacing w:line="240" w:lineRule="exact"/>
                    <w:rPr>
                      <w:rFonts w:ascii="Times New Roman" w:hAnsi="Times New Roman" w:cs="Times New Roman"/>
                      <w:szCs w:val="21"/>
                    </w:rPr>
                  </w:pPr>
                  <w:r>
                    <w:rPr>
                      <w:rFonts w:hint="eastAsia" w:ascii="Times New Roman" w:hAnsi="Times New Roman" w:cs="Times New Roman"/>
                      <w:szCs w:val="21"/>
                    </w:rPr>
                    <w:t>89%</w:t>
                  </w:r>
                </w:p>
              </w:tc>
            </w:tr>
            <w:tr w14:paraId="1C10E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64" w:type="pct"/>
                  <w:vMerge w:val="restart"/>
                  <w:tcBorders>
                    <w:tl2br w:val="nil"/>
                    <w:tr2bl w:val="nil"/>
                  </w:tcBorders>
                  <w:vAlign w:val="center"/>
                </w:tcPr>
                <w:p w14:paraId="675C560B">
                  <w:pPr>
                    <w:pStyle w:val="63"/>
                    <w:spacing w:line="240" w:lineRule="exact"/>
                    <w:rPr>
                      <w:rFonts w:ascii="Times New Roman" w:hAnsi="Times New Roman" w:cs="Times New Roman"/>
                      <w:szCs w:val="21"/>
                    </w:rPr>
                  </w:pPr>
                  <w:r>
                    <w:rPr>
                      <w:rFonts w:hint="eastAsia" w:ascii="Times New Roman" w:hAnsi="Times New Roman" w:cs="Times New Roman"/>
                      <w:szCs w:val="21"/>
                    </w:rPr>
                    <w:t>围挡</w:t>
                  </w:r>
                </w:p>
              </w:tc>
              <w:tc>
                <w:tcPr>
                  <w:tcW w:w="2788" w:type="pct"/>
                  <w:tcBorders>
                    <w:tl2br w:val="nil"/>
                    <w:tr2bl w:val="nil"/>
                  </w:tcBorders>
                  <w:vAlign w:val="center"/>
                </w:tcPr>
                <w:p w14:paraId="35B16526">
                  <w:pPr>
                    <w:pStyle w:val="63"/>
                    <w:spacing w:line="240" w:lineRule="exact"/>
                    <w:rPr>
                      <w:rFonts w:ascii="Times New Roman" w:hAnsi="Times New Roman" w:cs="Times New Roman"/>
                      <w:szCs w:val="21"/>
                    </w:rPr>
                  </w:pPr>
                  <w:r>
                    <w:rPr>
                      <w:rFonts w:hint="eastAsia" w:ascii="Times New Roman" w:hAnsi="Times New Roman" w:cs="Times New Roman"/>
                      <w:szCs w:val="21"/>
                    </w:rPr>
                    <w:t>2.4m硬质围挡</w:t>
                  </w:r>
                </w:p>
              </w:tc>
              <w:tc>
                <w:tcPr>
                  <w:tcW w:w="1047" w:type="pct"/>
                  <w:tcBorders>
                    <w:tl2br w:val="nil"/>
                    <w:tr2bl w:val="nil"/>
                  </w:tcBorders>
                  <w:vAlign w:val="center"/>
                </w:tcPr>
                <w:p w14:paraId="73A4928C">
                  <w:pPr>
                    <w:pStyle w:val="63"/>
                    <w:spacing w:line="240" w:lineRule="exact"/>
                    <w:rPr>
                      <w:rFonts w:ascii="Times New Roman" w:hAnsi="Times New Roman" w:cs="Times New Roman"/>
                      <w:szCs w:val="21"/>
                    </w:rPr>
                  </w:pPr>
                  <w:r>
                    <w:rPr>
                      <w:rFonts w:hint="eastAsia" w:ascii="Times New Roman" w:hAnsi="Times New Roman" w:cs="Times New Roman"/>
                      <w:szCs w:val="21"/>
                    </w:rPr>
                    <w:t>18%</w:t>
                  </w:r>
                </w:p>
              </w:tc>
            </w:tr>
            <w:tr w14:paraId="05F89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64" w:type="pct"/>
                  <w:vMerge w:val="continue"/>
                  <w:tcBorders>
                    <w:tl2br w:val="nil"/>
                    <w:tr2bl w:val="nil"/>
                  </w:tcBorders>
                  <w:vAlign w:val="center"/>
                </w:tcPr>
                <w:p w14:paraId="75F63F36">
                  <w:pPr>
                    <w:pStyle w:val="63"/>
                    <w:spacing w:line="240" w:lineRule="exact"/>
                    <w:rPr>
                      <w:rFonts w:ascii="Times New Roman" w:hAnsi="Times New Roman" w:cs="Times New Roman"/>
                      <w:szCs w:val="21"/>
                    </w:rPr>
                  </w:pPr>
                </w:p>
              </w:tc>
              <w:tc>
                <w:tcPr>
                  <w:tcW w:w="2788" w:type="pct"/>
                  <w:tcBorders>
                    <w:tl2br w:val="nil"/>
                    <w:tr2bl w:val="nil"/>
                  </w:tcBorders>
                  <w:vAlign w:val="center"/>
                </w:tcPr>
                <w:p w14:paraId="15FD3CE8">
                  <w:pPr>
                    <w:pStyle w:val="63"/>
                    <w:spacing w:line="240" w:lineRule="exact"/>
                    <w:rPr>
                      <w:rFonts w:ascii="Times New Roman" w:hAnsi="Times New Roman" w:cs="Times New Roman"/>
                      <w:szCs w:val="21"/>
                    </w:rPr>
                  </w:pPr>
                  <w:r>
                    <w:rPr>
                      <w:rFonts w:hint="eastAsia" w:ascii="Times New Roman" w:hAnsi="Times New Roman" w:cs="Times New Roman"/>
                      <w:szCs w:val="21"/>
                    </w:rPr>
                    <w:t>1.8m硬质围挡</w:t>
                  </w:r>
                </w:p>
              </w:tc>
              <w:tc>
                <w:tcPr>
                  <w:tcW w:w="1047" w:type="pct"/>
                  <w:tcBorders>
                    <w:tl2br w:val="nil"/>
                    <w:tr2bl w:val="nil"/>
                  </w:tcBorders>
                  <w:vAlign w:val="center"/>
                </w:tcPr>
                <w:p w14:paraId="49A8B211">
                  <w:pPr>
                    <w:pStyle w:val="63"/>
                    <w:spacing w:line="240" w:lineRule="exact"/>
                    <w:rPr>
                      <w:rFonts w:ascii="Times New Roman" w:hAnsi="Times New Roman" w:cs="Times New Roman"/>
                      <w:szCs w:val="21"/>
                    </w:rPr>
                  </w:pPr>
                  <w:r>
                    <w:rPr>
                      <w:rFonts w:hint="eastAsia" w:ascii="Times New Roman" w:hAnsi="Times New Roman" w:cs="Times New Roman"/>
                      <w:szCs w:val="21"/>
                    </w:rPr>
                    <w:t>12%</w:t>
                  </w:r>
                </w:p>
              </w:tc>
            </w:tr>
          </w:tbl>
          <w:p w14:paraId="58F10F1C">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kern w:val="0"/>
                <w:sz w:val="24"/>
                <w:lang w:bidi="ar"/>
              </w:rPr>
            </w:pPr>
            <w:r>
              <w:rPr>
                <w:rFonts w:hint="eastAsia"/>
                <w:kern w:val="0"/>
                <w:sz w:val="24"/>
                <w:lang w:bidi="ar"/>
              </w:rPr>
              <w:t>由上表可知</w:t>
            </w:r>
            <w:r>
              <w:rPr>
                <w:kern w:val="0"/>
                <w:sz w:val="24"/>
                <w:lang w:bidi="ar"/>
              </w:rPr>
              <w:t>，</w:t>
            </w:r>
            <w:r>
              <w:rPr>
                <w:rFonts w:hint="eastAsia"/>
                <w:kern w:val="0"/>
                <w:sz w:val="24"/>
                <w:lang w:bidi="ar"/>
              </w:rPr>
              <w:t>施工扬尘源的排放主要受污染控制技术的影响，其中采用施工区域路面铺装和洒水控制效率最高，化学抑尘剂次之，因此，在施工过程中，针对不同的施工区域采用相应的扬尘控制措施</w:t>
            </w:r>
            <w:r>
              <w:rPr>
                <w:kern w:val="0"/>
                <w:sz w:val="24"/>
                <w:lang w:bidi="ar"/>
              </w:rPr>
              <w:t>。</w:t>
            </w:r>
          </w:p>
          <w:p w14:paraId="701775D6">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kern w:val="0"/>
                <w:sz w:val="24"/>
                <w:lang w:bidi="ar"/>
              </w:rPr>
            </w:pPr>
            <w:r>
              <w:rPr>
                <w:kern w:val="0"/>
                <w:sz w:val="24"/>
                <w:lang w:bidi="ar"/>
              </w:rPr>
              <w:t>（2）</w:t>
            </w:r>
            <w:r>
              <w:rPr>
                <w:rFonts w:hint="eastAsia"/>
                <w:kern w:val="0"/>
                <w:sz w:val="24"/>
                <w:lang w:bidi="ar"/>
              </w:rPr>
              <w:t>车辆运输扬尘</w:t>
            </w:r>
          </w:p>
          <w:p w14:paraId="4A84CDEF">
            <w:pPr>
              <w:pStyle w:val="5"/>
              <w:keepNext w:val="0"/>
              <w:keepLines w:val="0"/>
              <w:pageBreakBefore w:val="0"/>
              <w:widowControl w:val="0"/>
              <w:kinsoku/>
              <w:wordWrap/>
              <w:overflowPunct/>
              <w:topLinePunct w:val="0"/>
              <w:autoSpaceDE/>
              <w:autoSpaceDN/>
              <w:bidi w:val="0"/>
              <w:adjustRightInd/>
              <w:snapToGrid/>
              <w:spacing w:before="0" w:after="0" w:line="480" w:lineRule="exact"/>
              <w:ind w:right="0" w:firstLine="480" w:firstLineChars="200"/>
              <w:textAlignment w:val="auto"/>
              <w:rPr>
                <w:sz w:val="24"/>
                <w:szCs w:val="24"/>
              </w:rPr>
            </w:pPr>
            <w:r>
              <w:rPr>
                <w:sz w:val="24"/>
                <w:szCs w:val="24"/>
              </w:rPr>
              <w:t>施工过程中，各种施工材料的运输，尤其土石料等松散物料的运输将给</w:t>
            </w:r>
            <w:r>
              <w:rPr>
                <w:rFonts w:hint="eastAsia"/>
                <w:sz w:val="24"/>
                <w:szCs w:val="24"/>
              </w:rPr>
              <w:t>运矿</w:t>
            </w:r>
            <w:r>
              <w:rPr>
                <w:sz w:val="24"/>
                <w:szCs w:val="24"/>
              </w:rPr>
              <w:t>道路沿线带来扬尘污染，车辆道路扬尘为线源污染，扬尘在道路两侧扩散，最大起尘浓度出现在道路两侧，随离散距离的增加浓度逐渐降低，最终可达背景值。虽然是间歇性的，但是对沿线道路两侧及整个施工区环境空气质量将产生不利影响。</w:t>
            </w:r>
          </w:p>
          <w:p w14:paraId="067879FB">
            <w:pPr>
              <w:pStyle w:val="20"/>
              <w:keepNext w:val="0"/>
              <w:keepLines w:val="0"/>
              <w:pageBreakBefore w:val="0"/>
              <w:kinsoku/>
              <w:wordWrap/>
              <w:overflowPunct/>
              <w:topLinePunct w:val="0"/>
              <w:autoSpaceDE/>
              <w:autoSpaceDN/>
              <w:bidi w:val="0"/>
              <w:adjustRightInd/>
              <w:snapToGrid/>
              <w:spacing w:line="480" w:lineRule="exact"/>
              <w:textAlignment w:val="auto"/>
            </w:pPr>
            <w:r>
              <w:rPr>
                <w:rFonts w:hint="eastAsia"/>
              </w:rPr>
              <w:t>道路扬尘起尘量参照《扬尘源颗粒物排放清单编制技术指南》（环保部（2014年第92号））进行计算。具体计算过程如下：</w:t>
            </w:r>
          </w:p>
          <w:p w14:paraId="0A6062A2">
            <w:pPr>
              <w:pStyle w:val="20"/>
              <w:keepNext w:val="0"/>
              <w:keepLines w:val="0"/>
              <w:pageBreakBefore w:val="0"/>
              <w:kinsoku/>
              <w:wordWrap/>
              <w:overflowPunct/>
              <w:topLinePunct w:val="0"/>
              <w:autoSpaceDE/>
              <w:autoSpaceDN/>
              <w:bidi w:val="0"/>
              <w:adjustRightInd/>
              <w:snapToGrid/>
              <w:spacing w:line="480" w:lineRule="exact"/>
              <w:textAlignment w:val="auto"/>
            </w:pPr>
            <w:r>
              <w:rPr>
                <w:rFonts w:hint="eastAsia"/>
              </w:rPr>
              <w:t>E</w:t>
            </w:r>
            <w:r>
              <w:rPr>
                <w:rFonts w:hint="eastAsia"/>
                <w:vertAlign w:val="subscript"/>
              </w:rPr>
              <w:t>UPi</w:t>
            </w:r>
            <w:r>
              <w:rPr>
                <w:rFonts w:hint="eastAsia"/>
              </w:rPr>
              <w:t>=k</w:t>
            </w:r>
            <w:r>
              <w:rPr>
                <w:rFonts w:hint="eastAsia"/>
                <w:vertAlign w:val="subscript"/>
              </w:rPr>
              <w:t>i</w:t>
            </w:r>
            <w:r>
              <w:rPr>
                <w:rFonts w:hint="eastAsia"/>
              </w:rPr>
              <w:t>×（s/12）×（v/30）</w:t>
            </w:r>
            <w:r>
              <w:rPr>
                <w:rFonts w:hint="eastAsia"/>
                <w:vertAlign w:val="superscript"/>
              </w:rPr>
              <w:t>a</w:t>
            </w:r>
            <w:r>
              <w:rPr>
                <w:rFonts w:hint="eastAsia"/>
              </w:rPr>
              <w:t>×（</w:t>
            </w:r>
            <w:r>
              <w:t>1-η</w:t>
            </w:r>
            <w:r>
              <w:rPr>
                <w:rFonts w:hint="eastAsia"/>
              </w:rPr>
              <w:t>）÷（M/0.5）</w:t>
            </w:r>
            <w:r>
              <w:rPr>
                <w:rFonts w:hint="eastAsia"/>
                <w:vertAlign w:val="superscript"/>
              </w:rPr>
              <w:t>b</w:t>
            </w:r>
          </w:p>
          <w:p w14:paraId="7F3F0DE8">
            <w:pPr>
              <w:pStyle w:val="20"/>
              <w:keepNext w:val="0"/>
              <w:keepLines w:val="0"/>
              <w:pageBreakBefore w:val="0"/>
              <w:kinsoku/>
              <w:wordWrap/>
              <w:overflowPunct/>
              <w:topLinePunct w:val="0"/>
              <w:autoSpaceDE/>
              <w:autoSpaceDN/>
              <w:bidi w:val="0"/>
              <w:adjustRightInd/>
              <w:snapToGrid/>
              <w:spacing w:line="480" w:lineRule="exact"/>
              <w:textAlignment w:val="auto"/>
            </w:pPr>
            <w:r>
              <w:rPr>
                <w:rFonts w:hint="eastAsia"/>
              </w:rPr>
              <w:t>式中：</w:t>
            </w:r>
          </w:p>
          <w:p w14:paraId="51AFF6CD">
            <w:pPr>
              <w:pStyle w:val="20"/>
              <w:keepNext w:val="0"/>
              <w:keepLines w:val="0"/>
              <w:pageBreakBefore w:val="0"/>
              <w:kinsoku/>
              <w:wordWrap/>
              <w:overflowPunct/>
              <w:topLinePunct w:val="0"/>
              <w:autoSpaceDE/>
              <w:autoSpaceDN/>
              <w:bidi w:val="0"/>
              <w:adjustRightInd/>
              <w:snapToGrid/>
              <w:spacing w:line="480" w:lineRule="exact"/>
              <w:textAlignment w:val="auto"/>
            </w:pPr>
            <w:r>
              <w:rPr>
                <w:rFonts w:hint="eastAsia"/>
              </w:rPr>
              <w:t>E</w:t>
            </w:r>
            <w:r>
              <w:rPr>
                <w:rFonts w:hint="eastAsia"/>
                <w:vertAlign w:val="subscript"/>
              </w:rPr>
              <w:t>UPi</w:t>
            </w:r>
            <w:r>
              <w:rPr>
                <w:rFonts w:hint="eastAsia"/>
              </w:rPr>
              <w:t>为道路的扬尘中PM</w:t>
            </w:r>
            <w:r>
              <w:rPr>
                <w:rFonts w:hint="eastAsia"/>
                <w:vertAlign w:val="subscript"/>
              </w:rPr>
              <w:t>i</w:t>
            </w:r>
            <w:r>
              <w:rPr>
                <w:rFonts w:hint="eastAsia"/>
              </w:rPr>
              <w:t>排放系数，g/km（机动车行驶1千米产生的道路扬尘质量）；</w:t>
            </w:r>
          </w:p>
          <w:p w14:paraId="5F7BD3A0">
            <w:pPr>
              <w:pStyle w:val="20"/>
              <w:keepNext w:val="0"/>
              <w:keepLines w:val="0"/>
              <w:pageBreakBefore w:val="0"/>
              <w:kinsoku/>
              <w:wordWrap/>
              <w:overflowPunct/>
              <w:topLinePunct w:val="0"/>
              <w:autoSpaceDE/>
              <w:autoSpaceDN/>
              <w:bidi w:val="0"/>
              <w:adjustRightInd/>
              <w:snapToGrid/>
              <w:spacing w:line="480" w:lineRule="exact"/>
              <w:textAlignment w:val="auto"/>
            </w:pPr>
            <w:r>
              <w:rPr>
                <w:rFonts w:hint="eastAsia"/>
              </w:rPr>
              <w:t>ki为产生的扬尘中PM</w:t>
            </w:r>
            <w:r>
              <w:rPr>
                <w:rFonts w:hint="eastAsia"/>
                <w:vertAlign w:val="subscript"/>
              </w:rPr>
              <w:t>i</w:t>
            </w:r>
            <w:r>
              <w:rPr>
                <w:rFonts w:hint="eastAsia"/>
              </w:rPr>
              <w:t>的粒度乘数（本次选取TSP的粒度系数：1691.4g/km，a取0.3，b取0.3）；</w:t>
            </w:r>
          </w:p>
          <w:p w14:paraId="40E46C3D">
            <w:pPr>
              <w:pStyle w:val="20"/>
              <w:keepNext w:val="0"/>
              <w:keepLines w:val="0"/>
              <w:pageBreakBefore w:val="0"/>
              <w:kinsoku/>
              <w:wordWrap/>
              <w:overflowPunct/>
              <w:topLinePunct w:val="0"/>
              <w:autoSpaceDE/>
              <w:autoSpaceDN/>
              <w:bidi w:val="0"/>
              <w:adjustRightInd/>
              <w:snapToGrid/>
              <w:spacing w:line="480" w:lineRule="exact"/>
              <w:textAlignment w:val="auto"/>
            </w:pPr>
            <w:r>
              <w:rPr>
                <w:rFonts w:hint="eastAsia"/>
              </w:rPr>
              <w:t>s道路表面有效积尘率，%（非铺装道路有效积尘率一般为45%）；</w:t>
            </w:r>
          </w:p>
          <w:p w14:paraId="13BA4383">
            <w:pPr>
              <w:pStyle w:val="20"/>
              <w:keepNext w:val="0"/>
              <w:keepLines w:val="0"/>
              <w:pageBreakBefore w:val="0"/>
              <w:kinsoku/>
              <w:wordWrap/>
              <w:overflowPunct/>
              <w:topLinePunct w:val="0"/>
              <w:autoSpaceDE/>
              <w:autoSpaceDN/>
              <w:bidi w:val="0"/>
              <w:adjustRightInd/>
              <w:snapToGrid/>
              <w:spacing w:line="480" w:lineRule="exact"/>
              <w:textAlignment w:val="auto"/>
            </w:pPr>
            <w:r>
              <w:rPr>
                <w:rFonts w:hint="eastAsia"/>
              </w:rPr>
              <w:t>v为平均车速，km/h；</w:t>
            </w:r>
          </w:p>
          <w:p w14:paraId="7290AB0F">
            <w:pPr>
              <w:pStyle w:val="20"/>
              <w:keepNext w:val="0"/>
              <w:keepLines w:val="0"/>
              <w:pageBreakBefore w:val="0"/>
              <w:kinsoku/>
              <w:wordWrap/>
              <w:overflowPunct/>
              <w:topLinePunct w:val="0"/>
              <w:autoSpaceDE/>
              <w:autoSpaceDN/>
              <w:bidi w:val="0"/>
              <w:adjustRightInd/>
              <w:snapToGrid/>
              <w:spacing w:line="480" w:lineRule="exact"/>
              <w:textAlignment w:val="auto"/>
            </w:pPr>
            <w:r>
              <w:rPr>
                <w:rFonts w:hint="eastAsia"/>
              </w:rPr>
              <w:t>M为道路积尘含水率，%（本次按照20%进行核算）；</w:t>
            </w:r>
          </w:p>
          <w:p w14:paraId="4F8B2D93">
            <w:pPr>
              <w:pStyle w:val="20"/>
              <w:keepNext w:val="0"/>
              <w:keepLines w:val="0"/>
              <w:pageBreakBefore w:val="0"/>
              <w:kinsoku/>
              <w:wordWrap/>
              <w:overflowPunct/>
              <w:topLinePunct w:val="0"/>
              <w:autoSpaceDE/>
              <w:autoSpaceDN/>
              <w:bidi w:val="0"/>
              <w:adjustRightInd/>
              <w:snapToGrid/>
              <w:spacing w:line="480" w:lineRule="exact"/>
              <w:textAlignment w:val="auto"/>
            </w:pPr>
            <w:r>
              <w:t>η</w:t>
            </w:r>
            <w:r>
              <w:rPr>
                <w:rFonts w:hint="eastAsia"/>
              </w:rPr>
              <w:t>为污染控制技术对扬尘的去除效率，%（洒水1次/天控制效率为66%，使用化学抑尘剂为90%）。</w:t>
            </w:r>
          </w:p>
          <w:p w14:paraId="66A040DE">
            <w:pPr>
              <w:pStyle w:val="20"/>
              <w:keepNext w:val="0"/>
              <w:keepLines w:val="0"/>
              <w:pageBreakBefore w:val="0"/>
              <w:kinsoku/>
              <w:wordWrap/>
              <w:overflowPunct/>
              <w:topLinePunct w:val="0"/>
              <w:autoSpaceDE/>
              <w:autoSpaceDN/>
              <w:bidi w:val="0"/>
              <w:adjustRightInd/>
              <w:snapToGrid/>
              <w:spacing w:line="480" w:lineRule="exact"/>
              <w:textAlignment w:val="auto"/>
            </w:pPr>
            <w:r>
              <w:rPr>
                <w:rFonts w:hint="eastAsia"/>
              </w:rPr>
              <w:t>根据公式计算，拟1辆10t卡车通过一段为1km的铺装路面时，在不同的污染控制技术情况下得到扬尘产生量，详见下表。</w:t>
            </w:r>
          </w:p>
          <w:p w14:paraId="7CCF9D20">
            <w:pPr>
              <w:pStyle w:val="15"/>
              <w:keepNext w:val="0"/>
              <w:keepLines w:val="0"/>
              <w:pageBreakBefore w:val="0"/>
              <w:widowControl/>
              <w:kinsoku/>
              <w:wordWrap/>
              <w:overflowPunct/>
              <w:topLinePunct w:val="0"/>
              <w:autoSpaceDE/>
              <w:autoSpaceDN/>
              <w:bidi w:val="0"/>
              <w:adjustRightInd/>
              <w:snapToGrid/>
              <w:spacing w:line="480" w:lineRule="exact"/>
              <w:ind w:firstLine="420" w:firstLineChars="200"/>
              <w:textAlignment w:val="auto"/>
              <w:rPr>
                <w:rFonts w:hint="eastAsia" w:ascii="宋体" w:hAnsi="宋体" w:eastAsia="宋体" w:cs="宋体"/>
                <w:sz w:val="21"/>
                <w:szCs w:val="21"/>
              </w:rPr>
            </w:pPr>
          </w:p>
          <w:p w14:paraId="4A2EC9B1">
            <w:pPr>
              <w:pStyle w:val="15"/>
              <w:keepNext w:val="0"/>
              <w:keepLines w:val="0"/>
              <w:pageBreakBefore w:val="0"/>
              <w:widowControl/>
              <w:kinsoku/>
              <w:wordWrap/>
              <w:overflowPunct/>
              <w:topLinePunct w:val="0"/>
              <w:autoSpaceDE/>
              <w:autoSpaceDN/>
              <w:bidi w:val="0"/>
              <w:adjustRightInd/>
              <w:snapToGrid/>
              <w:spacing w:line="480" w:lineRule="exact"/>
              <w:ind w:firstLine="420" w:firstLineChars="200"/>
              <w:textAlignment w:val="auto"/>
              <w:rPr>
                <w:rFonts w:hint="eastAsia" w:ascii="宋体" w:hAnsi="宋体" w:eastAsia="宋体" w:cs="宋体"/>
                <w:sz w:val="21"/>
                <w:szCs w:val="21"/>
              </w:rPr>
            </w:pPr>
          </w:p>
          <w:p w14:paraId="0932B9C0">
            <w:pPr>
              <w:pStyle w:val="15"/>
              <w:keepNext w:val="0"/>
              <w:keepLines w:val="0"/>
              <w:pageBreakBefore w:val="0"/>
              <w:widowControl/>
              <w:kinsoku/>
              <w:wordWrap/>
              <w:overflowPunct/>
              <w:topLinePunct w:val="0"/>
              <w:autoSpaceDE/>
              <w:autoSpaceDN/>
              <w:bidi w:val="0"/>
              <w:adjustRightInd/>
              <w:snapToGrid/>
              <w:spacing w:line="480" w:lineRule="exact"/>
              <w:ind w:firstLine="420" w:firstLineChars="200"/>
              <w:textAlignment w:val="auto"/>
              <w:rPr>
                <w:rFonts w:ascii="宋体" w:hAnsi="宋体" w:eastAsia="宋体" w:cs="宋体"/>
                <w:sz w:val="21"/>
                <w:szCs w:val="21"/>
              </w:rPr>
            </w:pPr>
            <w:r>
              <w:rPr>
                <w:rFonts w:hint="eastAsia" w:ascii="宋体" w:hAnsi="宋体" w:eastAsia="宋体" w:cs="宋体"/>
                <w:sz w:val="21"/>
                <w:szCs w:val="21"/>
              </w:rPr>
              <w:t>表</w:t>
            </w:r>
            <w:r>
              <w:rPr>
                <w:rFonts w:eastAsia="宋体"/>
                <w:sz w:val="21"/>
                <w:szCs w:val="21"/>
              </w:rPr>
              <w:t xml:space="preserve">4-2 </w:t>
            </w:r>
            <w:r>
              <w:rPr>
                <w:rFonts w:hint="eastAsia" w:ascii="宋体" w:hAnsi="宋体" w:eastAsia="宋体" w:cs="宋体"/>
                <w:sz w:val="21"/>
                <w:szCs w:val="21"/>
              </w:rPr>
              <w:t xml:space="preserve"> 不同车速、不同污染控制措施情况下扬尘产生量统计一览表</w:t>
            </w:r>
          </w:p>
          <w:tbl>
            <w:tblPr>
              <w:tblStyle w:val="30"/>
              <w:tblW w:w="5000" w:type="pct"/>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30"/>
              <w:gridCol w:w="796"/>
              <w:gridCol w:w="859"/>
              <w:gridCol w:w="859"/>
              <w:gridCol w:w="859"/>
              <w:gridCol w:w="947"/>
              <w:gridCol w:w="947"/>
              <w:gridCol w:w="860"/>
              <w:gridCol w:w="867"/>
            </w:tblGrid>
            <w:tr w14:paraId="670C2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99" w:type="pct"/>
                  <w:vMerge w:val="restart"/>
                  <w:tcBorders>
                    <w:tl2br w:val="single" w:color="auto" w:sz="4" w:space="0"/>
                  </w:tcBorders>
                  <w:vAlign w:val="center"/>
                </w:tcPr>
                <w:p w14:paraId="6EE48FA6">
                  <w:pPr>
                    <w:pStyle w:val="63"/>
                    <w:spacing w:line="240" w:lineRule="exact"/>
                    <w:jc w:val="right"/>
                    <w:rPr>
                      <w:rFonts w:ascii="Times New Roman" w:hAnsi="Times New Roman" w:cs="Times New Roman"/>
                      <w:szCs w:val="21"/>
                    </w:rPr>
                  </w:pPr>
                  <w:r>
                    <w:rPr>
                      <w:rFonts w:hint="eastAsia" w:ascii="Times New Roman" w:hAnsi="Times New Roman" w:cs="Times New Roman"/>
                      <w:szCs w:val="21"/>
                    </w:rPr>
                    <w:t>车速</w:t>
                  </w:r>
                </w:p>
                <w:p w14:paraId="452B8D01">
                  <w:pPr>
                    <w:pStyle w:val="63"/>
                    <w:spacing w:line="240" w:lineRule="exact"/>
                    <w:jc w:val="both"/>
                    <w:rPr>
                      <w:rFonts w:ascii="Times New Roman" w:hAnsi="Times New Roman" w:cs="Times New Roman"/>
                      <w:szCs w:val="21"/>
                    </w:rPr>
                  </w:pPr>
                </w:p>
                <w:p w14:paraId="4E5F4AC7">
                  <w:pPr>
                    <w:pStyle w:val="63"/>
                    <w:spacing w:line="240" w:lineRule="exact"/>
                    <w:jc w:val="both"/>
                    <w:rPr>
                      <w:rFonts w:ascii="Times New Roman" w:hAnsi="Times New Roman" w:cs="Times New Roman"/>
                      <w:szCs w:val="21"/>
                    </w:rPr>
                  </w:pPr>
                  <w:r>
                    <w:rPr>
                      <w:rFonts w:hint="eastAsia" w:ascii="Times New Roman" w:hAnsi="Times New Roman" w:cs="Times New Roman"/>
                      <w:szCs w:val="21"/>
                    </w:rPr>
                    <w:t>控制措施</w:t>
                  </w:r>
                </w:p>
              </w:tc>
              <w:tc>
                <w:tcPr>
                  <w:tcW w:w="4200" w:type="pct"/>
                  <w:gridSpan w:val="8"/>
                  <w:tcBorders>
                    <w:tl2br w:val="nil"/>
                    <w:tr2bl w:val="nil"/>
                  </w:tcBorders>
                  <w:vAlign w:val="center"/>
                </w:tcPr>
                <w:p w14:paraId="1E0A6BA3">
                  <w:pPr>
                    <w:pStyle w:val="63"/>
                    <w:spacing w:line="240" w:lineRule="exact"/>
                    <w:rPr>
                      <w:rFonts w:ascii="Times New Roman" w:hAnsi="Times New Roman" w:cs="Times New Roman"/>
                      <w:szCs w:val="21"/>
                    </w:rPr>
                  </w:pPr>
                  <w:r>
                    <w:rPr>
                      <w:rFonts w:hint="eastAsia" w:ascii="Times New Roman" w:hAnsi="Times New Roman" w:cs="Times New Roman"/>
                      <w:szCs w:val="21"/>
                    </w:rPr>
                    <w:t>产尘量（g/km）</w:t>
                  </w:r>
                </w:p>
              </w:tc>
            </w:tr>
            <w:tr w14:paraId="57B5A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99" w:type="pct"/>
                  <w:vMerge w:val="continue"/>
                  <w:tcBorders>
                    <w:tl2br w:val="single" w:color="auto" w:sz="12" w:space="0"/>
                  </w:tcBorders>
                  <w:vAlign w:val="center"/>
                </w:tcPr>
                <w:p w14:paraId="2321E397">
                  <w:pPr>
                    <w:pStyle w:val="63"/>
                    <w:spacing w:line="240" w:lineRule="exact"/>
                    <w:jc w:val="left"/>
                    <w:rPr>
                      <w:rFonts w:ascii="Times New Roman" w:hAnsi="Times New Roman" w:cs="Times New Roman"/>
                      <w:szCs w:val="21"/>
                    </w:rPr>
                  </w:pPr>
                </w:p>
              </w:tc>
              <w:tc>
                <w:tcPr>
                  <w:tcW w:w="478" w:type="pct"/>
                  <w:tcBorders>
                    <w:tl2br w:val="nil"/>
                    <w:tr2bl w:val="nil"/>
                  </w:tcBorders>
                  <w:vAlign w:val="center"/>
                </w:tcPr>
                <w:p w14:paraId="70903FDD">
                  <w:pPr>
                    <w:pStyle w:val="63"/>
                    <w:spacing w:line="240" w:lineRule="exact"/>
                    <w:rPr>
                      <w:rFonts w:ascii="Times New Roman" w:hAnsi="Times New Roman" w:cs="Times New Roman"/>
                      <w:szCs w:val="21"/>
                    </w:rPr>
                  </w:pPr>
                  <w:r>
                    <w:rPr>
                      <w:rFonts w:hint="eastAsia" w:ascii="Times New Roman" w:hAnsi="Times New Roman" w:cs="Times New Roman"/>
                      <w:szCs w:val="21"/>
                    </w:rPr>
                    <w:t>5km/h</w:t>
                  </w:r>
                </w:p>
              </w:tc>
              <w:tc>
                <w:tcPr>
                  <w:tcW w:w="516" w:type="pct"/>
                  <w:tcBorders>
                    <w:tl2br w:val="nil"/>
                    <w:tr2bl w:val="nil"/>
                  </w:tcBorders>
                  <w:vAlign w:val="center"/>
                </w:tcPr>
                <w:p w14:paraId="733BB8E7">
                  <w:pPr>
                    <w:pStyle w:val="63"/>
                    <w:spacing w:line="240" w:lineRule="exact"/>
                    <w:rPr>
                      <w:rFonts w:ascii="Times New Roman" w:hAnsi="Times New Roman" w:cs="Times New Roman"/>
                      <w:szCs w:val="21"/>
                    </w:rPr>
                  </w:pPr>
                  <w:r>
                    <w:rPr>
                      <w:rFonts w:hint="eastAsia" w:ascii="Times New Roman" w:hAnsi="Times New Roman" w:cs="Times New Roman"/>
                      <w:szCs w:val="21"/>
                    </w:rPr>
                    <w:t>10km/h</w:t>
                  </w:r>
                </w:p>
              </w:tc>
              <w:tc>
                <w:tcPr>
                  <w:tcW w:w="516" w:type="pct"/>
                  <w:tcBorders>
                    <w:tl2br w:val="nil"/>
                    <w:tr2bl w:val="nil"/>
                  </w:tcBorders>
                  <w:vAlign w:val="center"/>
                </w:tcPr>
                <w:p w14:paraId="7EAA7B7C">
                  <w:pPr>
                    <w:pStyle w:val="63"/>
                    <w:spacing w:line="240" w:lineRule="exact"/>
                    <w:rPr>
                      <w:rFonts w:ascii="Times New Roman" w:hAnsi="Times New Roman" w:cs="Times New Roman"/>
                      <w:szCs w:val="21"/>
                    </w:rPr>
                  </w:pPr>
                  <w:r>
                    <w:rPr>
                      <w:rFonts w:hint="eastAsia" w:ascii="Times New Roman" w:hAnsi="Times New Roman" w:cs="Times New Roman"/>
                      <w:szCs w:val="21"/>
                    </w:rPr>
                    <w:t>15km/h</w:t>
                  </w:r>
                </w:p>
              </w:tc>
              <w:tc>
                <w:tcPr>
                  <w:tcW w:w="516" w:type="pct"/>
                  <w:tcBorders>
                    <w:tl2br w:val="nil"/>
                    <w:tr2bl w:val="nil"/>
                  </w:tcBorders>
                  <w:vAlign w:val="center"/>
                </w:tcPr>
                <w:p w14:paraId="38FF3194">
                  <w:pPr>
                    <w:pStyle w:val="63"/>
                    <w:spacing w:line="240" w:lineRule="exact"/>
                    <w:rPr>
                      <w:rFonts w:ascii="Times New Roman" w:hAnsi="Times New Roman" w:cs="Times New Roman"/>
                      <w:szCs w:val="21"/>
                    </w:rPr>
                  </w:pPr>
                  <w:r>
                    <w:rPr>
                      <w:rFonts w:hint="eastAsia" w:ascii="Times New Roman" w:hAnsi="Times New Roman" w:cs="Times New Roman"/>
                      <w:szCs w:val="21"/>
                    </w:rPr>
                    <w:t>20km/h</w:t>
                  </w:r>
                </w:p>
              </w:tc>
              <w:tc>
                <w:tcPr>
                  <w:tcW w:w="569" w:type="pct"/>
                  <w:tcBorders>
                    <w:tl2br w:val="nil"/>
                    <w:tr2bl w:val="nil"/>
                  </w:tcBorders>
                  <w:vAlign w:val="center"/>
                </w:tcPr>
                <w:p w14:paraId="337B9A2E">
                  <w:pPr>
                    <w:pStyle w:val="63"/>
                    <w:spacing w:line="240" w:lineRule="exact"/>
                    <w:rPr>
                      <w:rFonts w:ascii="Times New Roman" w:hAnsi="Times New Roman" w:cs="Times New Roman"/>
                      <w:szCs w:val="21"/>
                    </w:rPr>
                  </w:pPr>
                  <w:r>
                    <w:rPr>
                      <w:rFonts w:hint="eastAsia" w:ascii="Times New Roman" w:hAnsi="Times New Roman" w:cs="Times New Roman"/>
                      <w:szCs w:val="21"/>
                    </w:rPr>
                    <w:t>25km/h</w:t>
                  </w:r>
                </w:p>
              </w:tc>
              <w:tc>
                <w:tcPr>
                  <w:tcW w:w="569" w:type="pct"/>
                  <w:tcBorders>
                    <w:tl2br w:val="nil"/>
                    <w:tr2bl w:val="nil"/>
                  </w:tcBorders>
                  <w:vAlign w:val="center"/>
                </w:tcPr>
                <w:p w14:paraId="0CC5A76E">
                  <w:pPr>
                    <w:pStyle w:val="63"/>
                    <w:spacing w:line="240" w:lineRule="exact"/>
                    <w:rPr>
                      <w:rFonts w:ascii="Times New Roman" w:hAnsi="Times New Roman" w:cs="Times New Roman"/>
                      <w:szCs w:val="21"/>
                    </w:rPr>
                  </w:pPr>
                  <w:r>
                    <w:rPr>
                      <w:rFonts w:hint="eastAsia" w:ascii="Times New Roman" w:hAnsi="Times New Roman" w:cs="Times New Roman"/>
                      <w:szCs w:val="21"/>
                    </w:rPr>
                    <w:t>30km/h</w:t>
                  </w:r>
                </w:p>
              </w:tc>
              <w:tc>
                <w:tcPr>
                  <w:tcW w:w="516" w:type="pct"/>
                  <w:tcBorders>
                    <w:tl2br w:val="nil"/>
                    <w:tr2bl w:val="nil"/>
                  </w:tcBorders>
                  <w:vAlign w:val="center"/>
                </w:tcPr>
                <w:p w14:paraId="442E0A57">
                  <w:pPr>
                    <w:pStyle w:val="63"/>
                    <w:spacing w:line="240" w:lineRule="exact"/>
                    <w:rPr>
                      <w:rFonts w:ascii="Times New Roman" w:hAnsi="Times New Roman" w:cs="Times New Roman"/>
                      <w:szCs w:val="21"/>
                    </w:rPr>
                  </w:pPr>
                  <w:r>
                    <w:rPr>
                      <w:rFonts w:hint="eastAsia" w:ascii="Times New Roman" w:hAnsi="Times New Roman" w:cs="Times New Roman"/>
                      <w:szCs w:val="21"/>
                    </w:rPr>
                    <w:t>35km/h</w:t>
                  </w:r>
                </w:p>
              </w:tc>
              <w:tc>
                <w:tcPr>
                  <w:tcW w:w="518" w:type="pct"/>
                  <w:tcBorders>
                    <w:tl2br w:val="nil"/>
                    <w:tr2bl w:val="nil"/>
                  </w:tcBorders>
                  <w:vAlign w:val="center"/>
                </w:tcPr>
                <w:p w14:paraId="5A3AC457">
                  <w:pPr>
                    <w:pStyle w:val="63"/>
                    <w:spacing w:line="240" w:lineRule="exact"/>
                    <w:rPr>
                      <w:rFonts w:ascii="Times New Roman" w:hAnsi="Times New Roman" w:cs="Times New Roman"/>
                      <w:szCs w:val="21"/>
                    </w:rPr>
                  </w:pPr>
                  <w:r>
                    <w:rPr>
                      <w:rFonts w:hint="eastAsia" w:ascii="Times New Roman" w:hAnsi="Times New Roman" w:cs="Times New Roman"/>
                      <w:szCs w:val="21"/>
                    </w:rPr>
                    <w:t>40km/h</w:t>
                  </w:r>
                </w:p>
              </w:tc>
            </w:tr>
            <w:tr w14:paraId="506F0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99" w:type="pct"/>
                  <w:tcBorders>
                    <w:tl2br w:val="nil"/>
                    <w:tr2bl w:val="nil"/>
                  </w:tcBorders>
                  <w:vAlign w:val="center"/>
                </w:tcPr>
                <w:p w14:paraId="31EA21A3">
                  <w:pPr>
                    <w:pStyle w:val="63"/>
                    <w:spacing w:line="240" w:lineRule="exact"/>
                    <w:rPr>
                      <w:rFonts w:ascii="Times New Roman" w:hAnsi="Times New Roman" w:cs="Times New Roman"/>
                      <w:szCs w:val="21"/>
                    </w:rPr>
                  </w:pPr>
                  <w:r>
                    <w:rPr>
                      <w:rFonts w:hint="eastAsia" w:ascii="Times New Roman" w:hAnsi="Times New Roman" w:cs="Times New Roman"/>
                      <w:szCs w:val="21"/>
                    </w:rPr>
                    <w:t>洒水1次/天</w:t>
                  </w:r>
                </w:p>
              </w:tc>
              <w:tc>
                <w:tcPr>
                  <w:tcW w:w="478" w:type="pct"/>
                  <w:tcBorders>
                    <w:tl2br w:val="nil"/>
                    <w:tr2bl w:val="nil"/>
                  </w:tcBorders>
                  <w:vAlign w:val="center"/>
                </w:tcPr>
                <w:p w14:paraId="13A4CA3D">
                  <w:pPr>
                    <w:pStyle w:val="63"/>
                    <w:spacing w:line="240" w:lineRule="exact"/>
                    <w:rPr>
                      <w:rFonts w:ascii="Times New Roman" w:hAnsi="Times New Roman" w:cs="Times New Roman"/>
                      <w:szCs w:val="21"/>
                    </w:rPr>
                  </w:pPr>
                  <w:r>
                    <w:rPr>
                      <w:rFonts w:hint="eastAsia" w:ascii="Times New Roman" w:hAnsi="Times New Roman" w:cs="Times New Roman"/>
                      <w:szCs w:val="21"/>
                    </w:rPr>
                    <w:t>174.26</w:t>
                  </w:r>
                </w:p>
              </w:tc>
              <w:tc>
                <w:tcPr>
                  <w:tcW w:w="516" w:type="pct"/>
                  <w:tcBorders>
                    <w:tl2br w:val="nil"/>
                    <w:tr2bl w:val="nil"/>
                  </w:tcBorders>
                  <w:vAlign w:val="center"/>
                </w:tcPr>
                <w:p w14:paraId="6721FF5C">
                  <w:pPr>
                    <w:pStyle w:val="63"/>
                    <w:spacing w:line="240" w:lineRule="exact"/>
                    <w:rPr>
                      <w:rFonts w:ascii="Times New Roman" w:hAnsi="Times New Roman" w:cs="Times New Roman"/>
                      <w:szCs w:val="21"/>
                    </w:rPr>
                  </w:pPr>
                  <w:r>
                    <w:rPr>
                      <w:rFonts w:hint="eastAsia" w:ascii="Times New Roman" w:hAnsi="Times New Roman" w:cs="Times New Roman"/>
                      <w:szCs w:val="21"/>
                    </w:rPr>
                    <w:t>216.32</w:t>
                  </w:r>
                </w:p>
              </w:tc>
              <w:tc>
                <w:tcPr>
                  <w:tcW w:w="516" w:type="pct"/>
                  <w:tcBorders>
                    <w:tl2br w:val="nil"/>
                    <w:tr2bl w:val="nil"/>
                  </w:tcBorders>
                  <w:vAlign w:val="center"/>
                </w:tcPr>
                <w:p w14:paraId="1A42AE2A">
                  <w:pPr>
                    <w:pStyle w:val="63"/>
                    <w:spacing w:line="240" w:lineRule="exact"/>
                    <w:rPr>
                      <w:rFonts w:ascii="Times New Roman" w:hAnsi="Times New Roman" w:cs="Times New Roman"/>
                      <w:szCs w:val="21"/>
                    </w:rPr>
                  </w:pPr>
                  <w:r>
                    <w:rPr>
                      <w:rFonts w:hint="eastAsia" w:ascii="Times New Roman" w:hAnsi="Times New Roman" w:cs="Times New Roman"/>
                      <w:szCs w:val="21"/>
                    </w:rPr>
                    <w:t>243.36</w:t>
                  </w:r>
                </w:p>
              </w:tc>
              <w:tc>
                <w:tcPr>
                  <w:tcW w:w="516" w:type="pct"/>
                  <w:tcBorders>
                    <w:tl2br w:val="nil"/>
                    <w:tr2bl w:val="nil"/>
                  </w:tcBorders>
                  <w:vAlign w:val="center"/>
                </w:tcPr>
                <w:p w14:paraId="5F0CB302">
                  <w:pPr>
                    <w:pStyle w:val="63"/>
                    <w:spacing w:line="240" w:lineRule="exact"/>
                    <w:rPr>
                      <w:rFonts w:ascii="Times New Roman" w:hAnsi="Times New Roman" w:cs="Times New Roman"/>
                      <w:szCs w:val="21"/>
                    </w:rPr>
                  </w:pPr>
                  <w:r>
                    <w:rPr>
                      <w:rFonts w:hint="eastAsia" w:ascii="Times New Roman" w:hAnsi="Times New Roman" w:cs="Times New Roman"/>
                      <w:szCs w:val="21"/>
                    </w:rPr>
                    <w:t>267.40</w:t>
                  </w:r>
                </w:p>
              </w:tc>
              <w:tc>
                <w:tcPr>
                  <w:tcW w:w="569" w:type="pct"/>
                  <w:tcBorders>
                    <w:tl2br w:val="nil"/>
                    <w:tr2bl w:val="nil"/>
                  </w:tcBorders>
                  <w:vAlign w:val="center"/>
                </w:tcPr>
                <w:p w14:paraId="2D22C4BB">
                  <w:pPr>
                    <w:pStyle w:val="63"/>
                    <w:spacing w:line="240" w:lineRule="exact"/>
                    <w:rPr>
                      <w:rFonts w:ascii="Times New Roman" w:hAnsi="Times New Roman" w:cs="Times New Roman"/>
                      <w:szCs w:val="21"/>
                    </w:rPr>
                  </w:pPr>
                  <w:r>
                    <w:rPr>
                      <w:rFonts w:hint="eastAsia" w:ascii="Times New Roman" w:hAnsi="Times New Roman" w:cs="Times New Roman"/>
                      <w:szCs w:val="21"/>
                    </w:rPr>
                    <w:t>282.42</w:t>
                  </w:r>
                </w:p>
              </w:tc>
              <w:tc>
                <w:tcPr>
                  <w:tcW w:w="569" w:type="pct"/>
                  <w:tcBorders>
                    <w:tl2br w:val="nil"/>
                    <w:tr2bl w:val="nil"/>
                  </w:tcBorders>
                  <w:vAlign w:val="center"/>
                </w:tcPr>
                <w:p w14:paraId="0FD796F4">
                  <w:pPr>
                    <w:pStyle w:val="63"/>
                    <w:spacing w:line="240" w:lineRule="exact"/>
                    <w:rPr>
                      <w:rFonts w:ascii="Times New Roman" w:hAnsi="Times New Roman" w:cs="Times New Roman"/>
                      <w:szCs w:val="21"/>
                    </w:rPr>
                  </w:pPr>
                  <w:r>
                    <w:rPr>
                      <w:rFonts w:hint="eastAsia" w:ascii="Times New Roman" w:hAnsi="Times New Roman" w:cs="Times New Roman"/>
                      <w:szCs w:val="21"/>
                    </w:rPr>
                    <w:t>300.45</w:t>
                  </w:r>
                </w:p>
              </w:tc>
              <w:tc>
                <w:tcPr>
                  <w:tcW w:w="516" w:type="pct"/>
                  <w:tcBorders>
                    <w:tl2br w:val="nil"/>
                    <w:tr2bl w:val="nil"/>
                  </w:tcBorders>
                  <w:vAlign w:val="center"/>
                </w:tcPr>
                <w:p w14:paraId="1BE52455">
                  <w:pPr>
                    <w:pStyle w:val="63"/>
                    <w:spacing w:line="240" w:lineRule="exact"/>
                    <w:rPr>
                      <w:rFonts w:ascii="Times New Roman" w:hAnsi="Times New Roman" w:cs="Times New Roman"/>
                      <w:szCs w:val="21"/>
                    </w:rPr>
                  </w:pPr>
                  <w:r>
                    <w:rPr>
                      <w:rFonts w:hint="eastAsia" w:ascii="Times New Roman" w:hAnsi="Times New Roman" w:cs="Times New Roman"/>
                      <w:szCs w:val="21"/>
                    </w:rPr>
                    <w:t>314.0</w:t>
                  </w:r>
                </w:p>
              </w:tc>
              <w:tc>
                <w:tcPr>
                  <w:tcW w:w="518" w:type="pct"/>
                  <w:tcBorders>
                    <w:tl2br w:val="nil"/>
                    <w:tr2bl w:val="nil"/>
                  </w:tcBorders>
                  <w:vAlign w:val="center"/>
                </w:tcPr>
                <w:p w14:paraId="494DE57E">
                  <w:pPr>
                    <w:pStyle w:val="63"/>
                    <w:spacing w:line="240" w:lineRule="exact"/>
                    <w:rPr>
                      <w:rFonts w:ascii="Times New Roman" w:hAnsi="Times New Roman" w:cs="Times New Roman"/>
                      <w:szCs w:val="21"/>
                    </w:rPr>
                  </w:pPr>
                  <w:r>
                    <w:rPr>
                      <w:rFonts w:hint="eastAsia" w:ascii="Times New Roman" w:hAnsi="Times New Roman" w:cs="Times New Roman"/>
                      <w:szCs w:val="21"/>
                    </w:rPr>
                    <w:t>327.49</w:t>
                  </w:r>
                </w:p>
              </w:tc>
            </w:tr>
            <w:tr w14:paraId="3E299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99" w:type="pct"/>
                  <w:tcBorders>
                    <w:tl2br w:val="nil"/>
                    <w:tr2bl w:val="nil"/>
                  </w:tcBorders>
                  <w:vAlign w:val="center"/>
                </w:tcPr>
                <w:p w14:paraId="1E4C3168">
                  <w:pPr>
                    <w:pStyle w:val="63"/>
                    <w:spacing w:line="240" w:lineRule="exact"/>
                    <w:rPr>
                      <w:rFonts w:ascii="Times New Roman" w:hAnsi="Times New Roman" w:cs="Times New Roman"/>
                      <w:szCs w:val="21"/>
                    </w:rPr>
                  </w:pPr>
                  <w:r>
                    <w:rPr>
                      <w:rFonts w:hint="eastAsia" w:ascii="Times New Roman" w:hAnsi="Times New Roman" w:cs="Times New Roman"/>
                      <w:szCs w:val="21"/>
                    </w:rPr>
                    <w:t>使用化学抑尘剂</w:t>
                  </w:r>
                </w:p>
              </w:tc>
              <w:tc>
                <w:tcPr>
                  <w:tcW w:w="478" w:type="pct"/>
                  <w:tcBorders>
                    <w:tl2br w:val="nil"/>
                    <w:tr2bl w:val="nil"/>
                  </w:tcBorders>
                  <w:vAlign w:val="center"/>
                </w:tcPr>
                <w:p w14:paraId="22D3C474">
                  <w:pPr>
                    <w:pStyle w:val="63"/>
                    <w:spacing w:line="240" w:lineRule="exact"/>
                    <w:rPr>
                      <w:rFonts w:ascii="Times New Roman" w:hAnsi="Times New Roman" w:cs="Times New Roman"/>
                      <w:szCs w:val="21"/>
                    </w:rPr>
                  </w:pPr>
                  <w:r>
                    <w:rPr>
                      <w:rFonts w:hint="eastAsia" w:ascii="Times New Roman" w:hAnsi="Times New Roman" w:cs="Times New Roman"/>
                      <w:szCs w:val="21"/>
                    </w:rPr>
                    <w:t>48.41</w:t>
                  </w:r>
                </w:p>
              </w:tc>
              <w:tc>
                <w:tcPr>
                  <w:tcW w:w="516" w:type="pct"/>
                  <w:tcBorders>
                    <w:tl2br w:val="nil"/>
                    <w:tr2bl w:val="nil"/>
                  </w:tcBorders>
                  <w:vAlign w:val="center"/>
                </w:tcPr>
                <w:p w14:paraId="41A122F5">
                  <w:pPr>
                    <w:pStyle w:val="63"/>
                    <w:spacing w:line="240" w:lineRule="exact"/>
                    <w:rPr>
                      <w:rFonts w:ascii="Times New Roman" w:hAnsi="Times New Roman" w:cs="Times New Roman"/>
                      <w:szCs w:val="21"/>
                    </w:rPr>
                  </w:pPr>
                  <w:r>
                    <w:rPr>
                      <w:rFonts w:hint="eastAsia" w:ascii="Times New Roman" w:hAnsi="Times New Roman" w:cs="Times New Roman"/>
                      <w:szCs w:val="21"/>
                    </w:rPr>
                    <w:t>60.09</w:t>
                  </w:r>
                </w:p>
              </w:tc>
              <w:tc>
                <w:tcPr>
                  <w:tcW w:w="516" w:type="pct"/>
                  <w:tcBorders>
                    <w:tl2br w:val="nil"/>
                    <w:tr2bl w:val="nil"/>
                  </w:tcBorders>
                  <w:vAlign w:val="center"/>
                </w:tcPr>
                <w:p w14:paraId="7223ECEE">
                  <w:pPr>
                    <w:pStyle w:val="63"/>
                    <w:spacing w:line="240" w:lineRule="exact"/>
                    <w:rPr>
                      <w:rFonts w:ascii="Times New Roman" w:hAnsi="Times New Roman" w:cs="Times New Roman"/>
                      <w:szCs w:val="21"/>
                    </w:rPr>
                  </w:pPr>
                  <w:r>
                    <w:rPr>
                      <w:rFonts w:hint="eastAsia" w:ascii="Times New Roman" w:hAnsi="Times New Roman" w:cs="Times New Roman"/>
                      <w:szCs w:val="21"/>
                    </w:rPr>
                    <w:t>67.6</w:t>
                  </w:r>
                </w:p>
              </w:tc>
              <w:tc>
                <w:tcPr>
                  <w:tcW w:w="516" w:type="pct"/>
                  <w:tcBorders>
                    <w:tl2br w:val="nil"/>
                    <w:tr2bl w:val="nil"/>
                  </w:tcBorders>
                  <w:vAlign w:val="center"/>
                </w:tcPr>
                <w:p w14:paraId="789F4D16">
                  <w:pPr>
                    <w:pStyle w:val="63"/>
                    <w:spacing w:line="240" w:lineRule="exact"/>
                    <w:rPr>
                      <w:rFonts w:ascii="Times New Roman" w:hAnsi="Times New Roman" w:cs="Times New Roman"/>
                      <w:szCs w:val="21"/>
                    </w:rPr>
                  </w:pPr>
                  <w:r>
                    <w:rPr>
                      <w:rFonts w:hint="eastAsia" w:ascii="Times New Roman" w:hAnsi="Times New Roman" w:cs="Times New Roman"/>
                      <w:szCs w:val="21"/>
                    </w:rPr>
                    <w:t>74.27</w:t>
                  </w:r>
                </w:p>
              </w:tc>
              <w:tc>
                <w:tcPr>
                  <w:tcW w:w="569" w:type="pct"/>
                  <w:tcBorders>
                    <w:tl2br w:val="nil"/>
                    <w:tr2bl w:val="nil"/>
                  </w:tcBorders>
                  <w:vAlign w:val="center"/>
                </w:tcPr>
                <w:p w14:paraId="7C4874C8">
                  <w:pPr>
                    <w:pStyle w:val="63"/>
                    <w:spacing w:line="240" w:lineRule="exact"/>
                    <w:rPr>
                      <w:rFonts w:ascii="Times New Roman" w:hAnsi="Times New Roman" w:cs="Times New Roman"/>
                      <w:szCs w:val="21"/>
                    </w:rPr>
                  </w:pPr>
                  <w:r>
                    <w:rPr>
                      <w:rFonts w:hint="eastAsia" w:ascii="Times New Roman" w:hAnsi="Times New Roman" w:cs="Times New Roman"/>
                      <w:szCs w:val="21"/>
                    </w:rPr>
                    <w:t>78.45</w:t>
                  </w:r>
                </w:p>
              </w:tc>
              <w:tc>
                <w:tcPr>
                  <w:tcW w:w="569" w:type="pct"/>
                  <w:tcBorders>
                    <w:tl2br w:val="nil"/>
                    <w:tr2bl w:val="nil"/>
                  </w:tcBorders>
                  <w:vAlign w:val="center"/>
                </w:tcPr>
                <w:p w14:paraId="1BB6E079">
                  <w:pPr>
                    <w:pStyle w:val="63"/>
                    <w:spacing w:line="240" w:lineRule="exact"/>
                    <w:rPr>
                      <w:rFonts w:ascii="Times New Roman" w:hAnsi="Times New Roman" w:cs="Times New Roman"/>
                      <w:szCs w:val="21"/>
                    </w:rPr>
                  </w:pPr>
                  <w:r>
                    <w:rPr>
                      <w:rFonts w:hint="eastAsia" w:ascii="Times New Roman" w:hAnsi="Times New Roman" w:cs="Times New Roman"/>
                      <w:szCs w:val="21"/>
                    </w:rPr>
                    <w:t>83.46</w:t>
                  </w:r>
                </w:p>
              </w:tc>
              <w:tc>
                <w:tcPr>
                  <w:tcW w:w="516" w:type="pct"/>
                  <w:tcBorders>
                    <w:tl2br w:val="nil"/>
                    <w:tr2bl w:val="nil"/>
                  </w:tcBorders>
                  <w:vAlign w:val="center"/>
                </w:tcPr>
                <w:p w14:paraId="53F64C1E">
                  <w:pPr>
                    <w:pStyle w:val="63"/>
                    <w:spacing w:line="240" w:lineRule="exact"/>
                    <w:rPr>
                      <w:rFonts w:ascii="Times New Roman" w:hAnsi="Times New Roman" w:cs="Times New Roman"/>
                      <w:szCs w:val="21"/>
                    </w:rPr>
                  </w:pPr>
                  <w:r>
                    <w:rPr>
                      <w:rFonts w:hint="eastAsia" w:ascii="Times New Roman" w:hAnsi="Times New Roman" w:cs="Times New Roman"/>
                      <w:szCs w:val="21"/>
                    </w:rPr>
                    <w:t>87.21</w:t>
                  </w:r>
                </w:p>
              </w:tc>
              <w:tc>
                <w:tcPr>
                  <w:tcW w:w="518" w:type="pct"/>
                  <w:tcBorders>
                    <w:tl2br w:val="nil"/>
                    <w:tr2bl w:val="nil"/>
                  </w:tcBorders>
                  <w:vAlign w:val="center"/>
                </w:tcPr>
                <w:p w14:paraId="3E04D526">
                  <w:pPr>
                    <w:pStyle w:val="63"/>
                    <w:spacing w:line="240" w:lineRule="exact"/>
                    <w:rPr>
                      <w:rFonts w:ascii="Times New Roman" w:hAnsi="Times New Roman" w:cs="Times New Roman"/>
                      <w:szCs w:val="21"/>
                    </w:rPr>
                  </w:pPr>
                  <w:r>
                    <w:rPr>
                      <w:rFonts w:hint="eastAsia" w:ascii="Times New Roman" w:hAnsi="Times New Roman" w:cs="Times New Roman"/>
                      <w:szCs w:val="21"/>
                    </w:rPr>
                    <w:t>90.97</w:t>
                  </w:r>
                </w:p>
              </w:tc>
            </w:tr>
          </w:tbl>
          <w:p w14:paraId="13903712">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kern w:val="0"/>
                <w:sz w:val="24"/>
                <w:lang w:bidi="ar"/>
              </w:rPr>
            </w:pPr>
            <w:r>
              <w:rPr>
                <w:rFonts w:hint="eastAsia"/>
                <w:kern w:val="0"/>
                <w:sz w:val="24"/>
                <w:lang w:bidi="ar"/>
              </w:rPr>
              <w:t>由以上分析可知，由于车辆运输过程中产生的道路扬尘量与车辆行驶速度、污染控制措施有关，在采取同等污染防治措施的条件下，速度越快，其扬尘量越大，所以在施工场地，对施工车辆必须实施限速行驶；在相同车速情况下，使用化学抑尘剂的产尘量要比洒水的产尘量要低。因此限制车辆行驶速度、采用污染控制措施是减少汽车扬尘的最有效手段。</w:t>
            </w:r>
          </w:p>
          <w:p w14:paraId="6940E276">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kern w:val="0"/>
                <w:sz w:val="24"/>
                <w:lang w:bidi="ar"/>
              </w:rPr>
            </w:pPr>
            <w:r>
              <w:rPr>
                <w:rFonts w:hint="eastAsia"/>
                <w:kern w:val="0"/>
                <w:sz w:val="24"/>
                <w:lang w:bidi="ar"/>
              </w:rPr>
              <w:t>（3）机械燃油尾气</w:t>
            </w:r>
          </w:p>
          <w:p w14:paraId="2BDE1DCC">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sz w:val="24"/>
              </w:rPr>
            </w:pPr>
            <w:r>
              <w:rPr>
                <w:rFonts w:hint="eastAsia"/>
                <w:sz w:val="24"/>
              </w:rPr>
              <w:t>主要为</w:t>
            </w:r>
            <w:r>
              <w:rPr>
                <w:sz w:val="24"/>
              </w:rPr>
              <w:t>施工机械、运输车辆在运行过程中排放的废气，运输车辆和施工机械动力源主要为柴油。</w:t>
            </w:r>
          </w:p>
          <w:p w14:paraId="3FB759C9">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color w:val="FF0000"/>
                <w:sz w:val="24"/>
              </w:rPr>
            </w:pPr>
            <w:r>
              <w:rPr>
                <w:sz w:val="24"/>
              </w:rPr>
              <w:t>由于本工程施工机械数量不多，布设也较为分散，且全部机械并非同时使用，而是根据施工进度，分时段</w:t>
            </w:r>
            <w:r>
              <w:rPr>
                <w:rFonts w:hint="eastAsia"/>
                <w:sz w:val="24"/>
              </w:rPr>
              <w:t>地</w:t>
            </w:r>
            <w:r>
              <w:rPr>
                <w:sz w:val="24"/>
              </w:rPr>
              <w:t>开展施工作业。运输机械污染源基本上属于流动性、间歇性、源强相对较小的污染源。施工过程中，燃油设备废气均为近地表排放，排放强度较小，总体上施工机械排放废气对空气质量的影响仅限于施工现场及</w:t>
            </w:r>
            <w:r>
              <w:rPr>
                <w:rFonts w:hint="eastAsia"/>
                <w:sz w:val="24"/>
              </w:rPr>
              <w:t>邻近</w:t>
            </w:r>
            <w:r>
              <w:rPr>
                <w:sz w:val="24"/>
              </w:rPr>
              <w:t>区域，具有污染范围小、程度轻的特点，对工程</w:t>
            </w:r>
            <w:r>
              <w:rPr>
                <w:rFonts w:hint="eastAsia"/>
                <w:sz w:val="24"/>
              </w:rPr>
              <w:t>涉及</w:t>
            </w:r>
            <w:r>
              <w:rPr>
                <w:sz w:val="24"/>
              </w:rPr>
              <w:t>区域空气环境质量总体影响不大。施工期间应加强施工机械、车辆保养及养护，使之处于良好的工作状态，尽可能采用低排放的设备，减轻废气排放对附近空气的污染。</w:t>
            </w:r>
          </w:p>
          <w:p w14:paraId="3C0FE873">
            <w:pPr>
              <w:keepNext w:val="0"/>
              <w:keepLines w:val="0"/>
              <w:pageBreakBefore w:val="0"/>
              <w:widowControl/>
              <w:kinsoku/>
              <w:wordWrap/>
              <w:overflowPunct/>
              <w:topLinePunct w:val="0"/>
              <w:autoSpaceDE/>
              <w:autoSpaceDN/>
              <w:bidi w:val="0"/>
              <w:adjustRightInd/>
              <w:snapToGrid/>
              <w:spacing w:line="480" w:lineRule="exact"/>
              <w:ind w:firstLine="482" w:firstLineChars="200"/>
              <w:textAlignment w:val="auto"/>
              <w:rPr>
                <w:b/>
                <w:bCs/>
                <w:kern w:val="0"/>
                <w:sz w:val="24"/>
                <w:lang w:bidi="ar"/>
              </w:rPr>
            </w:pPr>
            <w:r>
              <w:rPr>
                <w:rFonts w:hint="eastAsia"/>
                <w:b/>
                <w:bCs/>
                <w:kern w:val="0"/>
                <w:sz w:val="24"/>
                <w:lang w:bidi="ar"/>
              </w:rPr>
              <w:t>2.施工期水环境影响分析</w:t>
            </w:r>
          </w:p>
          <w:p w14:paraId="667BCA9D">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kern w:val="0"/>
                <w:sz w:val="24"/>
                <w:lang w:bidi="ar"/>
              </w:rPr>
            </w:pPr>
            <w:r>
              <w:rPr>
                <w:rFonts w:hint="eastAsia"/>
                <w:kern w:val="0"/>
                <w:sz w:val="24"/>
                <w:lang w:bidi="ar"/>
              </w:rPr>
              <w:t>施工期废水主要是施工人员的生活污水、施工作业设备清洗废水。</w:t>
            </w:r>
          </w:p>
          <w:p w14:paraId="25AE2130">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kern w:val="0"/>
                <w:sz w:val="24"/>
                <w:lang w:bidi="ar"/>
              </w:rPr>
            </w:pPr>
            <w:r>
              <w:rPr>
                <w:rFonts w:hint="eastAsia"/>
                <w:kern w:val="0"/>
                <w:sz w:val="24"/>
                <w:lang w:bidi="ar"/>
              </w:rPr>
              <w:t>①本项目施工营地不设食堂与宿舍，施工人员为项目周边居民，生活、居住均为周边民房，施工人员就餐可在居民家中或利用周边区域附近餐馆解决。</w:t>
            </w:r>
          </w:p>
          <w:p w14:paraId="4D7CC4E5">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kern w:val="0"/>
                <w:sz w:val="24"/>
                <w:lang w:bidi="ar"/>
              </w:rPr>
            </w:pPr>
            <w:r>
              <w:rPr>
                <w:rFonts w:hint="eastAsia"/>
                <w:kern w:val="0"/>
                <w:sz w:val="24"/>
                <w:lang w:bidi="ar"/>
              </w:rPr>
              <w:t>施工营地内生活污水主要为盥洗废水，主要污染物为COD、BOD</w:t>
            </w:r>
            <w:r>
              <w:rPr>
                <w:rFonts w:hint="eastAsia"/>
                <w:kern w:val="0"/>
                <w:sz w:val="24"/>
                <w:vertAlign w:val="subscript"/>
                <w:lang w:bidi="ar"/>
              </w:rPr>
              <w:t>5</w:t>
            </w:r>
            <w:r>
              <w:rPr>
                <w:rFonts w:hint="eastAsia"/>
                <w:kern w:val="0"/>
                <w:sz w:val="24"/>
                <w:lang w:bidi="ar"/>
              </w:rPr>
              <w:t>、SS等，施工营地施工人员按</w:t>
            </w:r>
            <w:r>
              <w:rPr>
                <w:kern w:val="0"/>
                <w:sz w:val="24"/>
                <w:lang w:bidi="ar"/>
              </w:rPr>
              <w:t>5</w:t>
            </w:r>
            <w:r>
              <w:rPr>
                <w:rFonts w:hint="eastAsia"/>
                <w:kern w:val="0"/>
                <w:sz w:val="24"/>
                <w:lang w:bidi="ar"/>
              </w:rPr>
              <w:t>人计，用水量按30L/人·d 计，产污系数按0.8计，则施工营地污水最大产生量为</w:t>
            </w:r>
            <w:r>
              <w:rPr>
                <w:kern w:val="0"/>
                <w:sz w:val="24"/>
                <w:lang w:bidi="ar"/>
              </w:rPr>
              <w:t>0.12</w:t>
            </w:r>
            <w:r>
              <w:rPr>
                <w:rFonts w:hint="eastAsia"/>
                <w:kern w:val="0"/>
                <w:sz w:val="24"/>
                <w:lang w:bidi="ar"/>
              </w:rPr>
              <w:t>m</w:t>
            </w:r>
            <w:r>
              <w:rPr>
                <w:rFonts w:hint="eastAsia"/>
                <w:kern w:val="0"/>
                <w:sz w:val="24"/>
                <w:vertAlign w:val="superscript"/>
                <w:lang w:bidi="ar"/>
              </w:rPr>
              <w:t>3</w:t>
            </w:r>
            <w:r>
              <w:rPr>
                <w:rFonts w:hint="eastAsia"/>
                <w:kern w:val="0"/>
                <w:sz w:val="24"/>
                <w:lang w:bidi="ar"/>
              </w:rPr>
              <w:t>/d，生活污水水质较简单，经沉淀后可回用于施工营地内洒水。</w:t>
            </w:r>
          </w:p>
          <w:p w14:paraId="50F86E6B">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kern w:val="0"/>
                <w:sz w:val="24"/>
                <w:lang w:bidi="ar"/>
              </w:rPr>
            </w:pPr>
            <w:r>
              <w:rPr>
                <w:rFonts w:hint="eastAsia"/>
                <w:kern w:val="0"/>
                <w:sz w:val="24"/>
                <w:lang w:bidi="ar"/>
              </w:rPr>
              <w:t>②施工作业污水主要是清洗设备的废水。</w:t>
            </w:r>
            <w:r>
              <w:rPr>
                <w:kern w:val="0"/>
                <w:sz w:val="24"/>
                <w:lang w:bidi="ar"/>
              </w:rPr>
              <w:t>施工废水量较小，根据《公路环境保护设计规范》（JTGB04-2010），施工车辆冲洗水</w:t>
            </w:r>
            <w:r>
              <w:rPr>
                <w:rFonts w:hint="eastAsia"/>
                <w:kern w:val="0"/>
                <w:sz w:val="24"/>
                <w:lang w:bidi="ar"/>
              </w:rPr>
              <w:t>量</w:t>
            </w:r>
            <w:r>
              <w:rPr>
                <w:kern w:val="0"/>
                <w:sz w:val="24"/>
                <w:lang w:bidi="ar"/>
              </w:rPr>
              <w:t>约为0.08m</w:t>
            </w:r>
            <w:r>
              <w:rPr>
                <w:kern w:val="0"/>
                <w:sz w:val="24"/>
                <w:vertAlign w:val="superscript"/>
                <w:lang w:bidi="ar"/>
              </w:rPr>
              <w:t>3</w:t>
            </w:r>
            <w:r>
              <w:rPr>
                <w:kern w:val="0"/>
                <w:sz w:val="24"/>
                <w:lang w:bidi="ar"/>
              </w:rPr>
              <w:t>/辆·次，预计本项目施工车辆约2辆，</w:t>
            </w:r>
            <w:r>
              <w:rPr>
                <w:rFonts w:hint="eastAsia"/>
                <w:kern w:val="0"/>
                <w:sz w:val="24"/>
                <w:lang w:bidi="ar"/>
              </w:rPr>
              <w:t>每辆车</w:t>
            </w:r>
            <w:r>
              <w:rPr>
                <w:kern w:val="0"/>
                <w:sz w:val="24"/>
                <w:lang w:bidi="ar"/>
              </w:rPr>
              <w:t>每天冲洗两次，施工废水产生量约0.16m</w:t>
            </w:r>
            <w:r>
              <w:rPr>
                <w:kern w:val="0"/>
                <w:sz w:val="24"/>
                <w:vertAlign w:val="superscript"/>
                <w:lang w:bidi="ar"/>
              </w:rPr>
              <w:t>3</w:t>
            </w:r>
            <w:r>
              <w:rPr>
                <w:kern w:val="0"/>
                <w:sz w:val="24"/>
                <w:lang w:bidi="ar"/>
              </w:rPr>
              <w:t>/d，施工期约1个月，则项目施工废水约4.8m</w:t>
            </w:r>
            <w:r>
              <w:rPr>
                <w:kern w:val="0"/>
                <w:sz w:val="24"/>
                <w:vertAlign w:val="superscript"/>
                <w:lang w:bidi="ar"/>
              </w:rPr>
              <w:t>3</w:t>
            </w:r>
            <w:r>
              <w:rPr>
                <w:kern w:val="0"/>
                <w:sz w:val="24"/>
                <w:lang w:bidi="ar"/>
              </w:rPr>
              <w:t>，主要污染物为SS和石油类，全部经隔油沉淀池沉淀处理后回用于洒水降尘，不外排，不会对</w:t>
            </w:r>
            <w:r>
              <w:rPr>
                <w:rFonts w:hint="eastAsia"/>
                <w:kern w:val="0"/>
                <w:sz w:val="24"/>
                <w:lang w:bidi="ar"/>
              </w:rPr>
              <w:t>周围水环境</w:t>
            </w:r>
            <w:r>
              <w:rPr>
                <w:kern w:val="0"/>
                <w:sz w:val="24"/>
                <w:lang w:bidi="ar"/>
              </w:rPr>
              <w:t>造成影响。</w:t>
            </w:r>
          </w:p>
          <w:p w14:paraId="568E389C">
            <w:pPr>
              <w:keepNext w:val="0"/>
              <w:keepLines w:val="0"/>
              <w:pageBreakBefore w:val="0"/>
              <w:widowControl/>
              <w:kinsoku/>
              <w:wordWrap/>
              <w:overflowPunct/>
              <w:topLinePunct w:val="0"/>
              <w:autoSpaceDE/>
              <w:autoSpaceDN/>
              <w:bidi w:val="0"/>
              <w:adjustRightInd/>
              <w:snapToGrid/>
              <w:spacing w:line="480" w:lineRule="exact"/>
              <w:ind w:firstLine="482" w:firstLineChars="200"/>
              <w:textAlignment w:val="auto"/>
            </w:pPr>
            <w:r>
              <w:rPr>
                <w:rFonts w:hint="eastAsia"/>
                <w:b/>
                <w:bCs/>
                <w:kern w:val="0"/>
                <w:sz w:val="24"/>
                <w:lang w:bidi="ar"/>
              </w:rPr>
              <w:t>3.施工期噪声环境影响分析</w:t>
            </w:r>
          </w:p>
          <w:p w14:paraId="25AAA8DD">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pPr>
            <w:r>
              <w:rPr>
                <w:rFonts w:hint="eastAsia" w:ascii="宋体" w:hAnsi="宋体" w:cs="宋体"/>
                <w:kern w:val="0"/>
                <w:sz w:val="24"/>
                <w:lang w:bidi="ar"/>
              </w:rPr>
              <w:t>本项目施工期间主要的噪声源是施工机械噪声和运输车辆噪声，施工运输车辆通常以卡车为主，对沿途道路两侧敏感点的影响较为明显；施工过程中使用的机械主要有挖掘机、运输车等，各设备的噪声源强约为</w:t>
            </w:r>
            <w:r>
              <w:rPr>
                <w:kern w:val="0"/>
                <w:sz w:val="24"/>
                <w:lang w:bidi="ar"/>
              </w:rPr>
              <w:t>75~90dB</w:t>
            </w:r>
            <w:r>
              <w:rPr>
                <w:rFonts w:hint="eastAsia" w:ascii="宋体" w:hAnsi="宋体" w:cs="宋体"/>
                <w:kern w:val="0"/>
                <w:sz w:val="24"/>
                <w:lang w:bidi="ar"/>
              </w:rPr>
              <w:t>（</w:t>
            </w:r>
            <w:r>
              <w:rPr>
                <w:kern w:val="0"/>
                <w:sz w:val="24"/>
                <w:lang w:bidi="ar"/>
              </w:rPr>
              <w:t>A</w:t>
            </w:r>
            <w:r>
              <w:rPr>
                <w:rFonts w:hint="eastAsia" w:ascii="宋体" w:hAnsi="宋体" w:cs="宋体"/>
                <w:kern w:val="0"/>
                <w:sz w:val="24"/>
                <w:lang w:bidi="ar"/>
              </w:rPr>
              <w:t>）。</w:t>
            </w:r>
          </w:p>
          <w:p w14:paraId="26D76BC4">
            <w:pPr>
              <w:pStyle w:val="15"/>
              <w:keepNext w:val="0"/>
              <w:keepLines w:val="0"/>
              <w:pageBreakBefore w:val="0"/>
              <w:widowControl/>
              <w:kinsoku/>
              <w:wordWrap/>
              <w:overflowPunct/>
              <w:topLinePunct w:val="0"/>
              <w:autoSpaceDE/>
              <w:autoSpaceDN/>
              <w:bidi w:val="0"/>
              <w:adjustRightInd/>
              <w:snapToGrid/>
              <w:spacing w:line="480" w:lineRule="exact"/>
              <w:ind w:firstLine="420" w:firstLineChars="200"/>
              <w:textAlignment w:val="auto"/>
              <w:rPr>
                <w:rFonts w:ascii="宋体" w:hAnsi="宋体" w:eastAsia="宋体" w:cs="宋体"/>
                <w:sz w:val="21"/>
                <w:szCs w:val="21"/>
              </w:rPr>
            </w:pPr>
            <w:r>
              <w:rPr>
                <w:rFonts w:ascii="宋体" w:hAnsi="宋体" w:eastAsia="宋体" w:cs="宋体"/>
                <w:sz w:val="21"/>
                <w:szCs w:val="21"/>
              </w:rPr>
              <w:t>表</w:t>
            </w:r>
            <w:r>
              <w:rPr>
                <w:rFonts w:eastAsia="宋体"/>
                <w:sz w:val="21"/>
                <w:szCs w:val="21"/>
              </w:rPr>
              <w:t>4-3</w:t>
            </w:r>
            <w:r>
              <w:rPr>
                <w:rFonts w:hint="eastAsia" w:ascii="宋体" w:hAnsi="宋体" w:eastAsia="宋体" w:cs="宋体"/>
                <w:sz w:val="21"/>
                <w:szCs w:val="21"/>
              </w:rPr>
              <w:t xml:space="preserve"> </w:t>
            </w:r>
            <w:r>
              <w:rPr>
                <w:rFonts w:ascii="宋体" w:hAnsi="宋体" w:eastAsia="宋体" w:cs="宋体"/>
                <w:sz w:val="21"/>
                <w:szCs w:val="21"/>
              </w:rPr>
              <w:t>施工机械设备噪声源强</w:t>
            </w:r>
            <w:r>
              <w:rPr>
                <w:rFonts w:hint="eastAsia" w:ascii="宋体" w:hAnsi="宋体" w:eastAsia="宋体" w:cs="宋体"/>
                <w:sz w:val="21"/>
                <w:szCs w:val="21"/>
              </w:rPr>
              <w:t xml:space="preserve">     </w:t>
            </w:r>
            <w:r>
              <w:rPr>
                <w:rFonts w:ascii="宋体" w:hAnsi="宋体" w:eastAsia="宋体" w:cs="宋体"/>
                <w:sz w:val="21"/>
                <w:szCs w:val="21"/>
              </w:rPr>
              <w:t>单位：</w:t>
            </w:r>
            <w:r>
              <w:rPr>
                <w:rFonts w:eastAsia="宋体"/>
                <w:sz w:val="21"/>
                <w:szCs w:val="21"/>
              </w:rPr>
              <w:t>dB（A）</w:t>
            </w:r>
          </w:p>
          <w:tbl>
            <w:tblPr>
              <w:tblStyle w:val="29"/>
              <w:tblW w:w="4998" w:type="pct"/>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2"/>
              <w:gridCol w:w="2096"/>
              <w:gridCol w:w="2096"/>
              <w:gridCol w:w="3227"/>
            </w:tblGrid>
            <w:tr w14:paraId="044EC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42" w:type="pct"/>
                  <w:vAlign w:val="center"/>
                </w:tcPr>
                <w:p w14:paraId="76B0190F">
                  <w:pPr>
                    <w:widowControl/>
                    <w:jc w:val="center"/>
                    <w:rPr>
                      <w:szCs w:val="21"/>
                    </w:rPr>
                  </w:pPr>
                  <w:r>
                    <w:rPr>
                      <w:rFonts w:hint="eastAsia"/>
                      <w:szCs w:val="21"/>
                    </w:rPr>
                    <w:t>序号</w:t>
                  </w:r>
                </w:p>
              </w:tc>
              <w:tc>
                <w:tcPr>
                  <w:tcW w:w="1259" w:type="pct"/>
                  <w:vAlign w:val="center"/>
                </w:tcPr>
                <w:p w14:paraId="1CF6505E">
                  <w:pPr>
                    <w:widowControl/>
                    <w:jc w:val="center"/>
                    <w:rPr>
                      <w:szCs w:val="21"/>
                    </w:rPr>
                  </w:pPr>
                  <w:r>
                    <w:rPr>
                      <w:rFonts w:hint="eastAsia"/>
                      <w:szCs w:val="21"/>
                    </w:rPr>
                    <w:t>机械类型</w:t>
                  </w:r>
                </w:p>
              </w:tc>
              <w:tc>
                <w:tcPr>
                  <w:tcW w:w="1259" w:type="pct"/>
                  <w:vAlign w:val="center"/>
                </w:tcPr>
                <w:p w14:paraId="4FF579C7">
                  <w:pPr>
                    <w:widowControl/>
                    <w:jc w:val="center"/>
                    <w:rPr>
                      <w:szCs w:val="21"/>
                    </w:rPr>
                  </w:pPr>
                  <w:r>
                    <w:rPr>
                      <w:rFonts w:hint="eastAsia"/>
                      <w:szCs w:val="21"/>
                    </w:rPr>
                    <w:t>声源特点</w:t>
                  </w:r>
                </w:p>
              </w:tc>
              <w:tc>
                <w:tcPr>
                  <w:tcW w:w="1938" w:type="pct"/>
                  <w:vAlign w:val="center"/>
                </w:tcPr>
                <w:p w14:paraId="4441038E">
                  <w:pPr>
                    <w:widowControl/>
                    <w:jc w:val="center"/>
                    <w:rPr>
                      <w:szCs w:val="21"/>
                    </w:rPr>
                  </w:pPr>
                  <w:r>
                    <w:rPr>
                      <w:rFonts w:hint="eastAsia" w:ascii="宋体" w:hAnsi="宋体" w:cs="宋体"/>
                      <w:kern w:val="0"/>
                      <w:szCs w:val="21"/>
                      <w:lang w:bidi="ar"/>
                    </w:rPr>
                    <w:t>距离设备</w:t>
                  </w:r>
                  <w:r>
                    <w:rPr>
                      <w:kern w:val="0"/>
                      <w:szCs w:val="21"/>
                      <w:lang w:bidi="ar"/>
                    </w:rPr>
                    <w:t>5m</w:t>
                  </w:r>
                  <w:r>
                    <w:rPr>
                      <w:rFonts w:hint="eastAsia" w:ascii="宋体" w:hAnsi="宋体" w:cs="宋体"/>
                      <w:kern w:val="0"/>
                      <w:szCs w:val="21"/>
                      <w:lang w:bidi="ar"/>
                    </w:rPr>
                    <w:t>处噪声值</w:t>
                  </w:r>
                </w:p>
              </w:tc>
            </w:tr>
            <w:tr w14:paraId="21D15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42" w:type="pct"/>
                  <w:vAlign w:val="center"/>
                </w:tcPr>
                <w:p w14:paraId="0A605EEC">
                  <w:pPr>
                    <w:widowControl/>
                    <w:jc w:val="center"/>
                    <w:rPr>
                      <w:szCs w:val="21"/>
                    </w:rPr>
                  </w:pPr>
                  <w:r>
                    <w:rPr>
                      <w:szCs w:val="21"/>
                    </w:rPr>
                    <w:t>1</w:t>
                  </w:r>
                </w:p>
              </w:tc>
              <w:tc>
                <w:tcPr>
                  <w:tcW w:w="1259" w:type="pct"/>
                  <w:vAlign w:val="center"/>
                </w:tcPr>
                <w:p w14:paraId="02857828">
                  <w:pPr>
                    <w:widowControl/>
                    <w:jc w:val="center"/>
                    <w:rPr>
                      <w:szCs w:val="21"/>
                    </w:rPr>
                  </w:pPr>
                  <w:r>
                    <w:rPr>
                      <w:rFonts w:hint="eastAsia"/>
                      <w:szCs w:val="21"/>
                    </w:rPr>
                    <w:t>装卸机</w:t>
                  </w:r>
                </w:p>
              </w:tc>
              <w:tc>
                <w:tcPr>
                  <w:tcW w:w="1259" w:type="pct"/>
                  <w:vAlign w:val="center"/>
                </w:tcPr>
                <w:p w14:paraId="4C8F15F5">
                  <w:pPr>
                    <w:widowControl/>
                    <w:jc w:val="center"/>
                    <w:rPr>
                      <w:szCs w:val="21"/>
                    </w:rPr>
                  </w:pPr>
                  <w:r>
                    <w:rPr>
                      <w:rFonts w:hint="eastAsia"/>
                      <w:szCs w:val="21"/>
                    </w:rPr>
                    <w:t>不稳态源</w:t>
                  </w:r>
                </w:p>
              </w:tc>
              <w:tc>
                <w:tcPr>
                  <w:tcW w:w="1938" w:type="pct"/>
                  <w:vAlign w:val="center"/>
                </w:tcPr>
                <w:p w14:paraId="7CA3A587">
                  <w:pPr>
                    <w:widowControl/>
                    <w:jc w:val="center"/>
                    <w:rPr>
                      <w:szCs w:val="21"/>
                    </w:rPr>
                  </w:pPr>
                  <w:r>
                    <w:rPr>
                      <w:szCs w:val="21"/>
                    </w:rPr>
                    <w:t>90</w:t>
                  </w:r>
                </w:p>
              </w:tc>
            </w:tr>
            <w:tr w14:paraId="5C7D1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42" w:type="pct"/>
                  <w:vAlign w:val="center"/>
                </w:tcPr>
                <w:p w14:paraId="21D329A9">
                  <w:pPr>
                    <w:widowControl/>
                    <w:jc w:val="center"/>
                    <w:rPr>
                      <w:szCs w:val="21"/>
                    </w:rPr>
                  </w:pPr>
                  <w:r>
                    <w:rPr>
                      <w:szCs w:val="21"/>
                    </w:rPr>
                    <w:t>2</w:t>
                  </w:r>
                </w:p>
              </w:tc>
              <w:tc>
                <w:tcPr>
                  <w:tcW w:w="1259" w:type="pct"/>
                  <w:vAlign w:val="center"/>
                </w:tcPr>
                <w:p w14:paraId="11DDA29A">
                  <w:pPr>
                    <w:widowControl/>
                    <w:jc w:val="center"/>
                    <w:rPr>
                      <w:szCs w:val="21"/>
                    </w:rPr>
                  </w:pPr>
                  <w:r>
                    <w:rPr>
                      <w:rFonts w:hint="eastAsia"/>
                      <w:szCs w:val="21"/>
                    </w:rPr>
                    <w:t>推土机</w:t>
                  </w:r>
                </w:p>
              </w:tc>
              <w:tc>
                <w:tcPr>
                  <w:tcW w:w="1259" w:type="pct"/>
                  <w:vAlign w:val="center"/>
                </w:tcPr>
                <w:p w14:paraId="7150EC2A">
                  <w:pPr>
                    <w:widowControl/>
                    <w:jc w:val="center"/>
                    <w:rPr>
                      <w:szCs w:val="21"/>
                    </w:rPr>
                  </w:pPr>
                  <w:r>
                    <w:rPr>
                      <w:rFonts w:hint="eastAsia"/>
                      <w:szCs w:val="21"/>
                    </w:rPr>
                    <w:t>流动不稳态源</w:t>
                  </w:r>
                </w:p>
              </w:tc>
              <w:tc>
                <w:tcPr>
                  <w:tcW w:w="1938" w:type="pct"/>
                  <w:vAlign w:val="center"/>
                </w:tcPr>
                <w:p w14:paraId="37692739">
                  <w:pPr>
                    <w:widowControl/>
                    <w:jc w:val="center"/>
                    <w:rPr>
                      <w:szCs w:val="21"/>
                    </w:rPr>
                  </w:pPr>
                  <w:r>
                    <w:rPr>
                      <w:szCs w:val="21"/>
                    </w:rPr>
                    <w:t>85</w:t>
                  </w:r>
                </w:p>
              </w:tc>
            </w:tr>
            <w:tr w14:paraId="37604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42" w:type="pct"/>
                  <w:vAlign w:val="center"/>
                </w:tcPr>
                <w:p w14:paraId="20E220D5">
                  <w:pPr>
                    <w:widowControl/>
                    <w:jc w:val="center"/>
                    <w:rPr>
                      <w:szCs w:val="21"/>
                    </w:rPr>
                  </w:pPr>
                  <w:r>
                    <w:rPr>
                      <w:szCs w:val="21"/>
                    </w:rPr>
                    <w:t>3</w:t>
                  </w:r>
                </w:p>
              </w:tc>
              <w:tc>
                <w:tcPr>
                  <w:tcW w:w="1259" w:type="pct"/>
                  <w:vAlign w:val="center"/>
                </w:tcPr>
                <w:p w14:paraId="201C4F01">
                  <w:pPr>
                    <w:widowControl/>
                    <w:jc w:val="center"/>
                    <w:rPr>
                      <w:szCs w:val="21"/>
                    </w:rPr>
                  </w:pPr>
                  <w:r>
                    <w:rPr>
                      <w:rFonts w:hint="eastAsia"/>
                      <w:szCs w:val="21"/>
                    </w:rPr>
                    <w:t>挖掘机</w:t>
                  </w:r>
                </w:p>
              </w:tc>
              <w:tc>
                <w:tcPr>
                  <w:tcW w:w="1259" w:type="pct"/>
                  <w:vAlign w:val="center"/>
                </w:tcPr>
                <w:p w14:paraId="5C918790">
                  <w:pPr>
                    <w:widowControl/>
                    <w:jc w:val="center"/>
                    <w:rPr>
                      <w:szCs w:val="21"/>
                    </w:rPr>
                  </w:pPr>
                  <w:r>
                    <w:rPr>
                      <w:rFonts w:hint="eastAsia"/>
                      <w:szCs w:val="21"/>
                    </w:rPr>
                    <w:t>不稳态源</w:t>
                  </w:r>
                </w:p>
              </w:tc>
              <w:tc>
                <w:tcPr>
                  <w:tcW w:w="1938" w:type="pct"/>
                  <w:vAlign w:val="center"/>
                </w:tcPr>
                <w:p w14:paraId="02F09F90">
                  <w:pPr>
                    <w:widowControl/>
                    <w:jc w:val="center"/>
                    <w:rPr>
                      <w:szCs w:val="21"/>
                    </w:rPr>
                  </w:pPr>
                  <w:r>
                    <w:rPr>
                      <w:szCs w:val="21"/>
                    </w:rPr>
                    <w:t>82</w:t>
                  </w:r>
                </w:p>
              </w:tc>
            </w:tr>
            <w:tr w14:paraId="42345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42" w:type="pct"/>
                  <w:vAlign w:val="center"/>
                </w:tcPr>
                <w:p w14:paraId="1A81D45B">
                  <w:pPr>
                    <w:widowControl/>
                    <w:jc w:val="center"/>
                    <w:rPr>
                      <w:szCs w:val="21"/>
                    </w:rPr>
                  </w:pPr>
                  <w:r>
                    <w:rPr>
                      <w:szCs w:val="21"/>
                    </w:rPr>
                    <w:t>4</w:t>
                  </w:r>
                </w:p>
              </w:tc>
              <w:tc>
                <w:tcPr>
                  <w:tcW w:w="1259" w:type="pct"/>
                  <w:vAlign w:val="center"/>
                </w:tcPr>
                <w:p w14:paraId="2E97CDE5">
                  <w:pPr>
                    <w:widowControl/>
                    <w:jc w:val="center"/>
                    <w:rPr>
                      <w:szCs w:val="21"/>
                    </w:rPr>
                  </w:pPr>
                  <w:r>
                    <w:rPr>
                      <w:rFonts w:hint="eastAsia"/>
                      <w:szCs w:val="21"/>
                    </w:rPr>
                    <w:t>运输车辆</w:t>
                  </w:r>
                </w:p>
              </w:tc>
              <w:tc>
                <w:tcPr>
                  <w:tcW w:w="1259" w:type="pct"/>
                  <w:vAlign w:val="center"/>
                </w:tcPr>
                <w:p w14:paraId="23F7421D">
                  <w:pPr>
                    <w:widowControl/>
                    <w:jc w:val="center"/>
                    <w:rPr>
                      <w:szCs w:val="21"/>
                    </w:rPr>
                  </w:pPr>
                  <w:r>
                    <w:rPr>
                      <w:rFonts w:hint="eastAsia"/>
                      <w:szCs w:val="21"/>
                    </w:rPr>
                    <w:t>流动不稳态源</w:t>
                  </w:r>
                </w:p>
              </w:tc>
              <w:tc>
                <w:tcPr>
                  <w:tcW w:w="1938" w:type="pct"/>
                  <w:vAlign w:val="center"/>
                </w:tcPr>
                <w:p w14:paraId="5E844934">
                  <w:pPr>
                    <w:widowControl/>
                    <w:jc w:val="center"/>
                    <w:rPr>
                      <w:szCs w:val="21"/>
                    </w:rPr>
                  </w:pPr>
                  <w:r>
                    <w:rPr>
                      <w:szCs w:val="21"/>
                    </w:rPr>
                    <w:t>75</w:t>
                  </w:r>
                </w:p>
              </w:tc>
            </w:tr>
          </w:tbl>
          <w:p w14:paraId="3930F675">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kern w:val="0"/>
                <w:sz w:val="24"/>
                <w:lang w:bidi="ar"/>
              </w:rPr>
            </w:pPr>
            <w:r>
              <w:rPr>
                <w:kern w:val="0"/>
                <w:sz w:val="24"/>
                <w:lang w:bidi="ar"/>
              </w:rPr>
              <w:t>一般情况下施工机械分布比较分散，多数情况下只有1</w:t>
            </w:r>
            <w:r>
              <w:rPr>
                <w:rFonts w:hint="eastAsia"/>
                <w:kern w:val="0"/>
                <w:sz w:val="24"/>
                <w:lang w:bidi="ar"/>
              </w:rPr>
              <w:t>～</w:t>
            </w:r>
            <w:r>
              <w:rPr>
                <w:kern w:val="0"/>
                <w:sz w:val="24"/>
                <w:lang w:bidi="ar"/>
              </w:rPr>
              <w:t>2台设备在同一地点同时使用，施工现场多台机械设备同时使用时，各设备噪声会叠加，根据类比调查，叠加后的噪声增值约3~5dB（A）。</w:t>
            </w:r>
          </w:p>
          <w:p w14:paraId="18CC24A9">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kern w:val="0"/>
                <w:sz w:val="24"/>
                <w:lang w:bidi="ar"/>
              </w:rPr>
            </w:pPr>
            <w:r>
              <w:rPr>
                <w:kern w:val="0"/>
                <w:sz w:val="24"/>
                <w:lang w:bidi="ar"/>
              </w:rPr>
              <w:t>施工机械产生的噪声主要属于中低频噪声，因此在预测其影响时可只考虑其扩散衰减，即预测模型可选用：</w:t>
            </w:r>
          </w:p>
          <w:p w14:paraId="23798763">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kern w:val="0"/>
                <w:sz w:val="24"/>
                <w:lang w:bidi="ar"/>
              </w:rPr>
            </w:pPr>
            <w:r>
              <w:rPr>
                <w:kern w:val="0"/>
                <w:sz w:val="24"/>
                <w:lang w:bidi="ar"/>
              </w:rPr>
              <w:t>L</w:t>
            </w:r>
            <w:r>
              <w:rPr>
                <w:kern w:val="0"/>
                <w:sz w:val="24"/>
                <w:vertAlign w:val="subscript"/>
                <w:lang w:bidi="ar"/>
              </w:rPr>
              <w:t>2</w:t>
            </w:r>
            <w:r>
              <w:rPr>
                <w:kern w:val="0"/>
                <w:sz w:val="24"/>
                <w:lang w:bidi="ar"/>
              </w:rPr>
              <w:t>=L</w:t>
            </w:r>
            <w:r>
              <w:rPr>
                <w:kern w:val="0"/>
                <w:sz w:val="24"/>
                <w:vertAlign w:val="subscript"/>
                <w:lang w:bidi="ar"/>
              </w:rPr>
              <w:t>1</w:t>
            </w:r>
            <w:r>
              <w:rPr>
                <w:kern w:val="0"/>
                <w:sz w:val="24"/>
                <w:lang w:bidi="ar"/>
              </w:rPr>
              <w:t>-20lg(r</w:t>
            </w:r>
            <w:r>
              <w:rPr>
                <w:kern w:val="0"/>
                <w:sz w:val="24"/>
                <w:vertAlign w:val="subscript"/>
                <w:lang w:bidi="ar"/>
              </w:rPr>
              <w:t>2</w:t>
            </w:r>
            <w:r>
              <w:rPr>
                <w:kern w:val="0"/>
                <w:sz w:val="24"/>
                <w:lang w:bidi="ar"/>
              </w:rPr>
              <w:t>/r</w:t>
            </w:r>
            <w:r>
              <w:rPr>
                <w:kern w:val="0"/>
                <w:sz w:val="24"/>
                <w:vertAlign w:val="subscript"/>
                <w:lang w:bidi="ar"/>
              </w:rPr>
              <w:t>1</w:t>
            </w:r>
            <w:r>
              <w:rPr>
                <w:kern w:val="0"/>
                <w:sz w:val="24"/>
                <w:lang w:bidi="ar"/>
              </w:rPr>
              <w:t>)</w:t>
            </w:r>
          </w:p>
          <w:p w14:paraId="5D2286AC">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kern w:val="0"/>
                <w:sz w:val="24"/>
                <w:lang w:bidi="ar"/>
              </w:rPr>
            </w:pPr>
            <w:r>
              <w:rPr>
                <w:kern w:val="0"/>
                <w:sz w:val="24"/>
                <w:lang w:bidi="ar"/>
              </w:rPr>
              <w:t>式中：L</w:t>
            </w:r>
            <w:r>
              <w:rPr>
                <w:kern w:val="0"/>
                <w:sz w:val="24"/>
                <w:vertAlign w:val="subscript"/>
                <w:lang w:bidi="ar"/>
              </w:rPr>
              <w:t>2</w:t>
            </w:r>
            <w:r>
              <w:rPr>
                <w:kern w:val="0"/>
                <w:sz w:val="24"/>
                <w:lang w:bidi="ar"/>
              </w:rPr>
              <w:t>—点声源在参考点产生的声压级，dB(A)；</w:t>
            </w:r>
          </w:p>
          <w:p w14:paraId="1C20F4D2">
            <w:pPr>
              <w:keepNext w:val="0"/>
              <w:keepLines w:val="0"/>
              <w:pageBreakBefore w:val="0"/>
              <w:widowControl/>
              <w:kinsoku/>
              <w:wordWrap/>
              <w:overflowPunct/>
              <w:topLinePunct w:val="0"/>
              <w:autoSpaceDE/>
              <w:autoSpaceDN/>
              <w:bidi w:val="0"/>
              <w:adjustRightInd/>
              <w:snapToGrid/>
              <w:spacing w:line="480" w:lineRule="exact"/>
              <w:ind w:firstLine="1200" w:firstLineChars="500"/>
              <w:textAlignment w:val="auto"/>
              <w:rPr>
                <w:kern w:val="0"/>
                <w:sz w:val="24"/>
                <w:lang w:bidi="ar"/>
              </w:rPr>
            </w:pPr>
            <w:r>
              <w:rPr>
                <w:kern w:val="0"/>
                <w:sz w:val="24"/>
                <w:lang w:bidi="ar"/>
              </w:rPr>
              <w:t>L</w:t>
            </w:r>
            <w:r>
              <w:rPr>
                <w:kern w:val="0"/>
                <w:sz w:val="24"/>
                <w:vertAlign w:val="subscript"/>
                <w:lang w:bidi="ar"/>
              </w:rPr>
              <w:t>1</w:t>
            </w:r>
            <w:r>
              <w:rPr>
                <w:kern w:val="0"/>
                <w:sz w:val="24"/>
                <w:lang w:bidi="ar"/>
              </w:rPr>
              <w:t>—点声源在参考点产生的声压级，dB(A)；</w:t>
            </w:r>
          </w:p>
          <w:p w14:paraId="6489F8F8">
            <w:pPr>
              <w:keepNext w:val="0"/>
              <w:keepLines w:val="0"/>
              <w:pageBreakBefore w:val="0"/>
              <w:widowControl/>
              <w:kinsoku/>
              <w:wordWrap/>
              <w:overflowPunct/>
              <w:topLinePunct w:val="0"/>
              <w:autoSpaceDE/>
              <w:autoSpaceDN/>
              <w:bidi w:val="0"/>
              <w:adjustRightInd/>
              <w:snapToGrid/>
              <w:spacing w:line="480" w:lineRule="exact"/>
              <w:ind w:firstLine="1200" w:firstLineChars="500"/>
              <w:textAlignment w:val="auto"/>
              <w:rPr>
                <w:kern w:val="0"/>
                <w:sz w:val="24"/>
                <w:lang w:bidi="ar"/>
              </w:rPr>
            </w:pPr>
            <w:r>
              <w:rPr>
                <w:kern w:val="0"/>
                <w:sz w:val="24"/>
                <w:lang w:bidi="ar"/>
              </w:rPr>
              <w:t>r</w:t>
            </w:r>
            <w:r>
              <w:rPr>
                <w:kern w:val="0"/>
                <w:sz w:val="24"/>
                <w:vertAlign w:val="subscript"/>
                <w:lang w:bidi="ar"/>
              </w:rPr>
              <w:t>2</w:t>
            </w:r>
            <w:r>
              <w:rPr>
                <w:kern w:val="0"/>
                <w:sz w:val="24"/>
                <w:lang w:bidi="ar"/>
              </w:rPr>
              <w:t>—预测点距离声源的距离，m；</w:t>
            </w:r>
          </w:p>
          <w:p w14:paraId="2EB92497">
            <w:pPr>
              <w:keepNext w:val="0"/>
              <w:keepLines w:val="0"/>
              <w:pageBreakBefore w:val="0"/>
              <w:widowControl/>
              <w:kinsoku/>
              <w:wordWrap/>
              <w:overflowPunct/>
              <w:topLinePunct w:val="0"/>
              <w:autoSpaceDE/>
              <w:autoSpaceDN/>
              <w:bidi w:val="0"/>
              <w:adjustRightInd/>
              <w:snapToGrid/>
              <w:spacing w:line="480" w:lineRule="exact"/>
              <w:ind w:firstLine="1200" w:firstLineChars="500"/>
              <w:textAlignment w:val="auto"/>
              <w:rPr>
                <w:kern w:val="0"/>
                <w:sz w:val="24"/>
                <w:lang w:bidi="ar"/>
              </w:rPr>
            </w:pPr>
            <w:r>
              <w:rPr>
                <w:kern w:val="0"/>
                <w:sz w:val="24"/>
                <w:lang w:bidi="ar"/>
              </w:rPr>
              <w:t>r</w:t>
            </w:r>
            <w:r>
              <w:rPr>
                <w:kern w:val="0"/>
                <w:sz w:val="24"/>
                <w:vertAlign w:val="subscript"/>
                <w:lang w:bidi="ar"/>
              </w:rPr>
              <w:t>1</w:t>
            </w:r>
            <w:r>
              <w:rPr>
                <w:kern w:val="0"/>
                <w:sz w:val="24"/>
                <w:lang w:bidi="ar"/>
              </w:rPr>
              <w:t>—参考点距声源的距离，m；</w:t>
            </w:r>
          </w:p>
          <w:p w14:paraId="25634322">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kern w:val="0"/>
                <w:sz w:val="24"/>
                <w:lang w:bidi="ar"/>
              </w:rPr>
            </w:pPr>
            <w:r>
              <w:rPr>
                <w:kern w:val="0"/>
                <w:sz w:val="24"/>
                <w:lang w:bidi="ar"/>
              </w:rPr>
              <w:t>根据项目噪声源，利用预测模式计算出无屏障的情形下，施工过程中主要噪声源噪声级分布如下所示。</w:t>
            </w:r>
          </w:p>
          <w:p w14:paraId="4E6677B9">
            <w:pPr>
              <w:pStyle w:val="15"/>
              <w:keepNext w:val="0"/>
              <w:keepLines w:val="0"/>
              <w:pageBreakBefore w:val="0"/>
              <w:widowControl/>
              <w:kinsoku/>
              <w:wordWrap/>
              <w:overflowPunct/>
              <w:topLinePunct w:val="0"/>
              <w:autoSpaceDE/>
              <w:autoSpaceDN/>
              <w:bidi w:val="0"/>
              <w:adjustRightInd/>
              <w:snapToGrid/>
              <w:spacing w:line="480" w:lineRule="exact"/>
              <w:textAlignment w:val="auto"/>
              <w:rPr>
                <w:color w:val="FF0000"/>
                <w:sz w:val="21"/>
                <w:szCs w:val="21"/>
              </w:rPr>
            </w:pPr>
            <w:r>
              <w:rPr>
                <w:rFonts w:ascii="宋体" w:hAnsi="宋体" w:eastAsia="宋体" w:cs="宋体"/>
                <w:sz w:val="21"/>
                <w:szCs w:val="21"/>
              </w:rPr>
              <w:t>表</w:t>
            </w:r>
            <w:r>
              <w:rPr>
                <w:rFonts w:eastAsia="宋体"/>
                <w:sz w:val="21"/>
                <w:szCs w:val="21"/>
              </w:rPr>
              <w:t>4-4  施工机械不同距离噪声预测值单位：dB（A）</w:t>
            </w:r>
          </w:p>
          <w:tbl>
            <w:tblPr>
              <w:tblStyle w:val="29"/>
              <w:tblW w:w="5000" w:type="pct"/>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90"/>
              <w:gridCol w:w="871"/>
              <w:gridCol w:w="871"/>
              <w:gridCol w:w="871"/>
              <w:gridCol w:w="728"/>
              <w:gridCol w:w="920"/>
              <w:gridCol w:w="796"/>
              <w:gridCol w:w="930"/>
              <w:gridCol w:w="847"/>
            </w:tblGrid>
            <w:tr w14:paraId="7B520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94" w:type="pct"/>
                  <w:tcBorders>
                    <w:tr2bl w:val="single" w:color="auto" w:sz="4" w:space="0"/>
                  </w:tcBorders>
                  <w:vAlign w:val="center"/>
                </w:tcPr>
                <w:p w14:paraId="19DFAE08">
                  <w:pPr>
                    <w:widowControl/>
                    <w:snapToGrid w:val="0"/>
                    <w:jc w:val="left"/>
                  </w:pPr>
                  <w:r>
                    <w:t>设备</w:t>
                  </w:r>
                </w:p>
                <w:p w14:paraId="61BF487E">
                  <w:pPr>
                    <w:widowControl/>
                    <w:jc w:val="right"/>
                  </w:pPr>
                  <w:r>
                    <w:t>距离</w:t>
                  </w:r>
                </w:p>
              </w:tc>
              <w:tc>
                <w:tcPr>
                  <w:tcW w:w="523" w:type="pct"/>
                  <w:vAlign w:val="center"/>
                </w:tcPr>
                <w:p w14:paraId="18D39F3F">
                  <w:pPr>
                    <w:widowControl/>
                    <w:jc w:val="center"/>
                  </w:pPr>
                  <w:r>
                    <w:t>5m</w:t>
                  </w:r>
                </w:p>
              </w:tc>
              <w:tc>
                <w:tcPr>
                  <w:tcW w:w="523" w:type="pct"/>
                  <w:vAlign w:val="center"/>
                </w:tcPr>
                <w:p w14:paraId="5EA18D36">
                  <w:pPr>
                    <w:widowControl/>
                    <w:jc w:val="center"/>
                  </w:pPr>
                  <w:r>
                    <w:rPr>
                      <w:rFonts w:hint="eastAsia"/>
                    </w:rPr>
                    <w:t>10</w:t>
                  </w:r>
                  <w:r>
                    <w:t>m</w:t>
                  </w:r>
                </w:p>
              </w:tc>
              <w:tc>
                <w:tcPr>
                  <w:tcW w:w="523" w:type="pct"/>
                  <w:vAlign w:val="center"/>
                </w:tcPr>
                <w:p w14:paraId="3B557AB0">
                  <w:pPr>
                    <w:widowControl/>
                    <w:jc w:val="center"/>
                  </w:pPr>
                  <w:r>
                    <w:rPr>
                      <w:rFonts w:hint="eastAsia"/>
                    </w:rPr>
                    <w:t>20</w:t>
                  </w:r>
                  <w:r>
                    <w:t>m</w:t>
                  </w:r>
                </w:p>
              </w:tc>
              <w:tc>
                <w:tcPr>
                  <w:tcW w:w="437" w:type="pct"/>
                  <w:vAlign w:val="center"/>
                </w:tcPr>
                <w:p w14:paraId="7B0A3177">
                  <w:pPr>
                    <w:widowControl/>
                    <w:jc w:val="center"/>
                  </w:pPr>
                  <w:r>
                    <w:rPr>
                      <w:rFonts w:hint="eastAsia"/>
                    </w:rPr>
                    <w:t>50</w:t>
                  </w:r>
                  <w:r>
                    <w:t>m</w:t>
                  </w:r>
                </w:p>
              </w:tc>
              <w:tc>
                <w:tcPr>
                  <w:tcW w:w="552" w:type="pct"/>
                  <w:vAlign w:val="center"/>
                </w:tcPr>
                <w:p w14:paraId="6F4722FB">
                  <w:pPr>
                    <w:widowControl/>
                    <w:jc w:val="center"/>
                  </w:pPr>
                  <w:r>
                    <w:rPr>
                      <w:rFonts w:hint="eastAsia"/>
                    </w:rPr>
                    <w:t>100</w:t>
                  </w:r>
                  <w:r>
                    <w:t>m</w:t>
                  </w:r>
                </w:p>
              </w:tc>
              <w:tc>
                <w:tcPr>
                  <w:tcW w:w="478" w:type="pct"/>
                  <w:vAlign w:val="center"/>
                </w:tcPr>
                <w:p w14:paraId="6FC887BA">
                  <w:pPr>
                    <w:widowControl/>
                    <w:jc w:val="center"/>
                  </w:pPr>
                  <w:r>
                    <w:rPr>
                      <w:rFonts w:hint="eastAsia"/>
                    </w:rPr>
                    <w:t>150</w:t>
                  </w:r>
                  <w:r>
                    <w:t>m</w:t>
                  </w:r>
                </w:p>
              </w:tc>
              <w:tc>
                <w:tcPr>
                  <w:tcW w:w="558" w:type="pct"/>
                  <w:vAlign w:val="center"/>
                </w:tcPr>
                <w:p w14:paraId="73AF8AED">
                  <w:pPr>
                    <w:widowControl/>
                    <w:jc w:val="center"/>
                  </w:pPr>
                  <w:r>
                    <w:rPr>
                      <w:rFonts w:hint="eastAsia"/>
                    </w:rPr>
                    <w:t>200</w:t>
                  </w:r>
                  <w:r>
                    <w:t>m</w:t>
                  </w:r>
                </w:p>
              </w:tc>
              <w:tc>
                <w:tcPr>
                  <w:tcW w:w="508" w:type="pct"/>
                  <w:vAlign w:val="center"/>
                </w:tcPr>
                <w:p w14:paraId="19FDCDAD">
                  <w:pPr>
                    <w:widowControl/>
                    <w:jc w:val="center"/>
                  </w:pPr>
                  <w:r>
                    <w:rPr>
                      <w:rFonts w:hint="eastAsia"/>
                    </w:rPr>
                    <w:t>300</w:t>
                  </w:r>
                  <w:r>
                    <w:t>m</w:t>
                  </w:r>
                </w:p>
              </w:tc>
            </w:tr>
            <w:tr w14:paraId="4DE50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94" w:type="pct"/>
                  <w:vAlign w:val="center"/>
                </w:tcPr>
                <w:p w14:paraId="1803F16D">
                  <w:pPr>
                    <w:widowControl/>
                    <w:jc w:val="center"/>
                  </w:pPr>
                  <w:r>
                    <w:rPr>
                      <w:rFonts w:hint="eastAsia"/>
                    </w:rPr>
                    <w:t>装卸机</w:t>
                  </w:r>
                </w:p>
              </w:tc>
              <w:tc>
                <w:tcPr>
                  <w:tcW w:w="523" w:type="pct"/>
                  <w:vAlign w:val="center"/>
                </w:tcPr>
                <w:p w14:paraId="67DBC6FC">
                  <w:pPr>
                    <w:widowControl/>
                    <w:jc w:val="center"/>
                  </w:pPr>
                  <w:r>
                    <w:rPr>
                      <w:rFonts w:hint="eastAsia"/>
                    </w:rPr>
                    <w:t>90</w:t>
                  </w:r>
                </w:p>
              </w:tc>
              <w:tc>
                <w:tcPr>
                  <w:tcW w:w="523" w:type="pct"/>
                  <w:vAlign w:val="center"/>
                </w:tcPr>
                <w:p w14:paraId="12296D0C">
                  <w:pPr>
                    <w:widowControl/>
                    <w:jc w:val="center"/>
                  </w:pPr>
                  <w:r>
                    <w:rPr>
                      <w:rFonts w:hint="eastAsia"/>
                    </w:rPr>
                    <w:t>84</w:t>
                  </w:r>
                </w:p>
              </w:tc>
              <w:tc>
                <w:tcPr>
                  <w:tcW w:w="523" w:type="pct"/>
                  <w:vAlign w:val="center"/>
                </w:tcPr>
                <w:p w14:paraId="005E2656">
                  <w:pPr>
                    <w:widowControl/>
                    <w:jc w:val="center"/>
                  </w:pPr>
                  <w:r>
                    <w:rPr>
                      <w:rFonts w:hint="eastAsia"/>
                    </w:rPr>
                    <w:t>78</w:t>
                  </w:r>
                </w:p>
              </w:tc>
              <w:tc>
                <w:tcPr>
                  <w:tcW w:w="437" w:type="pct"/>
                  <w:vAlign w:val="center"/>
                </w:tcPr>
                <w:p w14:paraId="616A2E96">
                  <w:pPr>
                    <w:widowControl/>
                    <w:jc w:val="center"/>
                  </w:pPr>
                  <w:r>
                    <w:rPr>
                      <w:rFonts w:hint="eastAsia"/>
                    </w:rPr>
                    <w:t>70</w:t>
                  </w:r>
                </w:p>
              </w:tc>
              <w:tc>
                <w:tcPr>
                  <w:tcW w:w="552" w:type="pct"/>
                  <w:vAlign w:val="center"/>
                </w:tcPr>
                <w:p w14:paraId="309D3CEE">
                  <w:pPr>
                    <w:widowControl/>
                    <w:jc w:val="center"/>
                  </w:pPr>
                  <w:r>
                    <w:rPr>
                      <w:rFonts w:hint="eastAsia"/>
                    </w:rPr>
                    <w:t>64</w:t>
                  </w:r>
                </w:p>
              </w:tc>
              <w:tc>
                <w:tcPr>
                  <w:tcW w:w="478" w:type="pct"/>
                  <w:vAlign w:val="center"/>
                </w:tcPr>
                <w:p w14:paraId="5305C182">
                  <w:pPr>
                    <w:widowControl/>
                    <w:jc w:val="center"/>
                  </w:pPr>
                  <w:r>
                    <w:rPr>
                      <w:rFonts w:hint="eastAsia"/>
                    </w:rPr>
                    <w:t>60</w:t>
                  </w:r>
                </w:p>
              </w:tc>
              <w:tc>
                <w:tcPr>
                  <w:tcW w:w="558" w:type="pct"/>
                  <w:vAlign w:val="center"/>
                </w:tcPr>
                <w:p w14:paraId="7FCA2260">
                  <w:pPr>
                    <w:widowControl/>
                    <w:jc w:val="center"/>
                  </w:pPr>
                  <w:r>
                    <w:rPr>
                      <w:rFonts w:hint="eastAsia"/>
                    </w:rPr>
                    <w:t>58</w:t>
                  </w:r>
                </w:p>
              </w:tc>
              <w:tc>
                <w:tcPr>
                  <w:tcW w:w="508" w:type="pct"/>
                  <w:vAlign w:val="center"/>
                </w:tcPr>
                <w:p w14:paraId="00503C29">
                  <w:pPr>
                    <w:widowControl/>
                    <w:jc w:val="center"/>
                  </w:pPr>
                  <w:r>
                    <w:rPr>
                      <w:rFonts w:hint="eastAsia"/>
                    </w:rPr>
                    <w:t>54</w:t>
                  </w:r>
                </w:p>
              </w:tc>
            </w:tr>
            <w:tr w14:paraId="409BC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94" w:type="pct"/>
                  <w:vAlign w:val="center"/>
                </w:tcPr>
                <w:p w14:paraId="137D43D8">
                  <w:pPr>
                    <w:widowControl/>
                    <w:jc w:val="center"/>
                  </w:pPr>
                  <w:r>
                    <w:rPr>
                      <w:rFonts w:hint="eastAsia"/>
                    </w:rPr>
                    <w:t>推土机</w:t>
                  </w:r>
                </w:p>
              </w:tc>
              <w:tc>
                <w:tcPr>
                  <w:tcW w:w="523" w:type="pct"/>
                  <w:vAlign w:val="center"/>
                </w:tcPr>
                <w:p w14:paraId="176F3A27">
                  <w:pPr>
                    <w:widowControl/>
                    <w:jc w:val="center"/>
                  </w:pPr>
                  <w:r>
                    <w:rPr>
                      <w:rFonts w:hint="eastAsia"/>
                    </w:rPr>
                    <w:t>85</w:t>
                  </w:r>
                </w:p>
              </w:tc>
              <w:tc>
                <w:tcPr>
                  <w:tcW w:w="523" w:type="pct"/>
                  <w:vAlign w:val="center"/>
                </w:tcPr>
                <w:p w14:paraId="086E45AB">
                  <w:pPr>
                    <w:widowControl/>
                    <w:jc w:val="center"/>
                  </w:pPr>
                  <w:r>
                    <w:rPr>
                      <w:rFonts w:hint="eastAsia"/>
                    </w:rPr>
                    <w:t>79</w:t>
                  </w:r>
                </w:p>
              </w:tc>
              <w:tc>
                <w:tcPr>
                  <w:tcW w:w="523" w:type="pct"/>
                  <w:vAlign w:val="center"/>
                </w:tcPr>
                <w:p w14:paraId="659FD854">
                  <w:pPr>
                    <w:widowControl/>
                    <w:jc w:val="center"/>
                  </w:pPr>
                  <w:r>
                    <w:rPr>
                      <w:rFonts w:hint="eastAsia"/>
                    </w:rPr>
                    <w:t>73</w:t>
                  </w:r>
                </w:p>
              </w:tc>
              <w:tc>
                <w:tcPr>
                  <w:tcW w:w="437" w:type="pct"/>
                  <w:vAlign w:val="center"/>
                </w:tcPr>
                <w:p w14:paraId="2EE8A56B">
                  <w:pPr>
                    <w:widowControl/>
                    <w:jc w:val="center"/>
                  </w:pPr>
                  <w:r>
                    <w:rPr>
                      <w:rFonts w:hint="eastAsia"/>
                    </w:rPr>
                    <w:t>65</w:t>
                  </w:r>
                </w:p>
              </w:tc>
              <w:tc>
                <w:tcPr>
                  <w:tcW w:w="552" w:type="pct"/>
                  <w:vAlign w:val="center"/>
                </w:tcPr>
                <w:p w14:paraId="1C7C3F32">
                  <w:pPr>
                    <w:widowControl/>
                    <w:jc w:val="center"/>
                  </w:pPr>
                  <w:r>
                    <w:rPr>
                      <w:rFonts w:hint="eastAsia"/>
                    </w:rPr>
                    <w:t>59</w:t>
                  </w:r>
                </w:p>
              </w:tc>
              <w:tc>
                <w:tcPr>
                  <w:tcW w:w="478" w:type="pct"/>
                  <w:vAlign w:val="center"/>
                </w:tcPr>
                <w:p w14:paraId="349ED873">
                  <w:pPr>
                    <w:widowControl/>
                    <w:jc w:val="center"/>
                  </w:pPr>
                  <w:r>
                    <w:rPr>
                      <w:rFonts w:hint="eastAsia"/>
                    </w:rPr>
                    <w:t>55</w:t>
                  </w:r>
                </w:p>
              </w:tc>
              <w:tc>
                <w:tcPr>
                  <w:tcW w:w="558" w:type="pct"/>
                  <w:vAlign w:val="center"/>
                </w:tcPr>
                <w:p w14:paraId="747ED1AD">
                  <w:pPr>
                    <w:widowControl/>
                    <w:jc w:val="center"/>
                  </w:pPr>
                  <w:r>
                    <w:rPr>
                      <w:rFonts w:hint="eastAsia"/>
                    </w:rPr>
                    <w:t>53</w:t>
                  </w:r>
                </w:p>
              </w:tc>
              <w:tc>
                <w:tcPr>
                  <w:tcW w:w="508" w:type="pct"/>
                  <w:vAlign w:val="center"/>
                </w:tcPr>
                <w:p w14:paraId="325A4C85">
                  <w:pPr>
                    <w:widowControl/>
                    <w:jc w:val="center"/>
                  </w:pPr>
                  <w:r>
                    <w:rPr>
                      <w:rFonts w:hint="eastAsia"/>
                    </w:rPr>
                    <w:t>51</w:t>
                  </w:r>
                </w:p>
              </w:tc>
            </w:tr>
            <w:tr w14:paraId="44680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94" w:type="pct"/>
                  <w:vAlign w:val="center"/>
                </w:tcPr>
                <w:p w14:paraId="74C87760">
                  <w:pPr>
                    <w:widowControl/>
                    <w:jc w:val="center"/>
                  </w:pPr>
                  <w:r>
                    <w:rPr>
                      <w:rFonts w:hint="eastAsia"/>
                    </w:rPr>
                    <w:t>挖掘机</w:t>
                  </w:r>
                </w:p>
              </w:tc>
              <w:tc>
                <w:tcPr>
                  <w:tcW w:w="523" w:type="pct"/>
                  <w:vAlign w:val="center"/>
                </w:tcPr>
                <w:p w14:paraId="770270DE">
                  <w:pPr>
                    <w:widowControl/>
                    <w:jc w:val="center"/>
                  </w:pPr>
                  <w:r>
                    <w:rPr>
                      <w:rFonts w:hint="eastAsia"/>
                    </w:rPr>
                    <w:t>82</w:t>
                  </w:r>
                </w:p>
              </w:tc>
              <w:tc>
                <w:tcPr>
                  <w:tcW w:w="523" w:type="pct"/>
                  <w:vAlign w:val="center"/>
                </w:tcPr>
                <w:p w14:paraId="511C65C7">
                  <w:pPr>
                    <w:widowControl/>
                    <w:jc w:val="center"/>
                  </w:pPr>
                  <w:r>
                    <w:rPr>
                      <w:rFonts w:hint="eastAsia"/>
                    </w:rPr>
                    <w:t>76</w:t>
                  </w:r>
                </w:p>
              </w:tc>
              <w:tc>
                <w:tcPr>
                  <w:tcW w:w="523" w:type="pct"/>
                  <w:vAlign w:val="center"/>
                </w:tcPr>
                <w:p w14:paraId="2C756107">
                  <w:pPr>
                    <w:widowControl/>
                    <w:jc w:val="center"/>
                  </w:pPr>
                  <w:r>
                    <w:rPr>
                      <w:rFonts w:hint="eastAsia"/>
                    </w:rPr>
                    <w:t>70</w:t>
                  </w:r>
                </w:p>
              </w:tc>
              <w:tc>
                <w:tcPr>
                  <w:tcW w:w="437" w:type="pct"/>
                  <w:vAlign w:val="center"/>
                </w:tcPr>
                <w:p w14:paraId="134AB835">
                  <w:pPr>
                    <w:widowControl/>
                    <w:jc w:val="center"/>
                  </w:pPr>
                  <w:r>
                    <w:rPr>
                      <w:rFonts w:hint="eastAsia"/>
                    </w:rPr>
                    <w:t>62</w:t>
                  </w:r>
                </w:p>
              </w:tc>
              <w:tc>
                <w:tcPr>
                  <w:tcW w:w="552" w:type="pct"/>
                  <w:vAlign w:val="center"/>
                </w:tcPr>
                <w:p w14:paraId="53A3DB16">
                  <w:pPr>
                    <w:widowControl/>
                    <w:jc w:val="center"/>
                  </w:pPr>
                  <w:r>
                    <w:rPr>
                      <w:rFonts w:hint="eastAsia"/>
                    </w:rPr>
                    <w:t>56</w:t>
                  </w:r>
                </w:p>
              </w:tc>
              <w:tc>
                <w:tcPr>
                  <w:tcW w:w="478" w:type="pct"/>
                  <w:vAlign w:val="center"/>
                </w:tcPr>
                <w:p w14:paraId="3D21A767">
                  <w:pPr>
                    <w:widowControl/>
                    <w:jc w:val="center"/>
                  </w:pPr>
                  <w:r>
                    <w:rPr>
                      <w:rFonts w:hint="eastAsia"/>
                    </w:rPr>
                    <w:t>52</w:t>
                  </w:r>
                </w:p>
              </w:tc>
              <w:tc>
                <w:tcPr>
                  <w:tcW w:w="558" w:type="pct"/>
                  <w:vAlign w:val="center"/>
                </w:tcPr>
                <w:p w14:paraId="55E7FF1B">
                  <w:pPr>
                    <w:widowControl/>
                    <w:jc w:val="center"/>
                  </w:pPr>
                  <w:r>
                    <w:rPr>
                      <w:rFonts w:hint="eastAsia"/>
                    </w:rPr>
                    <w:t>50</w:t>
                  </w:r>
                </w:p>
              </w:tc>
              <w:tc>
                <w:tcPr>
                  <w:tcW w:w="508" w:type="pct"/>
                  <w:vAlign w:val="center"/>
                </w:tcPr>
                <w:p w14:paraId="72B00344">
                  <w:pPr>
                    <w:widowControl/>
                    <w:jc w:val="center"/>
                  </w:pPr>
                  <w:r>
                    <w:rPr>
                      <w:rFonts w:hint="eastAsia"/>
                    </w:rPr>
                    <w:t>46</w:t>
                  </w:r>
                </w:p>
              </w:tc>
            </w:tr>
            <w:tr w14:paraId="5893C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94" w:type="pct"/>
                  <w:vAlign w:val="center"/>
                </w:tcPr>
                <w:p w14:paraId="1674D0A4">
                  <w:pPr>
                    <w:widowControl/>
                    <w:jc w:val="center"/>
                  </w:pPr>
                  <w:r>
                    <w:rPr>
                      <w:rFonts w:hint="eastAsia"/>
                    </w:rPr>
                    <w:t>运输车辆</w:t>
                  </w:r>
                </w:p>
              </w:tc>
              <w:tc>
                <w:tcPr>
                  <w:tcW w:w="523" w:type="pct"/>
                  <w:vAlign w:val="center"/>
                </w:tcPr>
                <w:p w14:paraId="5E1AF1C4">
                  <w:pPr>
                    <w:widowControl/>
                    <w:jc w:val="center"/>
                  </w:pPr>
                  <w:r>
                    <w:rPr>
                      <w:rFonts w:hint="eastAsia"/>
                    </w:rPr>
                    <w:t>75</w:t>
                  </w:r>
                </w:p>
              </w:tc>
              <w:tc>
                <w:tcPr>
                  <w:tcW w:w="523" w:type="pct"/>
                  <w:vAlign w:val="center"/>
                </w:tcPr>
                <w:p w14:paraId="68ED108C">
                  <w:pPr>
                    <w:widowControl/>
                    <w:jc w:val="center"/>
                  </w:pPr>
                  <w:r>
                    <w:rPr>
                      <w:rFonts w:hint="eastAsia"/>
                    </w:rPr>
                    <w:t>69</w:t>
                  </w:r>
                </w:p>
              </w:tc>
              <w:tc>
                <w:tcPr>
                  <w:tcW w:w="523" w:type="pct"/>
                  <w:vAlign w:val="center"/>
                </w:tcPr>
                <w:p w14:paraId="4E9591C5">
                  <w:pPr>
                    <w:widowControl/>
                    <w:jc w:val="center"/>
                  </w:pPr>
                  <w:r>
                    <w:rPr>
                      <w:rFonts w:hint="eastAsia"/>
                    </w:rPr>
                    <w:t>63</w:t>
                  </w:r>
                </w:p>
              </w:tc>
              <w:tc>
                <w:tcPr>
                  <w:tcW w:w="437" w:type="pct"/>
                  <w:vAlign w:val="center"/>
                </w:tcPr>
                <w:p w14:paraId="53D0F405">
                  <w:pPr>
                    <w:widowControl/>
                    <w:jc w:val="center"/>
                  </w:pPr>
                  <w:r>
                    <w:rPr>
                      <w:rFonts w:hint="eastAsia"/>
                    </w:rPr>
                    <w:t>55</w:t>
                  </w:r>
                </w:p>
              </w:tc>
              <w:tc>
                <w:tcPr>
                  <w:tcW w:w="552" w:type="pct"/>
                  <w:vAlign w:val="center"/>
                </w:tcPr>
                <w:p w14:paraId="70449004">
                  <w:pPr>
                    <w:widowControl/>
                    <w:jc w:val="center"/>
                  </w:pPr>
                  <w:r>
                    <w:rPr>
                      <w:rFonts w:hint="eastAsia"/>
                    </w:rPr>
                    <w:t>49</w:t>
                  </w:r>
                </w:p>
              </w:tc>
              <w:tc>
                <w:tcPr>
                  <w:tcW w:w="478" w:type="pct"/>
                  <w:vAlign w:val="center"/>
                </w:tcPr>
                <w:p w14:paraId="26345C10">
                  <w:pPr>
                    <w:widowControl/>
                    <w:jc w:val="center"/>
                  </w:pPr>
                  <w:r>
                    <w:rPr>
                      <w:rFonts w:hint="eastAsia"/>
                    </w:rPr>
                    <w:t>45</w:t>
                  </w:r>
                </w:p>
              </w:tc>
              <w:tc>
                <w:tcPr>
                  <w:tcW w:w="558" w:type="pct"/>
                  <w:vAlign w:val="center"/>
                </w:tcPr>
                <w:p w14:paraId="5BA53565">
                  <w:pPr>
                    <w:widowControl/>
                    <w:jc w:val="center"/>
                  </w:pPr>
                  <w:r>
                    <w:rPr>
                      <w:rFonts w:hint="eastAsia"/>
                    </w:rPr>
                    <w:t>43</w:t>
                  </w:r>
                </w:p>
              </w:tc>
              <w:tc>
                <w:tcPr>
                  <w:tcW w:w="508" w:type="pct"/>
                  <w:vAlign w:val="center"/>
                </w:tcPr>
                <w:p w14:paraId="48D12A0A">
                  <w:pPr>
                    <w:widowControl/>
                    <w:jc w:val="center"/>
                  </w:pPr>
                  <w:r>
                    <w:rPr>
                      <w:rFonts w:hint="eastAsia"/>
                    </w:rPr>
                    <w:t>39</w:t>
                  </w:r>
                </w:p>
              </w:tc>
            </w:tr>
          </w:tbl>
          <w:p w14:paraId="660031E2">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color w:val="FF0000"/>
                <w:kern w:val="0"/>
                <w:sz w:val="24"/>
                <w:lang w:bidi="ar"/>
              </w:rPr>
            </w:pPr>
            <w:r>
              <w:rPr>
                <w:rFonts w:hint="eastAsia"/>
                <w:kern w:val="0"/>
                <w:sz w:val="24"/>
                <w:lang w:bidi="ar"/>
              </w:rPr>
              <w:t>根据《建筑施工噪声</w:t>
            </w:r>
            <w:r>
              <w:rPr>
                <w:rFonts w:hint="eastAsia"/>
                <w:kern w:val="0"/>
                <w:sz w:val="24"/>
                <w:lang w:val="en-US" w:eastAsia="zh-CN" w:bidi="ar"/>
              </w:rPr>
              <w:t>排放标准</w:t>
            </w:r>
            <w:r>
              <w:rPr>
                <w:rFonts w:hint="eastAsia"/>
                <w:kern w:val="0"/>
                <w:sz w:val="24"/>
                <w:lang w:bidi="ar"/>
              </w:rPr>
              <w:t>》（</w:t>
            </w:r>
            <w:r>
              <w:rPr>
                <w:kern w:val="0"/>
                <w:sz w:val="24"/>
                <w:lang w:bidi="ar"/>
              </w:rPr>
              <w:t>GB12523-20</w:t>
            </w:r>
            <w:r>
              <w:rPr>
                <w:rFonts w:hint="eastAsia"/>
                <w:kern w:val="0"/>
                <w:sz w:val="24"/>
                <w:lang w:val="en-US" w:eastAsia="zh-CN" w:bidi="ar"/>
              </w:rPr>
              <w:t>25</w:t>
            </w:r>
            <w:r>
              <w:rPr>
                <w:rFonts w:hint="eastAsia"/>
                <w:kern w:val="0"/>
                <w:sz w:val="24"/>
                <w:lang w:bidi="ar"/>
              </w:rPr>
              <w:t>），不同施工阶段作业噪声限值为：昼间</w:t>
            </w:r>
            <w:r>
              <w:rPr>
                <w:kern w:val="0"/>
                <w:sz w:val="24"/>
                <w:lang w:bidi="ar"/>
              </w:rPr>
              <w:t>70dB(A)</w:t>
            </w:r>
            <w:r>
              <w:rPr>
                <w:rFonts w:hint="eastAsia"/>
                <w:kern w:val="0"/>
                <w:sz w:val="24"/>
                <w:lang w:bidi="ar"/>
              </w:rPr>
              <w:t>，夜间</w:t>
            </w:r>
            <w:r>
              <w:rPr>
                <w:kern w:val="0"/>
                <w:sz w:val="24"/>
                <w:lang w:bidi="ar"/>
              </w:rPr>
              <w:t>55dB(A)</w:t>
            </w:r>
            <w:r>
              <w:rPr>
                <w:rFonts w:hint="eastAsia"/>
                <w:kern w:val="0"/>
                <w:sz w:val="24"/>
                <w:lang w:bidi="ar"/>
              </w:rPr>
              <w:t>。从上表预测可知，在无任何屏障的情况下，昼间距离施工机械</w:t>
            </w:r>
            <w:r>
              <w:rPr>
                <w:kern w:val="0"/>
                <w:sz w:val="24"/>
                <w:lang w:bidi="ar"/>
              </w:rPr>
              <w:t>50m</w:t>
            </w:r>
            <w:r>
              <w:rPr>
                <w:rFonts w:hint="eastAsia"/>
                <w:kern w:val="0"/>
                <w:sz w:val="24"/>
                <w:lang w:bidi="ar"/>
              </w:rPr>
              <w:t>和夜间距离施工机械</w:t>
            </w:r>
            <w:r>
              <w:rPr>
                <w:kern w:val="0"/>
                <w:sz w:val="24"/>
                <w:lang w:bidi="ar"/>
              </w:rPr>
              <w:t>300m</w:t>
            </w:r>
            <w:r>
              <w:rPr>
                <w:rFonts w:hint="eastAsia"/>
                <w:kern w:val="0"/>
                <w:sz w:val="24"/>
                <w:lang w:bidi="ar"/>
              </w:rPr>
              <w:t>处噪声才符合《建筑施工噪声</w:t>
            </w:r>
            <w:r>
              <w:rPr>
                <w:rFonts w:hint="eastAsia"/>
                <w:kern w:val="0"/>
                <w:sz w:val="24"/>
                <w:lang w:val="en-US" w:eastAsia="zh-CN" w:bidi="ar"/>
              </w:rPr>
              <w:t>排放标准</w:t>
            </w:r>
            <w:r>
              <w:rPr>
                <w:rFonts w:hint="eastAsia"/>
                <w:kern w:val="0"/>
                <w:sz w:val="24"/>
                <w:lang w:bidi="ar"/>
              </w:rPr>
              <w:t>》（</w:t>
            </w:r>
            <w:r>
              <w:rPr>
                <w:kern w:val="0"/>
                <w:sz w:val="24"/>
                <w:lang w:bidi="ar"/>
              </w:rPr>
              <w:t>GB12523-20</w:t>
            </w:r>
            <w:r>
              <w:rPr>
                <w:rFonts w:hint="eastAsia"/>
                <w:kern w:val="0"/>
                <w:sz w:val="24"/>
                <w:lang w:val="en-US" w:eastAsia="zh-CN" w:bidi="ar"/>
              </w:rPr>
              <w:t>25</w:t>
            </w:r>
            <w:r>
              <w:rPr>
                <w:rFonts w:hint="eastAsia"/>
                <w:kern w:val="0"/>
                <w:sz w:val="24"/>
                <w:lang w:bidi="ar"/>
              </w:rPr>
              <w:t>）标准要求。</w:t>
            </w:r>
          </w:p>
          <w:p w14:paraId="4DB71EC7">
            <w:pPr>
              <w:keepNext w:val="0"/>
              <w:keepLines w:val="0"/>
              <w:pageBreakBefore w:val="0"/>
              <w:widowControl/>
              <w:kinsoku/>
              <w:wordWrap/>
              <w:overflowPunct/>
              <w:topLinePunct w:val="0"/>
              <w:autoSpaceDE/>
              <w:autoSpaceDN/>
              <w:bidi w:val="0"/>
              <w:adjustRightInd/>
              <w:snapToGrid/>
              <w:spacing w:line="480" w:lineRule="exact"/>
              <w:ind w:firstLine="482" w:firstLineChars="200"/>
              <w:jc w:val="left"/>
              <w:textAlignment w:val="auto"/>
            </w:pPr>
            <w:r>
              <w:rPr>
                <w:rFonts w:hint="eastAsia"/>
                <w:b/>
                <w:bCs/>
                <w:kern w:val="0"/>
                <w:sz w:val="24"/>
                <w:lang w:bidi="ar"/>
              </w:rPr>
              <w:t>4.</w:t>
            </w:r>
            <w:r>
              <w:rPr>
                <w:b/>
                <w:bCs/>
                <w:kern w:val="0"/>
                <w:sz w:val="24"/>
                <w:lang w:bidi="ar"/>
              </w:rPr>
              <w:t>施工期固体废物环境影响分析</w:t>
            </w:r>
          </w:p>
          <w:p w14:paraId="62084240">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pPr>
            <w:r>
              <w:rPr>
                <w:rFonts w:hint="eastAsia" w:ascii="宋体" w:hAnsi="宋体" w:cs="宋体"/>
                <w:kern w:val="0"/>
                <w:sz w:val="24"/>
                <w:lang w:bidi="ar"/>
              </w:rPr>
              <w:t>施工期产生的固体废物主要是废弃土方、施工人员生活垃圾、工业场地拆除过程中产生的一般工业固体废物（建筑垃圾、废旧设备）以及危险贮存点拆除产生的危险废物。</w:t>
            </w:r>
          </w:p>
          <w:p w14:paraId="723F79EE">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pPr>
            <w:r>
              <w:rPr>
                <w:kern w:val="0"/>
                <w:sz w:val="24"/>
                <w:lang w:bidi="ar"/>
              </w:rPr>
              <w:t>（1）生活垃圾</w:t>
            </w:r>
          </w:p>
          <w:p w14:paraId="5863736C">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pPr>
            <w:r>
              <w:rPr>
                <w:kern w:val="0"/>
                <w:sz w:val="24"/>
                <w:lang w:bidi="ar"/>
              </w:rPr>
              <w:t>本项目</w:t>
            </w:r>
            <w:r>
              <w:rPr>
                <w:rFonts w:hint="eastAsia"/>
                <w:kern w:val="0"/>
                <w:sz w:val="24"/>
                <w:lang w:bidi="ar"/>
              </w:rPr>
              <w:t>施工营地</w:t>
            </w:r>
            <w:r>
              <w:rPr>
                <w:kern w:val="0"/>
                <w:sz w:val="24"/>
                <w:lang w:bidi="ar"/>
              </w:rPr>
              <w:t>施工人员</w:t>
            </w:r>
            <w:r>
              <w:rPr>
                <w:rFonts w:hint="eastAsia"/>
                <w:kern w:val="0"/>
                <w:sz w:val="24"/>
                <w:lang w:bidi="ar"/>
              </w:rPr>
              <w:t>为</w:t>
            </w:r>
            <w:r>
              <w:rPr>
                <w:kern w:val="0"/>
                <w:sz w:val="24"/>
                <w:lang w:bidi="ar"/>
              </w:rPr>
              <w:t>5人，不在项目内食宿，产生的生活垃圾主要为纸巾、果皮、塑料包装袋等，</w:t>
            </w:r>
            <w:r>
              <w:rPr>
                <w:sz w:val="24"/>
              </w:rPr>
              <w:t>按照每人每天产生垃圾0.5kg，</w:t>
            </w:r>
            <w:r>
              <w:rPr>
                <w:rFonts w:hint="eastAsia"/>
                <w:sz w:val="24"/>
              </w:rPr>
              <w:t>施工期限以</w:t>
            </w:r>
            <w:r>
              <w:rPr>
                <w:sz w:val="24"/>
              </w:rPr>
              <w:t>30天计算，生活垃圾的产生量为0.075t/a</w:t>
            </w:r>
            <w:r>
              <w:rPr>
                <w:kern w:val="0"/>
                <w:sz w:val="24"/>
                <w:lang w:bidi="ar"/>
              </w:rPr>
              <w:t>。施工人员产生的生活垃圾依托</w:t>
            </w:r>
            <w:r>
              <w:rPr>
                <w:rFonts w:hint="eastAsia"/>
                <w:kern w:val="0"/>
                <w:sz w:val="24"/>
                <w:lang w:bidi="ar"/>
              </w:rPr>
              <w:t>现有生活区设置的垃圾桶</w:t>
            </w:r>
            <w:r>
              <w:rPr>
                <w:kern w:val="0"/>
                <w:sz w:val="24"/>
                <w:lang w:bidi="ar"/>
              </w:rPr>
              <w:t>，</w:t>
            </w:r>
            <w:r>
              <w:rPr>
                <w:rFonts w:hint="eastAsia"/>
                <w:kern w:val="0"/>
                <w:sz w:val="24"/>
                <w:lang w:bidi="ar"/>
              </w:rPr>
              <w:t>经收集后</w:t>
            </w:r>
            <w:r>
              <w:rPr>
                <w:kern w:val="0"/>
                <w:sz w:val="24"/>
                <w:lang w:bidi="ar"/>
              </w:rPr>
              <w:t>统一由环卫部门清运处理。</w:t>
            </w:r>
          </w:p>
          <w:p w14:paraId="30B07CC7">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kern w:val="0"/>
                <w:sz w:val="24"/>
                <w:lang w:bidi="ar"/>
              </w:rPr>
            </w:pPr>
            <w:r>
              <w:rPr>
                <w:rFonts w:hint="eastAsia"/>
                <w:kern w:val="0"/>
                <w:sz w:val="24"/>
                <w:lang w:bidi="ar"/>
              </w:rPr>
              <w:t>（2）废弃土方</w:t>
            </w:r>
          </w:p>
          <w:p w14:paraId="581BF94B">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kern w:val="0"/>
                <w:sz w:val="24"/>
                <w:lang w:bidi="ar"/>
              </w:rPr>
            </w:pPr>
            <w:r>
              <w:rPr>
                <w:rFonts w:hint="eastAsia"/>
                <w:kern w:val="0"/>
                <w:sz w:val="24"/>
                <w:lang w:bidi="ar"/>
              </w:rPr>
              <w:t>废弃土方送至排土场进行暂存，后期用于生态修复；</w:t>
            </w:r>
          </w:p>
          <w:p w14:paraId="17364B2A">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kern w:val="0"/>
                <w:sz w:val="24"/>
                <w:lang w:bidi="ar"/>
              </w:rPr>
            </w:pPr>
            <w:r>
              <w:rPr>
                <w:kern w:val="0"/>
                <w:sz w:val="24"/>
                <w:lang w:bidi="ar"/>
              </w:rPr>
              <w:t>（</w:t>
            </w:r>
            <w:r>
              <w:rPr>
                <w:rFonts w:hint="eastAsia"/>
                <w:kern w:val="0"/>
                <w:sz w:val="24"/>
                <w:lang w:bidi="ar"/>
              </w:rPr>
              <w:t>3</w:t>
            </w:r>
            <w:r>
              <w:rPr>
                <w:kern w:val="0"/>
                <w:sz w:val="24"/>
                <w:lang w:bidi="ar"/>
              </w:rPr>
              <w:t>）</w:t>
            </w:r>
            <w:r>
              <w:rPr>
                <w:rFonts w:hint="eastAsia"/>
                <w:kern w:val="0"/>
                <w:sz w:val="24"/>
                <w:lang w:bidi="ar"/>
              </w:rPr>
              <w:t>拆除过程产生的一般工业固体废物</w:t>
            </w:r>
          </w:p>
          <w:p w14:paraId="4FCF94FF">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kern w:val="0"/>
                <w:sz w:val="24"/>
                <w:lang w:bidi="ar"/>
              </w:rPr>
            </w:pPr>
            <w:r>
              <w:rPr>
                <w:rFonts w:hint="eastAsia"/>
                <w:kern w:val="0"/>
                <w:sz w:val="24"/>
                <w:lang w:bidi="ar"/>
              </w:rPr>
              <w:t>①建筑垃圾送至市政部门指定地点进行处置；</w:t>
            </w:r>
          </w:p>
          <w:p w14:paraId="4900CFDA">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kern w:val="0"/>
                <w:sz w:val="24"/>
                <w:lang w:bidi="ar"/>
              </w:rPr>
            </w:pPr>
            <w:r>
              <w:rPr>
                <w:rFonts w:hint="eastAsia"/>
                <w:kern w:val="0"/>
                <w:sz w:val="24"/>
                <w:lang w:bidi="ar"/>
              </w:rPr>
              <w:t>②废旧设备由厂家进行回收处置。</w:t>
            </w:r>
          </w:p>
          <w:p w14:paraId="4A4259CC">
            <w:pPr>
              <w:widowControl/>
              <w:spacing w:line="480" w:lineRule="exact"/>
              <w:ind w:firstLine="480" w:firstLineChars="200"/>
              <w:jc w:val="left"/>
              <w:rPr>
                <w:kern w:val="0"/>
                <w:sz w:val="24"/>
                <w:lang w:bidi="ar"/>
              </w:rPr>
            </w:pPr>
          </w:p>
          <w:p w14:paraId="0D8E3B44">
            <w:pPr>
              <w:widowControl/>
              <w:spacing w:line="480" w:lineRule="exact"/>
              <w:ind w:firstLine="480" w:firstLineChars="200"/>
              <w:jc w:val="left"/>
              <w:rPr>
                <w:kern w:val="0"/>
                <w:sz w:val="24"/>
                <w:lang w:bidi="ar"/>
              </w:rPr>
            </w:pPr>
          </w:p>
          <w:p w14:paraId="405F8D47">
            <w:pPr>
              <w:widowControl/>
              <w:spacing w:line="480" w:lineRule="exact"/>
              <w:ind w:firstLine="480" w:firstLineChars="200"/>
              <w:jc w:val="left"/>
              <w:rPr>
                <w:kern w:val="0"/>
                <w:sz w:val="24"/>
                <w:lang w:bidi="ar"/>
              </w:rPr>
            </w:pPr>
          </w:p>
          <w:p w14:paraId="53A7B57A">
            <w:pPr>
              <w:widowControl/>
              <w:spacing w:line="480" w:lineRule="exact"/>
              <w:ind w:firstLine="480" w:firstLineChars="200"/>
              <w:jc w:val="left"/>
              <w:rPr>
                <w:kern w:val="0"/>
                <w:sz w:val="24"/>
                <w:lang w:bidi="ar"/>
              </w:rPr>
            </w:pPr>
          </w:p>
          <w:p w14:paraId="32802EA9">
            <w:pPr>
              <w:pStyle w:val="2"/>
              <w:rPr>
                <w:kern w:val="0"/>
                <w:sz w:val="24"/>
                <w:lang w:bidi="ar"/>
              </w:rPr>
            </w:pPr>
          </w:p>
          <w:p w14:paraId="0A8F3ECD">
            <w:pPr>
              <w:pStyle w:val="4"/>
              <w:rPr>
                <w:kern w:val="0"/>
                <w:sz w:val="24"/>
                <w:lang w:bidi="ar"/>
              </w:rPr>
            </w:pPr>
          </w:p>
          <w:p w14:paraId="33849994">
            <w:pPr>
              <w:pStyle w:val="7"/>
              <w:rPr>
                <w:kern w:val="0"/>
                <w:sz w:val="24"/>
                <w:lang w:bidi="ar"/>
              </w:rPr>
            </w:pPr>
          </w:p>
          <w:p w14:paraId="54C9EA32"/>
          <w:p w14:paraId="04BB5151">
            <w:pPr>
              <w:pStyle w:val="2"/>
            </w:pPr>
          </w:p>
          <w:p w14:paraId="478215BB">
            <w:pPr>
              <w:widowControl/>
              <w:spacing w:line="480" w:lineRule="exact"/>
              <w:ind w:firstLine="480" w:firstLineChars="200"/>
              <w:jc w:val="left"/>
              <w:rPr>
                <w:kern w:val="0"/>
                <w:sz w:val="24"/>
                <w:lang w:bidi="ar"/>
              </w:rPr>
            </w:pPr>
          </w:p>
        </w:tc>
      </w:tr>
      <w:tr w14:paraId="2D7C8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7" w:type="dxa"/>
            <w:vAlign w:val="center"/>
          </w:tcPr>
          <w:p w14:paraId="79A2B5C4">
            <w:pPr>
              <w:pStyle w:val="21"/>
              <w:adjustRightInd w:val="0"/>
              <w:snapToGrid w:val="0"/>
              <w:spacing w:before="0" w:beforeAutospacing="0" w:after="0" w:afterAutospacing="0"/>
              <w:jc w:val="center"/>
              <w:rPr>
                <w:rFonts w:cs="宋体"/>
                <w:bCs/>
                <w:spacing w:val="10"/>
                <w:kern w:val="2"/>
              </w:rPr>
            </w:pPr>
            <w:r>
              <w:rPr>
                <w:rFonts w:hint="eastAsia" w:cs="宋体"/>
                <w:bCs/>
                <w:spacing w:val="10"/>
                <w:kern w:val="2"/>
              </w:rPr>
              <w:t>运营期生态环境影响分析</w:t>
            </w:r>
          </w:p>
        </w:tc>
        <w:tc>
          <w:tcPr>
            <w:tcW w:w="8550" w:type="dxa"/>
          </w:tcPr>
          <w:p w14:paraId="4BE92EFC">
            <w:pPr>
              <w:keepNext w:val="0"/>
              <w:keepLines w:val="0"/>
              <w:pageBreakBefore w:val="0"/>
              <w:widowControl/>
              <w:kinsoku/>
              <w:wordWrap/>
              <w:overflowPunct/>
              <w:topLinePunct w:val="0"/>
              <w:autoSpaceDE/>
              <w:autoSpaceDN/>
              <w:bidi w:val="0"/>
              <w:adjustRightInd/>
              <w:spacing w:line="480" w:lineRule="exact"/>
              <w:ind w:firstLine="482" w:firstLineChars="200"/>
              <w:textAlignment w:val="auto"/>
              <w:rPr>
                <w:rFonts w:ascii="宋体" w:hAnsi="宋体" w:cs="宋体"/>
                <w:b/>
                <w:bCs/>
                <w:kern w:val="0"/>
                <w:sz w:val="24"/>
                <w:highlight w:val="none"/>
                <w:lang w:bidi="ar"/>
              </w:rPr>
            </w:pPr>
            <w:r>
              <w:rPr>
                <w:rFonts w:hint="eastAsia" w:ascii="宋体" w:hAnsi="宋体" w:cs="宋体"/>
                <w:b/>
                <w:bCs/>
                <w:kern w:val="0"/>
                <w:sz w:val="24"/>
                <w:highlight w:val="none"/>
                <w:lang w:bidi="ar"/>
              </w:rPr>
              <w:t>一、运营期生态环境影响分析</w:t>
            </w:r>
          </w:p>
          <w:p w14:paraId="3A15E75F">
            <w:pPr>
              <w:keepNext w:val="0"/>
              <w:keepLines w:val="0"/>
              <w:pageBreakBefore w:val="0"/>
              <w:widowControl/>
              <w:kinsoku/>
              <w:wordWrap/>
              <w:overflowPunct/>
              <w:topLinePunct w:val="0"/>
              <w:autoSpaceDE/>
              <w:autoSpaceDN/>
              <w:bidi w:val="0"/>
              <w:adjustRightInd/>
              <w:spacing w:line="480" w:lineRule="exact"/>
              <w:ind w:firstLine="480" w:firstLineChars="200"/>
              <w:textAlignment w:val="auto"/>
              <w:rPr>
                <w:rFonts w:ascii="宋体" w:hAnsi="宋体" w:cs="宋体"/>
                <w:kern w:val="0"/>
                <w:sz w:val="24"/>
                <w:highlight w:val="none"/>
                <w:lang w:bidi="ar"/>
              </w:rPr>
            </w:pPr>
            <w:r>
              <w:rPr>
                <w:rFonts w:hint="eastAsia" w:ascii="宋体" w:hAnsi="宋体" w:cs="宋体"/>
                <w:kern w:val="0"/>
                <w:sz w:val="24"/>
                <w:highlight w:val="none"/>
                <w:lang w:bidi="ar"/>
              </w:rPr>
              <w:t>项目主要生态环境影响来自矿山开采，未来矿山活动破坏，占用土地面积主要分布在</w:t>
            </w:r>
            <w:r>
              <w:rPr>
                <w:rFonts w:hint="eastAsia"/>
                <w:sz w:val="24"/>
                <w:highlight w:val="none"/>
              </w:rPr>
              <w:t>采场</w:t>
            </w:r>
            <w:r>
              <w:rPr>
                <w:rFonts w:hint="eastAsia" w:ascii="宋体" w:hAnsi="宋体" w:cs="宋体"/>
                <w:kern w:val="0"/>
                <w:sz w:val="24"/>
                <w:highlight w:val="none"/>
                <w:lang w:bidi="ar"/>
              </w:rPr>
              <w:t>、剥土等区段，破坏、占用的土地类型为</w:t>
            </w:r>
            <w:r>
              <w:rPr>
                <w:rFonts w:hint="eastAsia" w:ascii="宋体" w:hAnsi="宋体" w:cs="宋体"/>
                <w:kern w:val="0"/>
                <w:sz w:val="24"/>
                <w:highlight w:val="none"/>
                <w:lang w:val="en-US" w:eastAsia="zh-CN" w:bidi="ar"/>
              </w:rPr>
              <w:t>采矿用地</w:t>
            </w:r>
            <w:r>
              <w:rPr>
                <w:rFonts w:hint="eastAsia" w:ascii="宋体" w:hAnsi="宋体" w:cs="宋体"/>
                <w:kern w:val="0"/>
                <w:sz w:val="24"/>
                <w:highlight w:val="none"/>
                <w:lang w:bidi="ar"/>
              </w:rPr>
              <w:t>等，没有占用基本农田；</w:t>
            </w:r>
            <w:r>
              <w:rPr>
                <w:rFonts w:hint="eastAsia"/>
                <w:kern w:val="0"/>
                <w:sz w:val="24"/>
                <w:highlight w:val="none"/>
                <w:lang w:val="en-US" w:eastAsia="zh-CN" w:bidi="ar"/>
              </w:rPr>
              <w:t>由于资源整合前的开采，</w:t>
            </w:r>
            <w:r>
              <w:rPr>
                <w:rFonts w:hint="eastAsia"/>
                <w:kern w:val="0"/>
                <w:sz w:val="24"/>
                <w:highlight w:val="none"/>
                <w:lang w:bidi="ar"/>
              </w:rPr>
              <w:t>矿山所在区域植被</w:t>
            </w:r>
            <w:r>
              <w:rPr>
                <w:rFonts w:hint="eastAsia"/>
                <w:kern w:val="0"/>
                <w:sz w:val="24"/>
                <w:highlight w:val="none"/>
                <w:lang w:val="en-US" w:eastAsia="zh-CN" w:bidi="ar"/>
              </w:rPr>
              <w:t>已破坏殆尽</w:t>
            </w:r>
            <w:r>
              <w:rPr>
                <w:rFonts w:hint="eastAsia" w:ascii="宋体" w:hAnsi="宋体" w:cs="宋体"/>
                <w:kern w:val="0"/>
                <w:sz w:val="24"/>
                <w:highlight w:val="none"/>
                <w:lang w:bidi="ar"/>
              </w:rPr>
              <w:t>；野生动物较少，常见的有鼠、麻雀等。根据现场调查，矿区内无挂牌保护的名胜古迹和需特殊保护的文物单位，建设项目区域内没有国家规定保护的珍稀动植物。项目生态环境影响主要包括土地占用、陆生动物、区域生物多样性、景观环境等。</w:t>
            </w:r>
          </w:p>
          <w:p w14:paraId="7BF740ED">
            <w:pPr>
              <w:keepNext w:val="0"/>
              <w:keepLines w:val="0"/>
              <w:pageBreakBefore w:val="0"/>
              <w:widowControl/>
              <w:kinsoku/>
              <w:wordWrap/>
              <w:overflowPunct/>
              <w:topLinePunct w:val="0"/>
              <w:autoSpaceDE/>
              <w:autoSpaceDN/>
              <w:bidi w:val="0"/>
              <w:adjustRightInd/>
              <w:spacing w:line="480" w:lineRule="exact"/>
              <w:ind w:firstLine="482" w:firstLineChars="200"/>
              <w:textAlignment w:val="auto"/>
              <w:rPr>
                <w:rFonts w:ascii="宋体" w:hAnsi="宋体" w:cs="宋体"/>
                <w:b/>
                <w:bCs/>
                <w:kern w:val="0"/>
                <w:sz w:val="24"/>
                <w:highlight w:val="none"/>
                <w:lang w:bidi="ar"/>
              </w:rPr>
            </w:pPr>
            <w:r>
              <w:rPr>
                <w:rFonts w:hint="eastAsia" w:ascii="宋体" w:hAnsi="宋体" w:cs="宋体"/>
                <w:b/>
                <w:bCs/>
                <w:kern w:val="0"/>
                <w:sz w:val="24"/>
                <w:highlight w:val="none"/>
                <w:lang w:bidi="ar"/>
              </w:rPr>
              <w:t>1.土地资源占损影响</w:t>
            </w:r>
          </w:p>
          <w:p w14:paraId="2BD0138A">
            <w:pPr>
              <w:keepNext w:val="0"/>
              <w:keepLines w:val="0"/>
              <w:pageBreakBefore w:val="0"/>
              <w:widowControl/>
              <w:kinsoku/>
              <w:wordWrap/>
              <w:overflowPunct/>
              <w:topLinePunct w:val="0"/>
              <w:autoSpaceDE/>
              <w:autoSpaceDN/>
              <w:bidi w:val="0"/>
              <w:adjustRightInd/>
              <w:spacing w:line="480" w:lineRule="exact"/>
              <w:ind w:firstLine="480" w:firstLineChars="200"/>
              <w:textAlignment w:val="auto"/>
              <w:rPr>
                <w:rFonts w:ascii="宋体" w:hAnsi="宋体" w:cs="宋体"/>
                <w:kern w:val="0"/>
                <w:sz w:val="24"/>
                <w:highlight w:val="none"/>
                <w:lang w:bidi="ar"/>
              </w:rPr>
            </w:pPr>
            <w:r>
              <w:rPr>
                <w:rFonts w:hint="eastAsia" w:ascii="宋体" w:hAnsi="宋体" w:cs="宋体"/>
                <w:kern w:val="0"/>
                <w:sz w:val="24"/>
                <w:highlight w:val="none"/>
                <w:lang w:bidi="ar"/>
              </w:rPr>
              <w:t>根据“</w:t>
            </w:r>
            <w:r>
              <w:rPr>
                <w:rFonts w:hint="eastAsia"/>
                <w:sz w:val="24"/>
                <w:highlight w:val="none"/>
              </w:rPr>
              <w:t>山西省盂县石鑫矿业有限公司饰面用花岗岩矿资源开发利用和矿山环境保护与土地复垦方案</w:t>
            </w:r>
            <w:r>
              <w:rPr>
                <w:rFonts w:hint="eastAsia" w:ascii="宋体" w:hAnsi="宋体" w:cs="宋体"/>
                <w:kern w:val="0"/>
                <w:sz w:val="24"/>
                <w:highlight w:val="none"/>
                <w:lang w:bidi="ar"/>
              </w:rPr>
              <w:t>”，未来将首先开展基建工作，之后按“从上而下，采剥并举、剥离先行”的原则依次逐台阶进行剥离，开采沿工作防线由高往低推进。未来矿山土地占损方式主要为露天</w:t>
            </w:r>
            <w:r>
              <w:rPr>
                <w:rFonts w:hint="eastAsia"/>
                <w:sz w:val="24"/>
                <w:highlight w:val="none"/>
              </w:rPr>
              <w:t>采场</w:t>
            </w:r>
            <w:r>
              <w:rPr>
                <w:rFonts w:hint="eastAsia" w:ascii="宋体" w:hAnsi="宋体" w:cs="宋体"/>
                <w:kern w:val="0"/>
                <w:sz w:val="24"/>
                <w:highlight w:val="none"/>
                <w:lang w:bidi="ar"/>
              </w:rPr>
              <w:t>、排土场和新建运矿道路。其中露天</w:t>
            </w:r>
            <w:r>
              <w:rPr>
                <w:rFonts w:hint="eastAsia"/>
                <w:sz w:val="24"/>
                <w:highlight w:val="none"/>
              </w:rPr>
              <w:t>采场</w:t>
            </w:r>
            <w:r>
              <w:rPr>
                <w:rFonts w:hint="eastAsia" w:ascii="宋体" w:hAnsi="宋体" w:cs="宋体"/>
                <w:kern w:val="0"/>
                <w:sz w:val="24"/>
                <w:highlight w:val="none"/>
                <w:lang w:bidi="ar"/>
              </w:rPr>
              <w:t>随着进度计划不断增大，直至开采至最低标高水平后终止，新建运矿道路随着进度计划不断铺设。排土场为利用现有排土场，其范围基本固定。</w:t>
            </w:r>
          </w:p>
          <w:p w14:paraId="63E6B5D2">
            <w:pPr>
              <w:keepNext w:val="0"/>
              <w:keepLines w:val="0"/>
              <w:pageBreakBefore w:val="0"/>
              <w:widowControl/>
              <w:kinsoku/>
              <w:wordWrap/>
              <w:overflowPunct/>
              <w:topLinePunct w:val="0"/>
              <w:autoSpaceDE/>
              <w:autoSpaceDN/>
              <w:bidi w:val="0"/>
              <w:adjustRightInd/>
              <w:spacing w:line="480" w:lineRule="exact"/>
              <w:ind w:firstLine="480" w:firstLineChars="200"/>
              <w:textAlignment w:val="auto"/>
              <w:rPr>
                <w:rFonts w:ascii="宋体" w:hAnsi="宋体" w:cs="宋体"/>
                <w:kern w:val="0"/>
                <w:sz w:val="24"/>
                <w:highlight w:val="none"/>
                <w:lang w:bidi="ar"/>
              </w:rPr>
            </w:pPr>
            <w:r>
              <w:rPr>
                <w:rFonts w:hint="eastAsia" w:ascii="宋体" w:hAnsi="宋体" w:cs="宋体"/>
                <w:kern w:val="0"/>
                <w:sz w:val="24"/>
                <w:highlight w:val="none"/>
                <w:lang w:bidi="ar"/>
              </w:rPr>
              <w:t>采取“从上而下”的露天台阶式方法对露天采</w:t>
            </w:r>
            <w:r>
              <w:rPr>
                <w:rFonts w:hint="eastAsia" w:ascii="宋体" w:hAnsi="宋体" w:cs="宋体"/>
                <w:kern w:val="0"/>
                <w:sz w:val="24"/>
                <w:highlight w:val="none"/>
                <w:lang w:eastAsia="zh-CN" w:bidi="ar"/>
              </w:rPr>
              <w:t>场</w:t>
            </w:r>
            <w:r>
              <w:rPr>
                <w:rFonts w:hint="eastAsia" w:ascii="宋体" w:hAnsi="宋体" w:cs="宋体"/>
                <w:kern w:val="0"/>
                <w:sz w:val="24"/>
                <w:highlight w:val="none"/>
                <w:lang w:bidi="ar"/>
              </w:rPr>
              <w:t>进行开采，随着剥采进度露天采场占损面积不断扩大，至最低开采标高时为最终开采境界水平，此时露天采场面积将不再扩大。未来露天采场占损破坏地类主要为</w:t>
            </w:r>
            <w:r>
              <w:rPr>
                <w:rFonts w:hint="eastAsia" w:ascii="宋体" w:hAnsi="宋体" w:cs="宋体"/>
                <w:kern w:val="0"/>
                <w:sz w:val="24"/>
                <w:highlight w:val="none"/>
                <w:lang w:val="en-US" w:eastAsia="zh-CN" w:bidi="ar"/>
              </w:rPr>
              <w:t>采矿用地</w:t>
            </w:r>
            <w:r>
              <w:rPr>
                <w:rFonts w:hint="eastAsia" w:ascii="宋体" w:hAnsi="宋体" w:cs="宋体"/>
                <w:kern w:val="0"/>
                <w:sz w:val="24"/>
                <w:highlight w:val="none"/>
                <w:lang w:bidi="ar"/>
              </w:rPr>
              <w:t>，</w:t>
            </w:r>
            <w:r>
              <w:rPr>
                <w:rFonts w:hint="eastAsia"/>
                <w:kern w:val="0"/>
                <w:sz w:val="24"/>
                <w:highlight w:val="none"/>
                <w:lang w:val="en-US" w:eastAsia="zh-CN" w:bidi="ar"/>
              </w:rPr>
              <w:t>由于资源整合前的开采，</w:t>
            </w:r>
            <w:r>
              <w:rPr>
                <w:rFonts w:hint="eastAsia"/>
                <w:kern w:val="0"/>
                <w:sz w:val="24"/>
                <w:highlight w:val="none"/>
                <w:lang w:bidi="ar"/>
              </w:rPr>
              <w:t>矿山所在区域</w:t>
            </w:r>
            <w:r>
              <w:rPr>
                <w:rFonts w:hint="eastAsia"/>
                <w:kern w:val="0"/>
                <w:sz w:val="24"/>
                <w:highlight w:val="none"/>
                <w:lang w:val="en-US" w:eastAsia="zh-CN" w:bidi="ar"/>
              </w:rPr>
              <w:t>地表、</w:t>
            </w:r>
            <w:r>
              <w:rPr>
                <w:rFonts w:hint="eastAsia"/>
                <w:kern w:val="0"/>
                <w:sz w:val="24"/>
                <w:highlight w:val="none"/>
                <w:lang w:bidi="ar"/>
              </w:rPr>
              <w:t>植被</w:t>
            </w:r>
            <w:r>
              <w:rPr>
                <w:rFonts w:hint="eastAsia"/>
                <w:kern w:val="0"/>
                <w:sz w:val="24"/>
                <w:highlight w:val="none"/>
                <w:lang w:val="en-US" w:eastAsia="zh-CN" w:bidi="ar"/>
              </w:rPr>
              <w:t>已破坏殆尽</w:t>
            </w:r>
            <w:r>
              <w:rPr>
                <w:rFonts w:hint="eastAsia" w:ascii="宋体" w:hAnsi="宋体" w:cs="宋体"/>
                <w:kern w:val="0"/>
                <w:sz w:val="24"/>
                <w:highlight w:val="none"/>
                <w:lang w:bidi="ar"/>
              </w:rPr>
              <w:t>，土石环境</w:t>
            </w:r>
            <w:r>
              <w:rPr>
                <w:rFonts w:hint="eastAsia" w:ascii="宋体" w:hAnsi="宋体" w:cs="宋体"/>
                <w:kern w:val="0"/>
                <w:sz w:val="24"/>
                <w:highlight w:val="none"/>
                <w:lang w:val="en-US" w:eastAsia="zh-CN" w:bidi="ar"/>
              </w:rPr>
              <w:t>继续</w:t>
            </w:r>
            <w:r>
              <w:rPr>
                <w:rFonts w:hint="eastAsia" w:ascii="宋体" w:hAnsi="宋体" w:cs="宋体"/>
                <w:kern w:val="0"/>
                <w:sz w:val="24"/>
                <w:highlight w:val="none"/>
                <w:lang w:bidi="ar"/>
              </w:rPr>
              <w:t>遭到破坏，短期内难以恢复，</w:t>
            </w:r>
            <w:r>
              <w:rPr>
                <w:rFonts w:hint="eastAsia" w:ascii="宋体" w:hAnsi="宋体" w:cs="宋体"/>
                <w:kern w:val="0"/>
                <w:sz w:val="24"/>
                <w:highlight w:val="none"/>
                <w:lang w:val="en-US" w:eastAsia="zh-CN" w:bidi="ar"/>
              </w:rPr>
              <w:t>继续</w:t>
            </w:r>
            <w:r>
              <w:rPr>
                <w:rFonts w:hint="eastAsia" w:ascii="宋体" w:hAnsi="宋体" w:cs="宋体"/>
                <w:kern w:val="0"/>
                <w:sz w:val="24"/>
                <w:highlight w:val="none"/>
                <w:lang w:bidi="ar"/>
              </w:rPr>
              <w:t>损毁土地资源。</w:t>
            </w:r>
          </w:p>
          <w:p w14:paraId="138B0245">
            <w:pPr>
              <w:keepNext w:val="0"/>
              <w:keepLines w:val="0"/>
              <w:pageBreakBefore w:val="0"/>
              <w:widowControl/>
              <w:kinsoku/>
              <w:wordWrap/>
              <w:overflowPunct/>
              <w:topLinePunct w:val="0"/>
              <w:autoSpaceDE/>
              <w:autoSpaceDN/>
              <w:bidi w:val="0"/>
              <w:adjustRightInd/>
              <w:spacing w:line="480" w:lineRule="exact"/>
              <w:ind w:firstLine="482" w:firstLineChars="200"/>
              <w:textAlignment w:val="auto"/>
              <w:rPr>
                <w:rFonts w:ascii="宋体" w:hAnsi="宋体" w:cs="宋体"/>
                <w:b/>
                <w:bCs/>
                <w:kern w:val="0"/>
                <w:sz w:val="24"/>
                <w:highlight w:val="red"/>
                <w:lang w:bidi="ar"/>
              </w:rPr>
            </w:pPr>
            <w:r>
              <w:rPr>
                <w:rFonts w:hint="eastAsia"/>
                <w:b/>
                <w:bCs/>
                <w:kern w:val="0"/>
                <w:sz w:val="24"/>
                <w:highlight w:val="none"/>
                <w:lang w:bidi="ar"/>
              </w:rPr>
              <w:t>2.</w:t>
            </w:r>
            <w:r>
              <w:rPr>
                <w:rFonts w:hint="eastAsia" w:ascii="宋体" w:hAnsi="宋体" w:cs="宋体"/>
                <w:b/>
                <w:bCs/>
                <w:kern w:val="0"/>
                <w:sz w:val="24"/>
                <w:highlight w:val="none"/>
                <w:lang w:bidi="ar"/>
              </w:rPr>
              <w:t>陆生植物影响分析</w:t>
            </w:r>
          </w:p>
          <w:p w14:paraId="558F5975">
            <w:pPr>
              <w:keepNext w:val="0"/>
              <w:keepLines w:val="0"/>
              <w:pageBreakBefore w:val="0"/>
              <w:widowControl/>
              <w:kinsoku/>
              <w:wordWrap/>
              <w:overflowPunct/>
              <w:topLinePunct w:val="0"/>
              <w:autoSpaceDE/>
              <w:autoSpaceDN/>
              <w:bidi w:val="0"/>
              <w:adjustRightInd/>
              <w:spacing w:line="480" w:lineRule="exact"/>
              <w:ind w:firstLine="480" w:firstLineChars="200"/>
              <w:textAlignment w:val="auto"/>
              <w:rPr>
                <w:rFonts w:ascii="宋体" w:hAnsi="宋体" w:cs="宋体"/>
                <w:kern w:val="0"/>
                <w:sz w:val="24"/>
                <w:highlight w:val="none"/>
                <w:lang w:bidi="ar"/>
              </w:rPr>
            </w:pPr>
            <w:r>
              <w:rPr>
                <w:rFonts w:hint="eastAsia"/>
                <w:kern w:val="0"/>
                <w:sz w:val="24"/>
                <w:highlight w:val="none"/>
                <w:lang w:val="en-US" w:eastAsia="zh-CN" w:bidi="ar"/>
              </w:rPr>
              <w:t>由于资源整合前的开采，</w:t>
            </w:r>
            <w:r>
              <w:rPr>
                <w:rFonts w:hint="eastAsia"/>
                <w:kern w:val="0"/>
                <w:sz w:val="24"/>
                <w:highlight w:val="none"/>
                <w:lang w:bidi="ar"/>
              </w:rPr>
              <w:t>矿山所在区域植被</w:t>
            </w:r>
            <w:r>
              <w:rPr>
                <w:rFonts w:hint="eastAsia"/>
                <w:kern w:val="0"/>
                <w:sz w:val="24"/>
                <w:highlight w:val="none"/>
                <w:lang w:val="en-US" w:eastAsia="zh-CN" w:bidi="ar"/>
              </w:rPr>
              <w:t>已破坏殆尽</w:t>
            </w:r>
            <w:r>
              <w:rPr>
                <w:rFonts w:hint="eastAsia" w:ascii="宋体" w:hAnsi="宋体" w:cs="宋体"/>
                <w:kern w:val="0"/>
                <w:sz w:val="24"/>
                <w:highlight w:val="none"/>
                <w:lang w:bidi="ar"/>
              </w:rPr>
              <w:t>。项目区没有发现珍稀濒危保护植物及古树名木</w:t>
            </w:r>
            <w:r>
              <w:rPr>
                <w:rFonts w:hint="eastAsia" w:ascii="宋体" w:hAnsi="宋体" w:cs="宋体"/>
                <w:kern w:val="0"/>
                <w:sz w:val="24"/>
                <w:highlight w:val="none"/>
                <w:lang w:eastAsia="zh-CN" w:bidi="ar"/>
              </w:rPr>
              <w:t>。</w:t>
            </w:r>
          </w:p>
          <w:p w14:paraId="3C7BEA92">
            <w:pPr>
              <w:keepNext w:val="0"/>
              <w:keepLines w:val="0"/>
              <w:pageBreakBefore w:val="0"/>
              <w:widowControl/>
              <w:kinsoku/>
              <w:wordWrap/>
              <w:overflowPunct/>
              <w:topLinePunct w:val="0"/>
              <w:autoSpaceDE/>
              <w:autoSpaceDN/>
              <w:bidi w:val="0"/>
              <w:adjustRightInd/>
              <w:spacing w:line="480" w:lineRule="exact"/>
              <w:ind w:firstLine="480" w:firstLineChars="200"/>
              <w:textAlignment w:val="auto"/>
              <w:rPr>
                <w:rFonts w:ascii="宋体" w:hAnsi="宋体" w:cs="宋体"/>
                <w:kern w:val="0"/>
                <w:sz w:val="24"/>
                <w:highlight w:val="none"/>
                <w:lang w:bidi="ar"/>
              </w:rPr>
            </w:pPr>
            <w:r>
              <w:rPr>
                <w:rFonts w:hint="eastAsia"/>
                <w:kern w:val="0"/>
                <w:sz w:val="24"/>
                <w:highlight w:val="none"/>
                <w:lang w:val="en-US" w:eastAsia="zh-CN" w:bidi="ar"/>
              </w:rPr>
              <w:t>由于资源整合前的开采时已</w:t>
            </w:r>
            <w:r>
              <w:rPr>
                <w:rFonts w:hint="eastAsia" w:ascii="宋体" w:hAnsi="宋体" w:cs="宋体"/>
                <w:kern w:val="0"/>
                <w:sz w:val="24"/>
                <w:highlight w:val="none"/>
                <w:lang w:bidi="ar"/>
              </w:rPr>
              <w:t>剥离了地表覆盖层，直接减少了生物量，降低了植被覆盖率，破坏了原有植物的生存环境，随着开采的进行，露天采场采空区面积将进一步增大，造成水土流失和土地荒漠化，将使原有的生态状况产生改变，恶化生态环境，导致植物种类、数量减少。</w:t>
            </w:r>
          </w:p>
          <w:p w14:paraId="12184E7A">
            <w:pPr>
              <w:keepNext w:val="0"/>
              <w:keepLines w:val="0"/>
              <w:pageBreakBefore w:val="0"/>
              <w:widowControl/>
              <w:kinsoku/>
              <w:wordWrap/>
              <w:overflowPunct/>
              <w:topLinePunct w:val="0"/>
              <w:autoSpaceDE/>
              <w:autoSpaceDN/>
              <w:bidi w:val="0"/>
              <w:adjustRightInd/>
              <w:spacing w:line="480" w:lineRule="exact"/>
              <w:ind w:firstLine="482" w:firstLineChars="200"/>
              <w:textAlignment w:val="auto"/>
              <w:rPr>
                <w:rFonts w:ascii="宋体" w:hAnsi="宋体" w:cs="宋体"/>
                <w:b/>
                <w:bCs/>
                <w:kern w:val="0"/>
                <w:sz w:val="24"/>
                <w:highlight w:val="none"/>
                <w:lang w:bidi="ar"/>
              </w:rPr>
            </w:pPr>
            <w:r>
              <w:rPr>
                <w:rFonts w:hint="eastAsia"/>
                <w:b/>
                <w:bCs/>
                <w:kern w:val="0"/>
                <w:sz w:val="24"/>
                <w:highlight w:val="none"/>
                <w:lang w:bidi="ar"/>
              </w:rPr>
              <w:t>3.</w:t>
            </w:r>
            <w:r>
              <w:rPr>
                <w:rFonts w:hint="eastAsia" w:ascii="宋体" w:hAnsi="宋体" w:cs="宋体"/>
                <w:b/>
                <w:bCs/>
                <w:kern w:val="0"/>
                <w:sz w:val="24"/>
                <w:highlight w:val="none"/>
                <w:lang w:bidi="ar"/>
              </w:rPr>
              <w:t>对动物的影响分析</w:t>
            </w:r>
          </w:p>
          <w:p w14:paraId="4C7F9FFD">
            <w:pPr>
              <w:keepNext w:val="0"/>
              <w:keepLines w:val="0"/>
              <w:pageBreakBefore w:val="0"/>
              <w:widowControl/>
              <w:kinsoku/>
              <w:wordWrap/>
              <w:overflowPunct/>
              <w:topLinePunct w:val="0"/>
              <w:autoSpaceDE/>
              <w:autoSpaceDN/>
              <w:bidi w:val="0"/>
              <w:adjustRightInd/>
              <w:spacing w:line="480" w:lineRule="exact"/>
              <w:ind w:firstLine="480" w:firstLineChars="200"/>
              <w:textAlignment w:val="auto"/>
              <w:rPr>
                <w:kern w:val="0"/>
                <w:sz w:val="24"/>
                <w:highlight w:val="none"/>
                <w:lang w:bidi="ar"/>
              </w:rPr>
            </w:pPr>
            <w:r>
              <w:rPr>
                <w:rFonts w:hint="eastAsia" w:ascii="宋体" w:hAnsi="宋体" w:cs="宋体"/>
                <w:kern w:val="0"/>
                <w:sz w:val="24"/>
                <w:highlight w:val="none"/>
                <w:lang w:bidi="ar"/>
              </w:rPr>
              <w:t>运营期对野生动物的影响主要来自矿山开采、运输、采矿设备运转噪声。对动物觅食地生态环境造成破坏，采矿人员及采矿、选矿噪声的干扰等，使评价区及其周边环境发生改变，受影响的主要是适生于灌丛、草地的鼠类，将主动迁移至附近受干扰小的区域，在工程区附近区域上述兽类栖息适宜度降低，种类和数量将相应减少，而伴随人类活动的一些</w:t>
            </w:r>
            <w:r>
              <w:rPr>
                <w:rFonts w:hint="eastAsia" w:ascii="CIDFont+F2" w:hAnsi="CIDFont+F2" w:eastAsia="CIDFont+F2"/>
                <w:sz w:val="24"/>
                <w:highlight w:val="none"/>
              </w:rPr>
              <w:t>啮齿目、食虫目动物种群数量会有所增加，与之相适应，主要以鼠类为食的动物种群数量将会有所增加，综上，项目运营期会在一定程度上压缩哺乳动物的活动空间，降低种群数量与出现频率，但</w:t>
            </w:r>
            <w:r>
              <w:rPr>
                <w:rFonts w:hint="eastAsia"/>
                <w:kern w:val="0"/>
                <w:sz w:val="24"/>
                <w:highlight w:val="none"/>
                <w:lang w:bidi="ar"/>
              </w:rPr>
              <w:t>区域内无珍稀的动物和鸟类，运营期不会对当地动物和鸟类产生显著的不良影响。</w:t>
            </w:r>
          </w:p>
          <w:p w14:paraId="30B4FDE4">
            <w:pPr>
              <w:keepNext w:val="0"/>
              <w:keepLines w:val="0"/>
              <w:pageBreakBefore w:val="0"/>
              <w:widowControl/>
              <w:kinsoku/>
              <w:wordWrap/>
              <w:overflowPunct/>
              <w:topLinePunct w:val="0"/>
              <w:autoSpaceDE/>
              <w:autoSpaceDN/>
              <w:bidi w:val="0"/>
              <w:adjustRightInd/>
              <w:spacing w:line="480" w:lineRule="exact"/>
              <w:ind w:firstLine="482" w:firstLineChars="200"/>
              <w:textAlignment w:val="auto"/>
              <w:rPr>
                <w:b/>
                <w:bCs/>
                <w:kern w:val="0"/>
                <w:sz w:val="24"/>
                <w:highlight w:val="none"/>
                <w:lang w:bidi="ar"/>
              </w:rPr>
            </w:pPr>
            <w:r>
              <w:rPr>
                <w:rFonts w:hint="eastAsia"/>
                <w:b/>
                <w:bCs/>
                <w:kern w:val="0"/>
                <w:sz w:val="24"/>
                <w:highlight w:val="none"/>
                <w:lang w:bidi="ar"/>
              </w:rPr>
              <w:t>4.对水土流失的影响</w:t>
            </w:r>
          </w:p>
          <w:p w14:paraId="0A824937">
            <w:pPr>
              <w:keepNext w:val="0"/>
              <w:keepLines w:val="0"/>
              <w:pageBreakBefore w:val="0"/>
              <w:widowControl/>
              <w:kinsoku/>
              <w:wordWrap/>
              <w:overflowPunct/>
              <w:topLinePunct w:val="0"/>
              <w:autoSpaceDE/>
              <w:autoSpaceDN/>
              <w:bidi w:val="0"/>
              <w:adjustRightInd/>
              <w:spacing w:line="480" w:lineRule="exact"/>
              <w:ind w:firstLine="480" w:firstLineChars="200"/>
              <w:textAlignment w:val="auto"/>
              <w:rPr>
                <w:kern w:val="0"/>
                <w:sz w:val="24"/>
                <w:highlight w:val="none"/>
                <w:lang w:bidi="ar"/>
              </w:rPr>
            </w:pPr>
            <w:r>
              <w:rPr>
                <w:rFonts w:hint="eastAsia"/>
                <w:kern w:val="0"/>
                <w:sz w:val="24"/>
                <w:highlight w:val="none"/>
                <w:lang w:bidi="ar"/>
              </w:rPr>
              <w:t>由于矿山开采造成的土壤侵蚀影响因素改变主要包括</w:t>
            </w:r>
            <w:r>
              <w:rPr>
                <w:rFonts w:hint="eastAsia"/>
                <w:kern w:val="0"/>
                <w:sz w:val="24"/>
                <w:highlight w:val="none"/>
                <w:lang w:eastAsia="zh-CN" w:bidi="ar"/>
              </w:rPr>
              <w:t>两个</w:t>
            </w:r>
            <w:r>
              <w:rPr>
                <w:rFonts w:hint="eastAsia"/>
                <w:kern w:val="0"/>
                <w:sz w:val="24"/>
                <w:highlight w:val="none"/>
                <w:lang w:bidi="ar"/>
              </w:rPr>
              <w:t>方面：一是露天开采后植被恢复前由于土壤裸露，引起土壤侵蚀加剧；</w:t>
            </w:r>
            <w:r>
              <w:rPr>
                <w:rFonts w:hint="eastAsia"/>
                <w:kern w:val="0"/>
                <w:sz w:val="24"/>
                <w:highlight w:val="none"/>
                <w:lang w:val="en-US" w:eastAsia="zh-CN" w:bidi="ar"/>
              </w:rPr>
              <w:t>二</w:t>
            </w:r>
            <w:r>
              <w:rPr>
                <w:rFonts w:hint="eastAsia"/>
                <w:kern w:val="0"/>
                <w:sz w:val="24"/>
                <w:highlight w:val="none"/>
                <w:lang w:bidi="ar"/>
              </w:rPr>
              <w:t>是由于开采过程中排土量增多，逐渐形成了占地面积较大和高度较高的人工堆积地貌，雨季改变了汇流条件，增加了发生水力侵蚀的可能。以上</w:t>
            </w:r>
            <w:r>
              <w:rPr>
                <w:rFonts w:hint="eastAsia"/>
                <w:kern w:val="0"/>
                <w:sz w:val="24"/>
                <w:highlight w:val="none"/>
                <w:lang w:eastAsia="zh-CN" w:bidi="ar"/>
              </w:rPr>
              <w:t>两</w:t>
            </w:r>
            <w:r>
              <w:rPr>
                <w:rFonts w:hint="eastAsia"/>
                <w:kern w:val="0"/>
                <w:sz w:val="24"/>
                <w:highlight w:val="none"/>
                <w:lang w:bidi="ar"/>
              </w:rPr>
              <w:t>方面土壤侵蚀因素可以分析出运营期土壤侵蚀影响区域主要为采矿区，以风力侵蚀为主，兼有水力侵蚀，边坡以水力侵蚀为主，风力侵蚀次之。</w:t>
            </w:r>
          </w:p>
          <w:p w14:paraId="10F348AA">
            <w:pPr>
              <w:keepNext w:val="0"/>
              <w:keepLines w:val="0"/>
              <w:pageBreakBefore w:val="0"/>
              <w:widowControl/>
              <w:kinsoku/>
              <w:wordWrap/>
              <w:overflowPunct/>
              <w:topLinePunct w:val="0"/>
              <w:autoSpaceDE/>
              <w:autoSpaceDN/>
              <w:bidi w:val="0"/>
              <w:adjustRightInd/>
              <w:spacing w:line="480" w:lineRule="exact"/>
              <w:ind w:firstLine="482" w:firstLineChars="200"/>
              <w:textAlignment w:val="auto"/>
              <w:rPr>
                <w:rFonts w:ascii="宋体" w:hAnsi="宋体" w:cs="宋体"/>
                <w:b/>
                <w:bCs/>
                <w:kern w:val="0"/>
                <w:sz w:val="24"/>
                <w:highlight w:val="none"/>
                <w:lang w:bidi="ar"/>
              </w:rPr>
            </w:pPr>
            <w:r>
              <w:rPr>
                <w:rFonts w:hint="eastAsia"/>
                <w:b/>
                <w:bCs/>
                <w:kern w:val="0"/>
                <w:sz w:val="24"/>
                <w:highlight w:val="none"/>
                <w:lang w:bidi="ar"/>
              </w:rPr>
              <w:t>5.</w:t>
            </w:r>
            <w:r>
              <w:rPr>
                <w:rFonts w:hint="eastAsia" w:ascii="宋体" w:hAnsi="宋体" w:cs="宋体"/>
                <w:b/>
                <w:bCs/>
                <w:kern w:val="0"/>
                <w:sz w:val="24"/>
                <w:highlight w:val="none"/>
                <w:lang w:bidi="ar"/>
              </w:rPr>
              <w:t>对生物多样性的影响分析</w:t>
            </w:r>
          </w:p>
          <w:p w14:paraId="5CC4559A">
            <w:pPr>
              <w:keepNext w:val="0"/>
              <w:keepLines w:val="0"/>
              <w:pageBreakBefore w:val="0"/>
              <w:widowControl/>
              <w:kinsoku/>
              <w:wordWrap/>
              <w:overflowPunct/>
              <w:topLinePunct w:val="0"/>
              <w:autoSpaceDE/>
              <w:autoSpaceDN/>
              <w:bidi w:val="0"/>
              <w:adjustRightInd/>
              <w:spacing w:line="480" w:lineRule="exact"/>
              <w:ind w:firstLine="480" w:firstLineChars="200"/>
              <w:textAlignment w:val="auto"/>
              <w:rPr>
                <w:rFonts w:ascii="宋体" w:hAnsi="宋体" w:cs="宋体"/>
                <w:kern w:val="0"/>
                <w:sz w:val="24"/>
                <w:highlight w:val="none"/>
                <w:lang w:bidi="ar"/>
              </w:rPr>
            </w:pPr>
            <w:r>
              <w:rPr>
                <w:rFonts w:hint="eastAsia" w:ascii="宋体" w:hAnsi="宋体" w:cs="宋体"/>
                <w:kern w:val="0"/>
                <w:sz w:val="24"/>
                <w:highlight w:val="none"/>
                <w:lang w:bidi="ar"/>
              </w:rPr>
              <w:t>生物多样性是构成生态系统多样性的基础，也是使生态系统趋于稳定的重要因素。项目矿区范围内所占土地类型为</w:t>
            </w:r>
            <w:r>
              <w:rPr>
                <w:rFonts w:hint="eastAsia" w:ascii="宋体" w:hAnsi="宋体" w:cs="宋体"/>
                <w:kern w:val="0"/>
                <w:sz w:val="24"/>
                <w:highlight w:val="none"/>
                <w:lang w:val="en-US" w:eastAsia="zh-CN" w:bidi="ar"/>
              </w:rPr>
              <w:t>采矿用地</w:t>
            </w:r>
            <w:r>
              <w:rPr>
                <w:rFonts w:hint="eastAsia" w:ascii="宋体" w:hAnsi="宋体" w:cs="宋体"/>
                <w:kern w:val="0"/>
                <w:sz w:val="24"/>
                <w:highlight w:val="none"/>
                <w:lang w:bidi="ar"/>
              </w:rPr>
              <w:t>，</w:t>
            </w:r>
            <w:r>
              <w:rPr>
                <w:rFonts w:hint="eastAsia"/>
                <w:kern w:val="0"/>
                <w:sz w:val="24"/>
                <w:highlight w:val="none"/>
                <w:lang w:val="en-US" w:eastAsia="zh-CN" w:bidi="ar"/>
              </w:rPr>
              <w:t>由于资源整合前的开采，</w:t>
            </w:r>
            <w:r>
              <w:rPr>
                <w:rFonts w:hint="eastAsia"/>
                <w:kern w:val="0"/>
                <w:sz w:val="24"/>
                <w:highlight w:val="none"/>
                <w:lang w:bidi="ar"/>
              </w:rPr>
              <w:t>矿山所在区域植被</w:t>
            </w:r>
            <w:r>
              <w:rPr>
                <w:rFonts w:hint="eastAsia"/>
                <w:kern w:val="0"/>
                <w:sz w:val="24"/>
                <w:highlight w:val="none"/>
                <w:lang w:val="en-US" w:eastAsia="zh-CN" w:bidi="ar"/>
              </w:rPr>
              <w:t>已破坏殆尽</w:t>
            </w:r>
            <w:r>
              <w:rPr>
                <w:rFonts w:hint="eastAsia" w:ascii="宋体" w:hAnsi="宋体" w:cs="宋体"/>
                <w:kern w:val="0"/>
                <w:sz w:val="24"/>
                <w:highlight w:val="none"/>
                <w:lang w:eastAsia="zh-CN" w:bidi="ar"/>
              </w:rPr>
              <w:t>。</w:t>
            </w:r>
            <w:r>
              <w:rPr>
                <w:rFonts w:hint="eastAsia" w:ascii="宋体" w:hAnsi="宋体" w:cs="宋体"/>
                <w:kern w:val="0"/>
                <w:sz w:val="24"/>
                <w:highlight w:val="none"/>
                <w:lang w:bidi="ar"/>
              </w:rPr>
              <w:t>区域野生动物数量较少，无国家重点保护野生动物，仅有鼠、鸟类等常见野生动物，项目矿山开采影响范围有限，不会造成</w:t>
            </w:r>
            <w:r>
              <w:rPr>
                <w:rFonts w:hint="eastAsia" w:ascii="宋体" w:hAnsi="宋体" w:cs="宋体"/>
                <w:kern w:val="0"/>
                <w:sz w:val="24"/>
                <w:highlight w:val="none"/>
                <w:lang w:val="en-US" w:eastAsia="zh-CN" w:bidi="ar"/>
              </w:rPr>
              <w:t>评价</w:t>
            </w:r>
            <w:r>
              <w:rPr>
                <w:rFonts w:hint="eastAsia" w:ascii="宋体" w:hAnsi="宋体" w:cs="宋体"/>
                <w:kern w:val="0"/>
                <w:sz w:val="24"/>
                <w:highlight w:val="none"/>
                <w:lang w:bidi="ar"/>
              </w:rPr>
              <w:t>区域动植物生境发生重大变化，对</w:t>
            </w:r>
            <w:r>
              <w:rPr>
                <w:rFonts w:hint="eastAsia" w:ascii="宋体" w:hAnsi="宋体" w:cs="宋体"/>
                <w:kern w:val="0"/>
                <w:sz w:val="24"/>
                <w:highlight w:val="none"/>
                <w:lang w:val="en-US" w:eastAsia="zh-CN" w:bidi="ar"/>
              </w:rPr>
              <w:t>评价</w:t>
            </w:r>
            <w:r>
              <w:rPr>
                <w:rFonts w:hint="eastAsia" w:ascii="宋体" w:hAnsi="宋体" w:cs="宋体"/>
                <w:kern w:val="0"/>
                <w:sz w:val="24"/>
                <w:highlight w:val="none"/>
                <w:lang w:bidi="ar"/>
              </w:rPr>
              <w:t>区域动植物物种组成及结构影响较小，因此，对</w:t>
            </w:r>
            <w:r>
              <w:rPr>
                <w:rFonts w:hint="eastAsia" w:ascii="宋体" w:hAnsi="宋体" w:cs="宋体"/>
                <w:kern w:val="0"/>
                <w:sz w:val="24"/>
                <w:highlight w:val="none"/>
                <w:lang w:val="en-US" w:eastAsia="zh-CN" w:bidi="ar"/>
              </w:rPr>
              <w:t>评价</w:t>
            </w:r>
            <w:r>
              <w:rPr>
                <w:rFonts w:hint="eastAsia" w:ascii="宋体" w:hAnsi="宋体" w:cs="宋体"/>
                <w:kern w:val="0"/>
                <w:sz w:val="24"/>
                <w:highlight w:val="none"/>
                <w:lang w:bidi="ar"/>
              </w:rPr>
              <w:t>区域生物多样性影响较小。</w:t>
            </w:r>
          </w:p>
          <w:p w14:paraId="12FD434F">
            <w:pPr>
              <w:keepNext w:val="0"/>
              <w:keepLines w:val="0"/>
              <w:pageBreakBefore w:val="0"/>
              <w:widowControl/>
              <w:kinsoku/>
              <w:wordWrap/>
              <w:overflowPunct/>
              <w:topLinePunct w:val="0"/>
              <w:autoSpaceDE/>
              <w:autoSpaceDN/>
              <w:bidi w:val="0"/>
              <w:adjustRightInd/>
              <w:spacing w:line="480" w:lineRule="exact"/>
              <w:ind w:firstLine="482" w:firstLineChars="200"/>
              <w:textAlignment w:val="auto"/>
              <w:rPr>
                <w:rFonts w:ascii="宋体" w:hAnsi="宋体" w:cs="宋体"/>
                <w:b/>
                <w:bCs/>
                <w:kern w:val="0"/>
                <w:sz w:val="24"/>
                <w:highlight w:val="none"/>
                <w:lang w:bidi="ar"/>
              </w:rPr>
            </w:pPr>
            <w:r>
              <w:rPr>
                <w:rFonts w:hint="eastAsia"/>
                <w:b/>
                <w:bCs/>
                <w:kern w:val="0"/>
                <w:sz w:val="24"/>
                <w:highlight w:val="none"/>
                <w:lang w:bidi="ar"/>
              </w:rPr>
              <w:t>6.</w:t>
            </w:r>
            <w:r>
              <w:rPr>
                <w:rFonts w:hint="eastAsia" w:ascii="宋体" w:hAnsi="宋体" w:cs="宋体"/>
                <w:b/>
                <w:bCs/>
                <w:kern w:val="0"/>
                <w:sz w:val="24"/>
                <w:highlight w:val="none"/>
                <w:lang w:bidi="ar"/>
              </w:rPr>
              <w:t>对地形地貌景观环境的影响</w:t>
            </w:r>
          </w:p>
          <w:p w14:paraId="069A236C">
            <w:pPr>
              <w:keepNext w:val="0"/>
              <w:keepLines w:val="0"/>
              <w:pageBreakBefore w:val="0"/>
              <w:widowControl/>
              <w:kinsoku/>
              <w:wordWrap/>
              <w:overflowPunct/>
              <w:topLinePunct w:val="0"/>
              <w:autoSpaceDE/>
              <w:autoSpaceDN/>
              <w:bidi w:val="0"/>
              <w:adjustRightInd/>
              <w:spacing w:line="480" w:lineRule="exact"/>
              <w:ind w:firstLine="480" w:firstLineChars="200"/>
              <w:textAlignment w:val="auto"/>
              <w:rPr>
                <w:rFonts w:ascii="宋体" w:hAnsi="宋体" w:cs="宋体"/>
                <w:kern w:val="0"/>
                <w:sz w:val="24"/>
                <w:highlight w:val="none"/>
                <w:lang w:bidi="ar"/>
              </w:rPr>
            </w:pPr>
            <w:r>
              <w:rPr>
                <w:rFonts w:hint="eastAsia" w:ascii="宋体" w:hAnsi="宋体" w:cs="宋体"/>
                <w:kern w:val="0"/>
                <w:sz w:val="24"/>
                <w:highlight w:val="none"/>
                <w:lang w:bidi="ar"/>
              </w:rPr>
              <w:t>矿区远离居民点，开采影响范围内无居民居住。从矿区的地形地貌分析，矿山露天采场及主要开采设施及地面建筑位于三面山体环绕的山沟及山坡地段，所处区域受周围丘陵的阻隔，矿山建筑、排土场等均不在以上交通线路及居民集中区的可视范围内。</w:t>
            </w:r>
          </w:p>
          <w:p w14:paraId="2785FA5F">
            <w:pPr>
              <w:keepNext w:val="0"/>
              <w:keepLines w:val="0"/>
              <w:pageBreakBefore w:val="0"/>
              <w:widowControl/>
              <w:kinsoku/>
              <w:wordWrap/>
              <w:overflowPunct/>
              <w:topLinePunct w:val="0"/>
              <w:autoSpaceDE/>
              <w:autoSpaceDN/>
              <w:bidi w:val="0"/>
              <w:adjustRightInd/>
              <w:spacing w:line="480" w:lineRule="exact"/>
              <w:ind w:firstLine="480" w:firstLineChars="200"/>
              <w:textAlignment w:val="auto"/>
              <w:rPr>
                <w:rFonts w:ascii="宋体" w:hAnsi="宋体" w:cs="宋体"/>
                <w:kern w:val="0"/>
                <w:sz w:val="24"/>
                <w:highlight w:val="none"/>
                <w:lang w:bidi="ar"/>
              </w:rPr>
            </w:pPr>
            <w:r>
              <w:rPr>
                <w:rFonts w:hint="eastAsia" w:ascii="宋体" w:hAnsi="宋体" w:cs="宋体"/>
                <w:kern w:val="0"/>
                <w:sz w:val="24"/>
                <w:highlight w:val="none"/>
                <w:lang w:bidi="ar"/>
              </w:rPr>
              <w:t>矿山拟利用的区域均已基本成型，露天采场、排土场，致使岩石裸露、植被破坏，造成地面波澜起伏，破坏了当地自然景观，并造成了视觉污染。因此，露天采场、排土场对地形地貌造成破坏。</w:t>
            </w:r>
          </w:p>
          <w:p w14:paraId="25930758">
            <w:pPr>
              <w:keepNext w:val="0"/>
              <w:keepLines w:val="0"/>
              <w:pageBreakBefore w:val="0"/>
              <w:widowControl/>
              <w:kinsoku/>
              <w:wordWrap/>
              <w:overflowPunct/>
              <w:topLinePunct w:val="0"/>
              <w:autoSpaceDE/>
              <w:autoSpaceDN/>
              <w:bidi w:val="0"/>
              <w:adjustRightInd/>
              <w:spacing w:line="480" w:lineRule="exact"/>
              <w:ind w:firstLine="480" w:firstLineChars="200"/>
              <w:textAlignment w:val="auto"/>
              <w:rPr>
                <w:rFonts w:ascii="宋体" w:hAnsi="宋体" w:cs="宋体"/>
                <w:kern w:val="0"/>
                <w:sz w:val="24"/>
                <w:highlight w:val="none"/>
                <w:lang w:bidi="ar"/>
              </w:rPr>
            </w:pPr>
            <w:r>
              <w:rPr>
                <w:rFonts w:hint="eastAsia" w:ascii="宋体" w:hAnsi="宋体" w:cs="宋体"/>
                <w:kern w:val="0"/>
                <w:sz w:val="24"/>
                <w:highlight w:val="none"/>
                <w:lang w:bidi="ar"/>
              </w:rPr>
              <w:t>据实地调查，矿区生产区及地面建设范围内矿区原有的地形地貌景观被取代，对原有地形地貌景观进行了分离，对原有的地形地貌景观产生一定影响。</w:t>
            </w:r>
          </w:p>
          <w:p w14:paraId="73E43985">
            <w:pPr>
              <w:pStyle w:val="5"/>
              <w:keepNext w:val="0"/>
              <w:keepLines w:val="0"/>
              <w:pageBreakBefore w:val="0"/>
              <w:kinsoku/>
              <w:wordWrap/>
              <w:overflowPunct/>
              <w:topLinePunct w:val="0"/>
              <w:autoSpaceDE/>
              <w:autoSpaceDN/>
              <w:bidi w:val="0"/>
              <w:adjustRightInd/>
              <w:spacing w:before="0" w:after="0" w:line="480" w:lineRule="exact"/>
              <w:ind w:right="0" w:firstLine="482" w:firstLineChars="200"/>
              <w:textAlignment w:val="auto"/>
              <w:rPr>
                <w:b/>
                <w:bCs/>
              </w:rPr>
            </w:pPr>
            <w:r>
              <w:rPr>
                <w:b/>
                <w:bCs/>
                <w:sz w:val="24"/>
                <w:lang w:bidi="ar"/>
              </w:rPr>
              <w:t>二、运营期污染影响分析</w:t>
            </w:r>
          </w:p>
          <w:p w14:paraId="704BE30D">
            <w:pPr>
              <w:keepNext w:val="0"/>
              <w:keepLines w:val="0"/>
              <w:pageBreakBefore w:val="0"/>
              <w:widowControl/>
              <w:kinsoku/>
              <w:wordWrap/>
              <w:overflowPunct/>
              <w:topLinePunct w:val="0"/>
              <w:autoSpaceDE/>
              <w:autoSpaceDN/>
              <w:bidi w:val="0"/>
              <w:adjustRightInd/>
              <w:spacing w:line="480" w:lineRule="exact"/>
              <w:ind w:firstLine="482" w:firstLineChars="200"/>
              <w:textAlignment w:val="auto"/>
              <w:rPr>
                <w:b/>
                <w:bCs/>
                <w:kern w:val="0"/>
                <w:sz w:val="24"/>
                <w:lang w:bidi="ar"/>
              </w:rPr>
            </w:pPr>
            <w:r>
              <w:rPr>
                <w:rFonts w:hint="eastAsia"/>
                <w:b/>
                <w:bCs/>
                <w:kern w:val="0"/>
                <w:sz w:val="24"/>
                <w:lang w:bidi="ar"/>
              </w:rPr>
              <w:t>1.</w:t>
            </w:r>
            <w:r>
              <w:rPr>
                <w:b/>
                <w:bCs/>
                <w:kern w:val="0"/>
                <w:sz w:val="24"/>
                <w:lang w:bidi="ar"/>
              </w:rPr>
              <w:t>运营期大气环境影响分析</w:t>
            </w:r>
          </w:p>
          <w:p w14:paraId="58C21D6F">
            <w:pPr>
              <w:keepNext w:val="0"/>
              <w:keepLines w:val="0"/>
              <w:pageBreakBefore w:val="0"/>
              <w:widowControl/>
              <w:kinsoku/>
              <w:wordWrap/>
              <w:overflowPunct/>
              <w:topLinePunct w:val="0"/>
              <w:autoSpaceDE/>
              <w:autoSpaceDN/>
              <w:bidi w:val="0"/>
              <w:adjustRightInd/>
              <w:spacing w:line="480" w:lineRule="exact"/>
              <w:ind w:firstLine="480" w:firstLineChars="200"/>
              <w:textAlignment w:val="auto"/>
              <w:rPr>
                <w:kern w:val="0"/>
                <w:sz w:val="24"/>
                <w:lang w:bidi="ar"/>
              </w:rPr>
            </w:pPr>
            <w:r>
              <w:rPr>
                <w:rFonts w:hint="eastAsia"/>
                <w:kern w:val="0"/>
                <w:sz w:val="24"/>
                <w:lang w:bidi="ar"/>
              </w:rPr>
              <w:t>（1）</w:t>
            </w:r>
            <w:r>
              <w:rPr>
                <w:kern w:val="0"/>
                <w:sz w:val="24"/>
                <w:lang w:bidi="ar"/>
              </w:rPr>
              <w:t>产排污环节</w:t>
            </w:r>
          </w:p>
          <w:p w14:paraId="38EE3A96">
            <w:pPr>
              <w:keepNext w:val="0"/>
              <w:keepLines w:val="0"/>
              <w:pageBreakBefore w:val="0"/>
              <w:widowControl/>
              <w:kinsoku/>
              <w:wordWrap/>
              <w:overflowPunct/>
              <w:topLinePunct w:val="0"/>
              <w:autoSpaceDE/>
              <w:autoSpaceDN/>
              <w:bidi w:val="0"/>
              <w:adjustRightInd/>
              <w:spacing w:line="480" w:lineRule="exact"/>
              <w:ind w:firstLine="480" w:firstLineChars="200"/>
              <w:textAlignment w:val="auto"/>
              <w:rPr>
                <w:kern w:val="0"/>
                <w:sz w:val="24"/>
                <w:lang w:bidi="ar"/>
              </w:rPr>
            </w:pPr>
            <w:r>
              <w:rPr>
                <w:kern w:val="0"/>
                <w:sz w:val="24"/>
                <w:lang w:bidi="ar"/>
              </w:rPr>
              <w:t>本项目大气污染源产生及排放情况详见表</w:t>
            </w:r>
            <w:r>
              <w:rPr>
                <w:rFonts w:hint="eastAsia"/>
                <w:kern w:val="0"/>
                <w:sz w:val="24"/>
                <w:lang w:bidi="ar"/>
              </w:rPr>
              <w:t>4-</w:t>
            </w:r>
            <w:r>
              <w:rPr>
                <w:kern w:val="0"/>
                <w:sz w:val="24"/>
                <w:lang w:bidi="ar"/>
              </w:rPr>
              <w:t>5。</w:t>
            </w:r>
          </w:p>
          <w:p w14:paraId="2B9DA879">
            <w:pPr>
              <w:pStyle w:val="13"/>
              <w:keepNext w:val="0"/>
              <w:keepLines w:val="0"/>
              <w:pageBreakBefore w:val="0"/>
              <w:kinsoku/>
              <w:wordWrap/>
              <w:overflowPunct/>
              <w:topLinePunct w:val="0"/>
              <w:autoSpaceDE/>
              <w:autoSpaceDN/>
              <w:bidi w:val="0"/>
              <w:adjustRightInd/>
              <w:spacing w:line="480" w:lineRule="exact"/>
              <w:ind w:left="0" w:right="0" w:rightChars="0" w:firstLine="420" w:firstLineChars="200"/>
              <w:jc w:val="center"/>
              <w:textAlignment w:val="auto"/>
              <w:rPr>
                <w:bCs w:val="0"/>
                <w:sz w:val="21"/>
                <w:szCs w:val="21"/>
              </w:rPr>
            </w:pPr>
            <w:r>
              <w:rPr>
                <w:rFonts w:hint="eastAsia"/>
                <w:bCs w:val="0"/>
                <w:sz w:val="21"/>
                <w:szCs w:val="21"/>
              </w:rPr>
              <w:t>表4-</w:t>
            </w:r>
            <w:r>
              <w:rPr>
                <w:bCs w:val="0"/>
                <w:sz w:val="21"/>
                <w:szCs w:val="21"/>
              </w:rPr>
              <w:t>5</w:t>
            </w:r>
            <w:r>
              <w:rPr>
                <w:rFonts w:hint="eastAsia"/>
                <w:bCs w:val="0"/>
                <w:sz w:val="21"/>
                <w:szCs w:val="21"/>
              </w:rPr>
              <w:t>大气污染源产生与排放一览表</w:t>
            </w:r>
          </w:p>
          <w:tbl>
            <w:tblPr>
              <w:tblStyle w:val="29"/>
              <w:tblW w:w="0" w:type="auto"/>
              <w:tblInd w:w="0" w:type="dxa"/>
              <w:tblLayout w:type="autofit"/>
              <w:tblCellMar>
                <w:top w:w="0" w:type="dxa"/>
                <w:left w:w="108" w:type="dxa"/>
                <w:bottom w:w="0" w:type="dxa"/>
                <w:right w:w="108" w:type="dxa"/>
              </w:tblCellMar>
            </w:tblPr>
            <w:tblGrid>
              <w:gridCol w:w="483"/>
              <w:gridCol w:w="1651"/>
              <w:gridCol w:w="1124"/>
              <w:gridCol w:w="1225"/>
              <w:gridCol w:w="1429"/>
              <w:gridCol w:w="1361"/>
              <w:gridCol w:w="1056"/>
            </w:tblGrid>
            <w:tr w14:paraId="73ECC3FE">
              <w:tblPrEx>
                <w:tblCellMar>
                  <w:top w:w="0" w:type="dxa"/>
                  <w:left w:w="108" w:type="dxa"/>
                  <w:bottom w:w="0" w:type="dxa"/>
                  <w:right w:w="108" w:type="dxa"/>
                </w:tblCellMar>
              </w:tblPrEx>
              <w:trPr>
                <w:trHeight w:val="408" w:hRule="atLeast"/>
              </w:trPr>
              <w:tc>
                <w:tcPr>
                  <w:tcW w:w="0" w:type="auto"/>
                  <w:gridSpan w:val="2"/>
                  <w:tcBorders>
                    <w:top w:val="single" w:color="000000" w:sz="4" w:space="0"/>
                    <w:left w:val="single" w:color="000000" w:sz="4" w:space="0"/>
                    <w:bottom w:val="single" w:color="000000" w:sz="4" w:space="0"/>
                    <w:right w:val="single" w:color="000000" w:sz="4" w:space="0"/>
                  </w:tcBorders>
                  <w:noWrap/>
                  <w:vAlign w:val="center"/>
                </w:tcPr>
                <w:p w14:paraId="3B3CF833">
                  <w:pPr>
                    <w:widowControl/>
                    <w:adjustRightInd w:val="0"/>
                    <w:snapToGrid w:val="0"/>
                    <w:jc w:val="center"/>
                    <w:textAlignment w:val="center"/>
                    <w:rPr>
                      <w:szCs w:val="21"/>
                    </w:rPr>
                  </w:pPr>
                  <w:r>
                    <w:rPr>
                      <w:kern w:val="0"/>
                      <w:szCs w:val="21"/>
                      <w:lang w:bidi="ar"/>
                    </w:rPr>
                    <w:t>污染源名称</w:t>
                  </w:r>
                </w:p>
              </w:tc>
              <w:tc>
                <w:tcPr>
                  <w:tcW w:w="0" w:type="auto"/>
                  <w:tcBorders>
                    <w:top w:val="single" w:color="000000" w:sz="4" w:space="0"/>
                    <w:left w:val="single" w:color="000000" w:sz="4" w:space="0"/>
                    <w:bottom w:val="single" w:color="000000" w:sz="4" w:space="0"/>
                    <w:right w:val="single" w:color="000000" w:sz="4" w:space="0"/>
                  </w:tcBorders>
                  <w:vAlign w:val="center"/>
                </w:tcPr>
                <w:p w14:paraId="79D605B6">
                  <w:pPr>
                    <w:jc w:val="center"/>
                    <w:rPr>
                      <w:rFonts w:hint="eastAsia"/>
                    </w:rPr>
                  </w:pPr>
                  <w:r>
                    <w:rPr>
                      <w:rFonts w:hint="eastAsia"/>
                    </w:rPr>
                    <w:t>采剥粉尘</w:t>
                  </w:r>
                </w:p>
              </w:tc>
              <w:tc>
                <w:tcPr>
                  <w:tcW w:w="0" w:type="auto"/>
                  <w:tcBorders>
                    <w:top w:val="single" w:color="000000" w:sz="4" w:space="0"/>
                    <w:left w:val="single" w:color="000000" w:sz="4" w:space="0"/>
                    <w:bottom w:val="single" w:color="000000" w:sz="4" w:space="0"/>
                    <w:right w:val="single" w:color="000000" w:sz="4" w:space="0"/>
                  </w:tcBorders>
                  <w:vAlign w:val="center"/>
                </w:tcPr>
                <w:p w14:paraId="2AE6354A">
                  <w:pPr>
                    <w:jc w:val="center"/>
                    <w:rPr>
                      <w:rFonts w:hint="eastAsia"/>
                    </w:rPr>
                  </w:pPr>
                  <w:r>
                    <w:rPr>
                      <w:rFonts w:hint="eastAsia"/>
                    </w:rPr>
                    <w:t>采装粉尘</w:t>
                  </w:r>
                </w:p>
              </w:tc>
              <w:tc>
                <w:tcPr>
                  <w:tcW w:w="0" w:type="auto"/>
                  <w:tcBorders>
                    <w:top w:val="single" w:color="000000" w:sz="4" w:space="0"/>
                    <w:left w:val="single" w:color="000000" w:sz="4" w:space="0"/>
                    <w:bottom w:val="single" w:color="000000" w:sz="4" w:space="0"/>
                    <w:right w:val="single" w:color="000000" w:sz="4" w:space="0"/>
                  </w:tcBorders>
                  <w:vAlign w:val="center"/>
                </w:tcPr>
                <w:p w14:paraId="0CC44B76">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eastAsia"/>
                    </w:rPr>
                  </w:pPr>
                  <w:r>
                    <w:rPr>
                      <w:rFonts w:hint="eastAsia"/>
                    </w:rPr>
                    <w:t>道路运输扬尘</w:t>
                  </w:r>
                </w:p>
              </w:tc>
              <w:tc>
                <w:tcPr>
                  <w:tcW w:w="0" w:type="auto"/>
                  <w:tcBorders>
                    <w:top w:val="single" w:color="000000" w:sz="4" w:space="0"/>
                    <w:left w:val="single" w:color="000000" w:sz="4" w:space="0"/>
                    <w:bottom w:val="single" w:color="000000" w:sz="4" w:space="0"/>
                    <w:right w:val="single" w:color="000000" w:sz="4" w:space="0"/>
                  </w:tcBorders>
                  <w:vAlign w:val="center"/>
                </w:tcPr>
                <w:p w14:paraId="7DC4E59D">
                  <w:pPr>
                    <w:jc w:val="center"/>
                    <w:rPr>
                      <w:rFonts w:hint="eastAsia"/>
                    </w:rPr>
                  </w:pPr>
                  <w:r>
                    <w:rPr>
                      <w:rFonts w:hint="eastAsia"/>
                    </w:rPr>
                    <w:t>排土场</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68740D3">
                  <w:pPr>
                    <w:jc w:val="center"/>
                    <w:rPr>
                      <w:rFonts w:hint="eastAsia"/>
                    </w:rPr>
                  </w:pPr>
                  <w:r>
                    <w:rPr>
                      <w:rFonts w:hint="eastAsia"/>
                    </w:rPr>
                    <w:t>切割粉尘</w:t>
                  </w:r>
                </w:p>
              </w:tc>
            </w:tr>
            <w:tr w14:paraId="401AB4CA">
              <w:tblPrEx>
                <w:tblCellMar>
                  <w:top w:w="0" w:type="dxa"/>
                  <w:left w:w="108" w:type="dxa"/>
                  <w:bottom w:w="0" w:type="dxa"/>
                  <w:right w:w="108" w:type="dxa"/>
                </w:tblCellMar>
              </w:tblPrEx>
              <w:trPr>
                <w:trHeight w:val="408" w:hRule="atLeast"/>
              </w:trPr>
              <w:tc>
                <w:tcPr>
                  <w:tcW w:w="0" w:type="auto"/>
                  <w:gridSpan w:val="2"/>
                  <w:tcBorders>
                    <w:top w:val="single" w:color="000000" w:sz="4" w:space="0"/>
                    <w:left w:val="single" w:color="000000" w:sz="4" w:space="0"/>
                    <w:bottom w:val="single" w:color="000000" w:sz="4" w:space="0"/>
                    <w:right w:val="single" w:color="000000" w:sz="4" w:space="0"/>
                  </w:tcBorders>
                  <w:noWrap/>
                  <w:vAlign w:val="center"/>
                </w:tcPr>
                <w:p w14:paraId="77D6E527">
                  <w:pPr>
                    <w:widowControl/>
                    <w:adjustRightInd w:val="0"/>
                    <w:snapToGrid w:val="0"/>
                    <w:jc w:val="center"/>
                    <w:textAlignment w:val="center"/>
                    <w:rPr>
                      <w:szCs w:val="21"/>
                    </w:rPr>
                  </w:pPr>
                  <w:r>
                    <w:rPr>
                      <w:kern w:val="0"/>
                      <w:szCs w:val="21"/>
                      <w:lang w:bidi="ar"/>
                    </w:rPr>
                    <w:t>污染物种类</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4F866EA">
                  <w:pPr>
                    <w:jc w:val="center"/>
                    <w:rPr>
                      <w:rFonts w:hint="eastAsia"/>
                    </w:rPr>
                  </w:pPr>
                  <w:r>
                    <w:rPr>
                      <w:rFonts w:hint="eastAsia"/>
                    </w:rPr>
                    <w:t>颗粒物</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BD1D5A5">
                  <w:pPr>
                    <w:jc w:val="center"/>
                    <w:rPr>
                      <w:rFonts w:hint="eastAsia"/>
                    </w:rPr>
                  </w:pPr>
                  <w:r>
                    <w:rPr>
                      <w:rFonts w:hint="eastAsia"/>
                    </w:rPr>
                    <w:t>颗粒物</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5416F3B">
                  <w:pPr>
                    <w:jc w:val="center"/>
                    <w:rPr>
                      <w:rFonts w:hint="eastAsia"/>
                    </w:rPr>
                  </w:pPr>
                  <w:r>
                    <w:rPr>
                      <w:rFonts w:hint="eastAsia"/>
                    </w:rPr>
                    <w:t>颗粒物</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C78B544">
                  <w:pPr>
                    <w:jc w:val="center"/>
                    <w:rPr>
                      <w:rFonts w:hint="eastAsia"/>
                    </w:rPr>
                  </w:pPr>
                  <w:r>
                    <w:rPr>
                      <w:rFonts w:hint="eastAsia"/>
                    </w:rPr>
                    <w:t>颗粒物</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EEF8DCA">
                  <w:pPr>
                    <w:jc w:val="center"/>
                    <w:rPr>
                      <w:rFonts w:hint="eastAsia"/>
                    </w:rPr>
                  </w:pPr>
                  <w:r>
                    <w:rPr>
                      <w:rFonts w:hint="eastAsia"/>
                    </w:rPr>
                    <w:t>颗粒物</w:t>
                  </w:r>
                </w:p>
              </w:tc>
            </w:tr>
            <w:tr w14:paraId="0282C749">
              <w:tblPrEx>
                <w:tblCellMar>
                  <w:top w:w="0" w:type="dxa"/>
                  <w:left w:w="108" w:type="dxa"/>
                  <w:bottom w:w="0" w:type="dxa"/>
                  <w:right w:w="108" w:type="dxa"/>
                </w:tblCellMar>
              </w:tblPrEx>
              <w:trPr>
                <w:trHeight w:val="408" w:hRule="atLeast"/>
              </w:trPr>
              <w:tc>
                <w:tcPr>
                  <w:tcW w:w="0" w:type="auto"/>
                  <w:gridSpan w:val="2"/>
                  <w:tcBorders>
                    <w:top w:val="single" w:color="000000" w:sz="4" w:space="0"/>
                    <w:left w:val="single" w:color="000000" w:sz="4" w:space="0"/>
                    <w:bottom w:val="single" w:color="000000" w:sz="4" w:space="0"/>
                    <w:right w:val="single" w:color="000000" w:sz="4" w:space="0"/>
                  </w:tcBorders>
                  <w:noWrap/>
                  <w:vAlign w:val="center"/>
                </w:tcPr>
                <w:p w14:paraId="61B65159">
                  <w:pPr>
                    <w:widowControl/>
                    <w:adjustRightInd w:val="0"/>
                    <w:snapToGrid w:val="0"/>
                    <w:jc w:val="center"/>
                    <w:textAlignment w:val="center"/>
                    <w:rPr>
                      <w:szCs w:val="21"/>
                    </w:rPr>
                  </w:pPr>
                  <w:r>
                    <w:rPr>
                      <w:kern w:val="0"/>
                      <w:szCs w:val="21"/>
                      <w:lang w:bidi="ar"/>
                    </w:rPr>
                    <w:t>排放方式</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3AF90B4">
                  <w:pPr>
                    <w:jc w:val="center"/>
                    <w:rPr>
                      <w:rFonts w:hint="eastAsia"/>
                    </w:rPr>
                  </w:pPr>
                  <w:r>
                    <w:rPr>
                      <w:rFonts w:hint="eastAsia"/>
                    </w:rPr>
                    <w:t>无组织</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124F4D4">
                  <w:pPr>
                    <w:jc w:val="center"/>
                    <w:rPr>
                      <w:rFonts w:hint="eastAsia"/>
                    </w:rPr>
                  </w:pPr>
                  <w:r>
                    <w:rPr>
                      <w:rFonts w:hint="eastAsia"/>
                    </w:rPr>
                    <w:t>无组织</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C7686B9">
                  <w:pPr>
                    <w:jc w:val="center"/>
                    <w:rPr>
                      <w:rFonts w:hint="eastAsia"/>
                    </w:rPr>
                  </w:pPr>
                  <w:r>
                    <w:rPr>
                      <w:rFonts w:hint="eastAsia"/>
                    </w:rPr>
                    <w:t>无组织</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B94C48D">
                  <w:pPr>
                    <w:jc w:val="center"/>
                    <w:rPr>
                      <w:rFonts w:hint="eastAsia"/>
                    </w:rPr>
                  </w:pPr>
                  <w:r>
                    <w:rPr>
                      <w:rFonts w:hint="eastAsia"/>
                    </w:rPr>
                    <w:t>无组织</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CB3C3B1">
                  <w:pPr>
                    <w:jc w:val="center"/>
                  </w:pPr>
                  <w:r>
                    <w:rPr>
                      <w:rFonts w:hint="eastAsia"/>
                    </w:rPr>
                    <w:t>无组织</w:t>
                  </w:r>
                </w:p>
              </w:tc>
            </w:tr>
            <w:tr w14:paraId="43CA5324">
              <w:tblPrEx>
                <w:tblCellMar>
                  <w:top w:w="0" w:type="dxa"/>
                  <w:left w:w="108" w:type="dxa"/>
                  <w:bottom w:w="0" w:type="dxa"/>
                  <w:right w:w="108" w:type="dxa"/>
                </w:tblCellMar>
              </w:tblPrEx>
              <w:trPr>
                <w:trHeight w:val="408" w:hRule="atLeast"/>
              </w:trPr>
              <w:tc>
                <w:tcPr>
                  <w:tcW w:w="0" w:type="auto"/>
                  <w:gridSpan w:val="2"/>
                  <w:tcBorders>
                    <w:top w:val="single" w:color="000000" w:sz="4" w:space="0"/>
                    <w:left w:val="single" w:color="000000" w:sz="4" w:space="0"/>
                    <w:bottom w:val="single" w:color="000000" w:sz="4" w:space="0"/>
                    <w:right w:val="single" w:color="000000" w:sz="4" w:space="0"/>
                  </w:tcBorders>
                  <w:noWrap/>
                  <w:vAlign w:val="center"/>
                </w:tcPr>
                <w:p w14:paraId="585A96A5">
                  <w:pPr>
                    <w:widowControl/>
                    <w:adjustRightInd w:val="0"/>
                    <w:snapToGrid w:val="0"/>
                    <w:jc w:val="center"/>
                    <w:textAlignment w:val="center"/>
                    <w:rPr>
                      <w:szCs w:val="21"/>
                    </w:rPr>
                  </w:pPr>
                  <w:r>
                    <w:rPr>
                      <w:kern w:val="0"/>
                      <w:szCs w:val="21"/>
                      <w:lang w:bidi="ar"/>
                    </w:rPr>
                    <w:t>废气量（m</w:t>
                  </w:r>
                  <w:r>
                    <w:rPr>
                      <w:kern w:val="0"/>
                      <w:szCs w:val="21"/>
                      <w:vertAlign w:val="superscript"/>
                      <w:lang w:bidi="ar"/>
                    </w:rPr>
                    <w:t>3</w:t>
                  </w:r>
                  <w:r>
                    <w:rPr>
                      <w:kern w:val="0"/>
                      <w:szCs w:val="21"/>
                      <w:lang w:bidi="ar"/>
                    </w:rPr>
                    <w:t>/h）</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A7A35C4">
                  <w:pPr>
                    <w:widowControl/>
                    <w:adjustRightInd w:val="0"/>
                    <w:snapToGrid w:val="0"/>
                    <w:jc w:val="center"/>
                    <w:textAlignment w:val="center"/>
                    <w:rPr>
                      <w:szCs w:val="21"/>
                    </w:rPr>
                  </w:pPr>
                  <w:r>
                    <w:rPr>
                      <w:kern w:val="0"/>
                      <w:szCs w:val="21"/>
                      <w:lang w:bidi="ar"/>
                    </w:rPr>
                    <w:t>/</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A61169F">
                  <w:pPr>
                    <w:widowControl/>
                    <w:adjustRightInd w:val="0"/>
                    <w:snapToGrid w:val="0"/>
                    <w:jc w:val="center"/>
                    <w:textAlignment w:val="center"/>
                    <w:rPr>
                      <w:szCs w:val="21"/>
                    </w:rPr>
                  </w:pPr>
                  <w:r>
                    <w:rPr>
                      <w:kern w:val="0"/>
                      <w:szCs w:val="21"/>
                      <w:lang w:bidi="ar"/>
                    </w:rPr>
                    <w:t>/</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D90C38A">
                  <w:pPr>
                    <w:widowControl/>
                    <w:adjustRightInd w:val="0"/>
                    <w:snapToGrid w:val="0"/>
                    <w:jc w:val="center"/>
                    <w:textAlignment w:val="center"/>
                    <w:rPr>
                      <w:kern w:val="0"/>
                      <w:szCs w:val="21"/>
                      <w:lang w:bidi="ar"/>
                    </w:rPr>
                  </w:pPr>
                  <w:r>
                    <w:rPr>
                      <w:kern w:val="0"/>
                      <w:szCs w:val="21"/>
                      <w:lang w:bidi="ar"/>
                    </w:rPr>
                    <w:t>/</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6BF7D8B">
                  <w:pPr>
                    <w:widowControl/>
                    <w:adjustRightInd w:val="0"/>
                    <w:snapToGrid w:val="0"/>
                    <w:jc w:val="center"/>
                    <w:textAlignment w:val="center"/>
                    <w:rPr>
                      <w:szCs w:val="21"/>
                    </w:rPr>
                  </w:pPr>
                  <w:r>
                    <w:rPr>
                      <w:kern w:val="0"/>
                      <w:szCs w:val="21"/>
                      <w:lang w:bidi="ar"/>
                    </w:rPr>
                    <w:t>/</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ABA953A">
                  <w:pPr>
                    <w:widowControl/>
                    <w:adjustRightInd w:val="0"/>
                    <w:snapToGrid w:val="0"/>
                    <w:jc w:val="center"/>
                    <w:textAlignment w:val="center"/>
                    <w:rPr>
                      <w:szCs w:val="21"/>
                    </w:rPr>
                  </w:pPr>
                  <w:r>
                    <w:rPr>
                      <w:kern w:val="0"/>
                      <w:szCs w:val="21"/>
                      <w:lang w:bidi="ar"/>
                    </w:rPr>
                    <w:t>/</w:t>
                  </w:r>
                </w:p>
              </w:tc>
            </w:tr>
            <w:tr w14:paraId="70160E09">
              <w:tblPrEx>
                <w:tblCellMar>
                  <w:top w:w="0" w:type="dxa"/>
                  <w:left w:w="108" w:type="dxa"/>
                  <w:bottom w:w="0" w:type="dxa"/>
                  <w:right w:w="108" w:type="dxa"/>
                </w:tblCellMar>
              </w:tblPrEx>
              <w:trPr>
                <w:trHeight w:val="408" w:hRule="atLeast"/>
              </w:trPr>
              <w:tc>
                <w:tcPr>
                  <w:tcW w:w="0" w:type="auto"/>
                  <w:vMerge w:val="restart"/>
                  <w:tcBorders>
                    <w:top w:val="single" w:color="000000" w:sz="4" w:space="0"/>
                    <w:left w:val="single" w:color="000000" w:sz="4" w:space="0"/>
                    <w:bottom w:val="single" w:color="000000" w:sz="4" w:space="0"/>
                    <w:right w:val="single" w:color="000000" w:sz="4" w:space="0"/>
                  </w:tcBorders>
                  <w:vAlign w:val="center"/>
                </w:tcPr>
                <w:p w14:paraId="2B262661">
                  <w:pPr>
                    <w:widowControl/>
                    <w:adjustRightInd w:val="0"/>
                    <w:snapToGrid w:val="0"/>
                    <w:ind w:left="-105" w:leftChars="-50" w:right="-105" w:rightChars="-50"/>
                    <w:jc w:val="center"/>
                    <w:textAlignment w:val="center"/>
                    <w:rPr>
                      <w:szCs w:val="21"/>
                    </w:rPr>
                  </w:pPr>
                  <w:r>
                    <w:rPr>
                      <w:kern w:val="0"/>
                      <w:szCs w:val="21"/>
                      <w:lang w:bidi="ar"/>
                    </w:rPr>
                    <w:t>污染物产生情况</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5C9CD38">
                  <w:pPr>
                    <w:widowControl/>
                    <w:adjustRightInd w:val="0"/>
                    <w:snapToGrid w:val="0"/>
                    <w:jc w:val="center"/>
                    <w:textAlignment w:val="center"/>
                    <w:rPr>
                      <w:szCs w:val="21"/>
                    </w:rPr>
                  </w:pPr>
                  <w:r>
                    <w:rPr>
                      <w:kern w:val="0"/>
                      <w:szCs w:val="21"/>
                      <w:lang w:bidi="ar"/>
                    </w:rPr>
                    <w:t>浓度（mg/m</w:t>
                  </w:r>
                  <w:r>
                    <w:rPr>
                      <w:kern w:val="0"/>
                      <w:szCs w:val="21"/>
                      <w:vertAlign w:val="superscript"/>
                      <w:lang w:bidi="ar"/>
                    </w:rPr>
                    <w:t>3</w:t>
                  </w:r>
                  <w:r>
                    <w:rPr>
                      <w:kern w:val="0"/>
                      <w:szCs w:val="21"/>
                      <w:lang w:bidi="ar"/>
                    </w:rPr>
                    <w:t>）</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17F5354">
                  <w:pPr>
                    <w:widowControl/>
                    <w:adjustRightInd w:val="0"/>
                    <w:snapToGrid w:val="0"/>
                    <w:jc w:val="center"/>
                    <w:textAlignment w:val="center"/>
                    <w:rPr>
                      <w:szCs w:val="21"/>
                    </w:rPr>
                  </w:pPr>
                  <w:r>
                    <w:rPr>
                      <w:kern w:val="0"/>
                      <w:szCs w:val="21"/>
                      <w:lang w:bidi="ar"/>
                    </w:rPr>
                    <w:t>/</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B4B786E">
                  <w:pPr>
                    <w:widowControl/>
                    <w:adjustRightInd w:val="0"/>
                    <w:snapToGrid w:val="0"/>
                    <w:jc w:val="center"/>
                    <w:textAlignment w:val="center"/>
                    <w:rPr>
                      <w:szCs w:val="21"/>
                    </w:rPr>
                  </w:pPr>
                  <w:r>
                    <w:rPr>
                      <w:kern w:val="0"/>
                      <w:szCs w:val="21"/>
                      <w:lang w:bidi="ar"/>
                    </w:rPr>
                    <w:t>/</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FD4D0CF">
                  <w:pPr>
                    <w:widowControl/>
                    <w:adjustRightInd w:val="0"/>
                    <w:snapToGrid w:val="0"/>
                    <w:jc w:val="center"/>
                    <w:textAlignment w:val="center"/>
                    <w:rPr>
                      <w:kern w:val="0"/>
                      <w:szCs w:val="21"/>
                      <w:lang w:bidi="ar"/>
                    </w:rPr>
                  </w:pPr>
                  <w:r>
                    <w:rPr>
                      <w:kern w:val="0"/>
                      <w:szCs w:val="21"/>
                      <w:lang w:bidi="ar"/>
                    </w:rPr>
                    <w:t>/</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66991A1">
                  <w:pPr>
                    <w:widowControl/>
                    <w:adjustRightInd w:val="0"/>
                    <w:snapToGrid w:val="0"/>
                    <w:jc w:val="center"/>
                    <w:textAlignment w:val="center"/>
                    <w:rPr>
                      <w:szCs w:val="21"/>
                    </w:rPr>
                  </w:pPr>
                  <w:r>
                    <w:rPr>
                      <w:kern w:val="0"/>
                      <w:szCs w:val="21"/>
                      <w:lang w:bidi="ar"/>
                    </w:rPr>
                    <w:t>/</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720A5B2">
                  <w:pPr>
                    <w:widowControl/>
                    <w:adjustRightInd w:val="0"/>
                    <w:snapToGrid w:val="0"/>
                    <w:jc w:val="center"/>
                    <w:textAlignment w:val="center"/>
                    <w:rPr>
                      <w:szCs w:val="21"/>
                    </w:rPr>
                  </w:pPr>
                  <w:r>
                    <w:rPr>
                      <w:kern w:val="0"/>
                      <w:szCs w:val="21"/>
                      <w:lang w:bidi="ar"/>
                    </w:rPr>
                    <w:t>/</w:t>
                  </w:r>
                </w:p>
              </w:tc>
            </w:tr>
            <w:tr w14:paraId="766B8007">
              <w:tblPrEx>
                <w:tblCellMar>
                  <w:top w:w="0" w:type="dxa"/>
                  <w:left w:w="108" w:type="dxa"/>
                  <w:bottom w:w="0" w:type="dxa"/>
                  <w:right w:w="108" w:type="dxa"/>
                </w:tblCellMar>
              </w:tblPrEx>
              <w:trPr>
                <w:trHeight w:val="408" w:hRule="atLeast"/>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713FA1F8">
                  <w:pPr>
                    <w:widowControl/>
                    <w:adjustRightInd w:val="0"/>
                    <w:snapToGrid w:val="0"/>
                    <w:ind w:left="-105" w:leftChars="-50" w:right="-105" w:rightChars="-50"/>
                    <w:jc w:val="center"/>
                    <w:rPr>
                      <w:szCs w:val="21"/>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A03BFBF">
                  <w:pPr>
                    <w:widowControl/>
                    <w:adjustRightInd w:val="0"/>
                    <w:snapToGrid w:val="0"/>
                    <w:jc w:val="center"/>
                    <w:textAlignment w:val="center"/>
                    <w:rPr>
                      <w:szCs w:val="21"/>
                    </w:rPr>
                  </w:pPr>
                  <w:r>
                    <w:rPr>
                      <w:kern w:val="0"/>
                      <w:szCs w:val="21"/>
                      <w:lang w:bidi="ar"/>
                    </w:rPr>
                    <w:t>产生量（kg/h）</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74D4118">
                  <w:pPr>
                    <w:jc w:val="center"/>
                    <w:rPr>
                      <w:rFonts w:hint="default" w:eastAsia="宋体"/>
                      <w:lang w:val="en-US" w:eastAsia="zh-CN"/>
                    </w:rPr>
                  </w:pPr>
                  <w:r>
                    <w:rPr>
                      <w:rFonts w:hint="eastAsia"/>
                      <w:lang w:val="en-US" w:eastAsia="zh-CN"/>
                    </w:rPr>
                    <w:t>3.24</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47CD612">
                  <w:pPr>
                    <w:jc w:val="center"/>
                  </w:pPr>
                  <w:r>
                    <w:t>57</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AE9177B">
                  <w:pPr>
                    <w:jc w:val="center"/>
                  </w:pPr>
                  <w:r>
                    <w:t>0.98</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BD2B343">
                  <w:pPr>
                    <w:jc w:val="center"/>
                  </w:pPr>
                  <w:r>
                    <w:t>37.27</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3EC2174">
                  <w:pPr>
                    <w:jc w:val="center"/>
                  </w:pPr>
                  <w:r>
                    <w:t>2.5</w:t>
                  </w:r>
                </w:p>
              </w:tc>
            </w:tr>
            <w:tr w14:paraId="4B7D2C0E">
              <w:tblPrEx>
                <w:tblCellMar>
                  <w:top w:w="0" w:type="dxa"/>
                  <w:left w:w="108" w:type="dxa"/>
                  <w:bottom w:w="0" w:type="dxa"/>
                  <w:right w:w="108" w:type="dxa"/>
                </w:tblCellMar>
              </w:tblPrEx>
              <w:trPr>
                <w:trHeight w:val="408" w:hRule="atLeast"/>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2DA5ED09">
                  <w:pPr>
                    <w:widowControl/>
                    <w:adjustRightInd w:val="0"/>
                    <w:snapToGrid w:val="0"/>
                    <w:ind w:left="-105" w:leftChars="-50" w:right="-105" w:rightChars="-50"/>
                    <w:jc w:val="center"/>
                    <w:rPr>
                      <w:szCs w:val="21"/>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528DC9A">
                  <w:pPr>
                    <w:widowControl/>
                    <w:adjustRightInd w:val="0"/>
                    <w:snapToGrid w:val="0"/>
                    <w:jc w:val="center"/>
                    <w:textAlignment w:val="center"/>
                    <w:rPr>
                      <w:szCs w:val="21"/>
                    </w:rPr>
                  </w:pPr>
                  <w:r>
                    <w:rPr>
                      <w:kern w:val="0"/>
                      <w:szCs w:val="21"/>
                      <w:lang w:bidi="ar"/>
                    </w:rPr>
                    <w:t>核算方法</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A1C22C6">
                  <w:pPr>
                    <w:jc w:val="center"/>
                    <w:rPr>
                      <w:rFonts w:hint="eastAsia"/>
                    </w:rPr>
                  </w:pPr>
                  <w:r>
                    <w:rPr>
                      <w:rFonts w:hint="eastAsia"/>
                    </w:rPr>
                    <w:t>经验系数</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CAF279A">
                  <w:pPr>
                    <w:jc w:val="center"/>
                    <w:rPr>
                      <w:rFonts w:hint="eastAsia"/>
                    </w:rPr>
                  </w:pPr>
                  <w:r>
                    <w:rPr>
                      <w:rFonts w:hint="eastAsia"/>
                    </w:rPr>
                    <w:t>经验公式</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9E1583C">
                  <w:pPr>
                    <w:jc w:val="center"/>
                    <w:rPr>
                      <w:rFonts w:hint="eastAsia"/>
                    </w:rPr>
                  </w:pPr>
                  <w:r>
                    <w:rPr>
                      <w:rFonts w:hint="eastAsia"/>
                    </w:rPr>
                    <w:t>经验公式</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773E6DA">
                  <w:pPr>
                    <w:jc w:val="center"/>
                    <w:rPr>
                      <w:rFonts w:hint="eastAsia"/>
                    </w:rPr>
                  </w:pPr>
                  <w:r>
                    <w:rPr>
                      <w:rFonts w:hint="eastAsia"/>
                    </w:rPr>
                    <w:t>经验公式</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D554BE0">
                  <w:pPr>
                    <w:jc w:val="center"/>
                    <w:rPr>
                      <w:rFonts w:hint="eastAsia"/>
                    </w:rPr>
                  </w:pPr>
                  <w:r>
                    <w:rPr>
                      <w:rFonts w:hint="eastAsia"/>
                    </w:rPr>
                    <w:t>经验公式</w:t>
                  </w:r>
                </w:p>
              </w:tc>
            </w:tr>
            <w:tr w14:paraId="3963E1FC">
              <w:tblPrEx>
                <w:tblCellMar>
                  <w:top w:w="0" w:type="dxa"/>
                  <w:left w:w="108" w:type="dxa"/>
                  <w:bottom w:w="0" w:type="dxa"/>
                  <w:right w:w="108" w:type="dxa"/>
                </w:tblCellMar>
              </w:tblPrEx>
              <w:trPr>
                <w:trHeight w:val="408" w:hRule="atLeast"/>
              </w:trPr>
              <w:tc>
                <w:tcPr>
                  <w:tcW w:w="0" w:type="auto"/>
                  <w:vMerge w:val="restart"/>
                  <w:tcBorders>
                    <w:top w:val="single" w:color="000000" w:sz="4" w:space="0"/>
                    <w:left w:val="single" w:color="000000" w:sz="4" w:space="0"/>
                    <w:bottom w:val="single" w:color="000000" w:sz="4" w:space="0"/>
                    <w:right w:val="single" w:color="000000" w:sz="4" w:space="0"/>
                  </w:tcBorders>
                  <w:vAlign w:val="center"/>
                </w:tcPr>
                <w:p w14:paraId="6B69040A">
                  <w:pPr>
                    <w:widowControl/>
                    <w:adjustRightInd w:val="0"/>
                    <w:snapToGrid w:val="0"/>
                    <w:ind w:left="-105" w:leftChars="-50" w:right="-105" w:rightChars="-50"/>
                    <w:jc w:val="center"/>
                    <w:textAlignment w:val="center"/>
                    <w:rPr>
                      <w:szCs w:val="21"/>
                    </w:rPr>
                  </w:pPr>
                  <w:r>
                    <w:rPr>
                      <w:kern w:val="0"/>
                      <w:szCs w:val="21"/>
                      <w:lang w:bidi="ar"/>
                    </w:rPr>
                    <w:t>污染防治措施</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8BDC011">
                  <w:pPr>
                    <w:widowControl/>
                    <w:adjustRightInd w:val="0"/>
                    <w:snapToGrid w:val="0"/>
                    <w:jc w:val="center"/>
                    <w:textAlignment w:val="center"/>
                    <w:rPr>
                      <w:szCs w:val="21"/>
                    </w:rPr>
                  </w:pPr>
                  <w:r>
                    <w:rPr>
                      <w:kern w:val="0"/>
                      <w:szCs w:val="21"/>
                      <w:lang w:bidi="ar"/>
                    </w:rPr>
                    <w:t>治理设施</w:t>
                  </w:r>
                </w:p>
              </w:tc>
              <w:tc>
                <w:tcPr>
                  <w:tcW w:w="0" w:type="auto"/>
                  <w:tcBorders>
                    <w:top w:val="single" w:color="000000" w:sz="4" w:space="0"/>
                    <w:left w:val="single" w:color="000000" w:sz="4" w:space="0"/>
                    <w:bottom w:val="single" w:color="000000" w:sz="4" w:space="0"/>
                    <w:right w:val="single" w:color="000000" w:sz="4" w:space="0"/>
                  </w:tcBorders>
                  <w:vAlign w:val="center"/>
                </w:tcPr>
                <w:p w14:paraId="2EDA122A">
                  <w:pPr>
                    <w:jc w:val="center"/>
                    <w:rPr>
                      <w:rFonts w:hint="eastAsia"/>
                    </w:rPr>
                  </w:pPr>
                  <w:r>
                    <w:rPr>
                      <w:rFonts w:hint="eastAsia"/>
                    </w:rPr>
                    <w:t>雾炮车雾降尘</w:t>
                  </w:r>
                </w:p>
              </w:tc>
              <w:tc>
                <w:tcPr>
                  <w:tcW w:w="0" w:type="auto"/>
                  <w:tcBorders>
                    <w:top w:val="single" w:color="000000" w:sz="4" w:space="0"/>
                    <w:left w:val="single" w:color="000000" w:sz="4" w:space="0"/>
                    <w:bottom w:val="single" w:color="000000" w:sz="4" w:space="0"/>
                    <w:right w:val="single" w:color="000000" w:sz="4" w:space="0"/>
                  </w:tcBorders>
                  <w:vAlign w:val="center"/>
                </w:tcPr>
                <w:p w14:paraId="79C38BAA">
                  <w:pPr>
                    <w:jc w:val="center"/>
                    <w:rPr>
                      <w:rFonts w:hint="eastAsia"/>
                    </w:rPr>
                  </w:pPr>
                  <w:r>
                    <w:rPr>
                      <w:rFonts w:hint="eastAsia"/>
                    </w:rPr>
                    <w:t>雾炮机定点喷雾降尘</w:t>
                  </w:r>
                </w:p>
              </w:tc>
              <w:tc>
                <w:tcPr>
                  <w:tcW w:w="0" w:type="auto"/>
                  <w:tcBorders>
                    <w:top w:val="single" w:color="000000" w:sz="4" w:space="0"/>
                    <w:left w:val="single" w:color="000000" w:sz="4" w:space="0"/>
                    <w:bottom w:val="single" w:color="000000" w:sz="4" w:space="0"/>
                    <w:right w:val="single" w:color="000000" w:sz="4" w:space="0"/>
                  </w:tcBorders>
                  <w:vAlign w:val="center"/>
                </w:tcPr>
                <w:p w14:paraId="7FF12F24">
                  <w:pPr>
                    <w:jc w:val="center"/>
                    <w:rPr>
                      <w:rFonts w:hint="eastAsia"/>
                    </w:rPr>
                  </w:pPr>
                  <w:r>
                    <w:rPr>
                      <w:rFonts w:hint="eastAsia"/>
                    </w:rPr>
                    <w:t>洒水车、清扫车、雾炮车清扫降尘</w:t>
                  </w:r>
                </w:p>
              </w:tc>
              <w:tc>
                <w:tcPr>
                  <w:tcW w:w="0" w:type="auto"/>
                  <w:tcBorders>
                    <w:top w:val="single" w:color="000000" w:sz="4" w:space="0"/>
                    <w:left w:val="single" w:color="000000" w:sz="4" w:space="0"/>
                    <w:bottom w:val="single" w:color="000000" w:sz="4" w:space="0"/>
                    <w:right w:val="single" w:color="000000" w:sz="4" w:space="0"/>
                  </w:tcBorders>
                  <w:vAlign w:val="center"/>
                </w:tcPr>
                <w:p w14:paraId="117B1400">
                  <w:pPr>
                    <w:jc w:val="center"/>
                    <w:rPr>
                      <w:rFonts w:hint="eastAsia"/>
                    </w:rPr>
                  </w:pPr>
                  <w:r>
                    <w:rPr>
                      <w:rFonts w:hint="eastAsia"/>
                    </w:rPr>
                    <w:t>卸料设雾炮机、规范堆存作业</w:t>
                  </w:r>
                </w:p>
              </w:tc>
              <w:tc>
                <w:tcPr>
                  <w:tcW w:w="0" w:type="auto"/>
                  <w:tcBorders>
                    <w:top w:val="single" w:color="000000" w:sz="4" w:space="0"/>
                    <w:left w:val="single" w:color="000000" w:sz="4" w:space="0"/>
                    <w:bottom w:val="single" w:color="000000" w:sz="4" w:space="0"/>
                    <w:right w:val="single" w:color="000000" w:sz="4" w:space="0"/>
                  </w:tcBorders>
                  <w:vAlign w:val="center"/>
                </w:tcPr>
                <w:p w14:paraId="65298169">
                  <w:pPr>
                    <w:jc w:val="center"/>
                  </w:pPr>
                  <w:r>
                    <w:rPr>
                      <w:rFonts w:hint="eastAsia"/>
                    </w:rPr>
                    <w:t>洒水抑尘</w:t>
                  </w:r>
                </w:p>
              </w:tc>
            </w:tr>
            <w:tr w14:paraId="7FDB8EA0">
              <w:tblPrEx>
                <w:tblCellMar>
                  <w:top w:w="0" w:type="dxa"/>
                  <w:left w:w="108" w:type="dxa"/>
                  <w:bottom w:w="0" w:type="dxa"/>
                  <w:right w:w="108" w:type="dxa"/>
                </w:tblCellMar>
              </w:tblPrEx>
              <w:trPr>
                <w:trHeight w:val="408" w:hRule="atLeast"/>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18F3A28B">
                  <w:pPr>
                    <w:widowControl/>
                    <w:adjustRightInd w:val="0"/>
                    <w:snapToGrid w:val="0"/>
                    <w:ind w:left="-105" w:leftChars="-50" w:right="-105" w:rightChars="-50"/>
                    <w:jc w:val="center"/>
                    <w:rPr>
                      <w:szCs w:val="21"/>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494211F">
                  <w:pPr>
                    <w:widowControl/>
                    <w:adjustRightInd w:val="0"/>
                    <w:snapToGrid w:val="0"/>
                    <w:jc w:val="center"/>
                    <w:textAlignment w:val="center"/>
                    <w:rPr>
                      <w:szCs w:val="21"/>
                    </w:rPr>
                  </w:pPr>
                  <w:r>
                    <w:rPr>
                      <w:kern w:val="0"/>
                      <w:szCs w:val="21"/>
                      <w:lang w:bidi="ar"/>
                    </w:rPr>
                    <w:t>收集效率（%）</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D9135C6">
                  <w:pPr>
                    <w:widowControl/>
                    <w:adjustRightInd w:val="0"/>
                    <w:snapToGrid w:val="0"/>
                    <w:jc w:val="center"/>
                    <w:textAlignment w:val="center"/>
                    <w:rPr>
                      <w:szCs w:val="21"/>
                    </w:rPr>
                  </w:pPr>
                  <w:r>
                    <w:rPr>
                      <w:kern w:val="0"/>
                      <w:szCs w:val="21"/>
                      <w:lang w:bidi="ar"/>
                    </w:rPr>
                    <w:t>/</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A8163C6">
                  <w:pPr>
                    <w:widowControl/>
                    <w:adjustRightInd w:val="0"/>
                    <w:snapToGrid w:val="0"/>
                    <w:jc w:val="center"/>
                    <w:textAlignment w:val="center"/>
                    <w:rPr>
                      <w:szCs w:val="21"/>
                    </w:rPr>
                  </w:pPr>
                  <w:r>
                    <w:rPr>
                      <w:kern w:val="0"/>
                      <w:szCs w:val="21"/>
                      <w:lang w:bidi="ar"/>
                    </w:rPr>
                    <w:t>/</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1894F44">
                  <w:pPr>
                    <w:widowControl/>
                    <w:adjustRightInd w:val="0"/>
                    <w:snapToGrid w:val="0"/>
                    <w:jc w:val="center"/>
                    <w:textAlignment w:val="center"/>
                    <w:rPr>
                      <w:kern w:val="0"/>
                      <w:szCs w:val="21"/>
                      <w:lang w:bidi="ar"/>
                    </w:rPr>
                  </w:pPr>
                  <w:r>
                    <w:rPr>
                      <w:kern w:val="0"/>
                      <w:szCs w:val="21"/>
                      <w:lang w:bidi="ar"/>
                    </w:rPr>
                    <w:t>/</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CAF3987">
                  <w:pPr>
                    <w:widowControl/>
                    <w:adjustRightInd w:val="0"/>
                    <w:snapToGrid w:val="0"/>
                    <w:jc w:val="center"/>
                    <w:textAlignment w:val="center"/>
                    <w:rPr>
                      <w:szCs w:val="21"/>
                    </w:rPr>
                  </w:pPr>
                  <w:r>
                    <w:rPr>
                      <w:kern w:val="0"/>
                      <w:szCs w:val="21"/>
                      <w:lang w:bidi="ar"/>
                    </w:rPr>
                    <w:t>/</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9FCFC23">
                  <w:pPr>
                    <w:widowControl/>
                    <w:adjustRightInd w:val="0"/>
                    <w:snapToGrid w:val="0"/>
                    <w:jc w:val="center"/>
                    <w:textAlignment w:val="center"/>
                    <w:rPr>
                      <w:szCs w:val="21"/>
                    </w:rPr>
                  </w:pPr>
                  <w:r>
                    <w:rPr>
                      <w:kern w:val="0"/>
                      <w:szCs w:val="21"/>
                      <w:lang w:bidi="ar"/>
                    </w:rPr>
                    <w:t>/</w:t>
                  </w:r>
                </w:p>
              </w:tc>
            </w:tr>
            <w:tr w14:paraId="7AA4505E">
              <w:tblPrEx>
                <w:tblCellMar>
                  <w:top w:w="0" w:type="dxa"/>
                  <w:left w:w="108" w:type="dxa"/>
                  <w:bottom w:w="0" w:type="dxa"/>
                  <w:right w:w="108" w:type="dxa"/>
                </w:tblCellMar>
              </w:tblPrEx>
              <w:trPr>
                <w:trHeight w:val="408" w:hRule="atLeast"/>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46E601BC">
                  <w:pPr>
                    <w:widowControl/>
                    <w:adjustRightInd w:val="0"/>
                    <w:snapToGrid w:val="0"/>
                    <w:ind w:left="-105" w:leftChars="-50" w:right="-105" w:rightChars="-50"/>
                    <w:jc w:val="center"/>
                    <w:rPr>
                      <w:szCs w:val="21"/>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15FCCB3">
                  <w:pPr>
                    <w:widowControl/>
                    <w:adjustRightInd w:val="0"/>
                    <w:snapToGrid w:val="0"/>
                    <w:jc w:val="center"/>
                    <w:textAlignment w:val="center"/>
                    <w:rPr>
                      <w:szCs w:val="21"/>
                    </w:rPr>
                  </w:pPr>
                  <w:r>
                    <w:rPr>
                      <w:kern w:val="0"/>
                      <w:szCs w:val="21"/>
                      <w:lang w:bidi="ar"/>
                    </w:rPr>
                    <w:t>处理效率（%）</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D0F83FD">
                  <w:pPr>
                    <w:widowControl/>
                    <w:adjustRightInd w:val="0"/>
                    <w:snapToGrid w:val="0"/>
                    <w:jc w:val="center"/>
                    <w:textAlignment w:val="center"/>
                    <w:rPr>
                      <w:szCs w:val="21"/>
                    </w:rPr>
                  </w:pPr>
                  <w:r>
                    <w:rPr>
                      <w:kern w:val="0"/>
                      <w:szCs w:val="21"/>
                      <w:lang w:bidi="ar"/>
                    </w:rPr>
                    <w:t>80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0BEB148">
                  <w:pPr>
                    <w:widowControl/>
                    <w:adjustRightInd w:val="0"/>
                    <w:snapToGrid w:val="0"/>
                    <w:jc w:val="center"/>
                    <w:textAlignment w:val="center"/>
                    <w:rPr>
                      <w:szCs w:val="21"/>
                    </w:rPr>
                  </w:pPr>
                  <w:r>
                    <w:rPr>
                      <w:kern w:val="0"/>
                      <w:szCs w:val="21"/>
                      <w:lang w:bidi="ar"/>
                    </w:rPr>
                    <w:t>8</w:t>
                  </w:r>
                  <w:r>
                    <w:rPr>
                      <w:rFonts w:hint="eastAsia"/>
                      <w:kern w:val="0"/>
                      <w:szCs w:val="21"/>
                      <w:lang w:bidi="ar"/>
                    </w:rPr>
                    <w:t>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92FAB30">
                  <w:pPr>
                    <w:widowControl/>
                    <w:adjustRightInd w:val="0"/>
                    <w:snapToGrid w:val="0"/>
                    <w:jc w:val="center"/>
                    <w:textAlignment w:val="center"/>
                    <w:rPr>
                      <w:kern w:val="0"/>
                      <w:szCs w:val="21"/>
                      <w:lang w:bidi="ar"/>
                    </w:rPr>
                  </w:pPr>
                  <w:r>
                    <w:rPr>
                      <w:rFonts w:hint="eastAsia"/>
                      <w:kern w:val="0"/>
                      <w:szCs w:val="21"/>
                      <w:lang w:bidi="ar"/>
                    </w:rPr>
                    <w:t>80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FDE6330">
                  <w:pPr>
                    <w:widowControl/>
                    <w:adjustRightInd w:val="0"/>
                    <w:snapToGrid w:val="0"/>
                    <w:jc w:val="center"/>
                    <w:textAlignment w:val="center"/>
                    <w:rPr>
                      <w:szCs w:val="21"/>
                    </w:rPr>
                  </w:pPr>
                  <w:r>
                    <w:rPr>
                      <w:rFonts w:hint="eastAsia"/>
                      <w:kern w:val="0"/>
                      <w:szCs w:val="21"/>
                      <w:lang w:bidi="ar"/>
                    </w:rPr>
                    <w:t>80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08CC2EC">
                  <w:pPr>
                    <w:widowControl/>
                    <w:adjustRightInd w:val="0"/>
                    <w:snapToGrid w:val="0"/>
                    <w:jc w:val="center"/>
                    <w:textAlignment w:val="center"/>
                    <w:rPr>
                      <w:szCs w:val="21"/>
                    </w:rPr>
                  </w:pPr>
                  <w:r>
                    <w:rPr>
                      <w:kern w:val="0"/>
                      <w:szCs w:val="21"/>
                      <w:lang w:bidi="ar"/>
                    </w:rPr>
                    <w:t>80</w:t>
                  </w:r>
                </w:p>
              </w:tc>
            </w:tr>
            <w:tr w14:paraId="5E31CBAC">
              <w:tblPrEx>
                <w:tblCellMar>
                  <w:top w:w="0" w:type="dxa"/>
                  <w:left w:w="108" w:type="dxa"/>
                  <w:bottom w:w="0" w:type="dxa"/>
                  <w:right w:w="108" w:type="dxa"/>
                </w:tblCellMar>
              </w:tblPrEx>
              <w:trPr>
                <w:trHeight w:val="408" w:hRule="atLeast"/>
              </w:trPr>
              <w:tc>
                <w:tcPr>
                  <w:tcW w:w="0" w:type="auto"/>
                  <w:vMerge w:val="restart"/>
                  <w:tcBorders>
                    <w:top w:val="single" w:color="000000" w:sz="4" w:space="0"/>
                    <w:left w:val="single" w:color="000000" w:sz="4" w:space="0"/>
                    <w:bottom w:val="single" w:color="000000" w:sz="4" w:space="0"/>
                    <w:right w:val="single" w:color="000000" w:sz="4" w:space="0"/>
                  </w:tcBorders>
                  <w:vAlign w:val="center"/>
                </w:tcPr>
                <w:p w14:paraId="3CB6534B">
                  <w:pPr>
                    <w:widowControl/>
                    <w:adjustRightInd w:val="0"/>
                    <w:snapToGrid w:val="0"/>
                    <w:ind w:left="-105" w:leftChars="-50" w:right="-105" w:rightChars="-50"/>
                    <w:jc w:val="center"/>
                    <w:textAlignment w:val="center"/>
                    <w:rPr>
                      <w:szCs w:val="21"/>
                    </w:rPr>
                  </w:pPr>
                  <w:r>
                    <w:rPr>
                      <w:kern w:val="0"/>
                      <w:szCs w:val="21"/>
                      <w:lang w:bidi="ar"/>
                    </w:rPr>
                    <w:t>污染物排放情况</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D81DF4A">
                  <w:pPr>
                    <w:widowControl/>
                    <w:adjustRightInd w:val="0"/>
                    <w:snapToGrid w:val="0"/>
                    <w:jc w:val="center"/>
                    <w:textAlignment w:val="center"/>
                    <w:rPr>
                      <w:szCs w:val="21"/>
                    </w:rPr>
                  </w:pPr>
                  <w:r>
                    <w:rPr>
                      <w:kern w:val="0"/>
                      <w:szCs w:val="21"/>
                      <w:lang w:bidi="ar"/>
                    </w:rPr>
                    <w:t>浓度（mg/m</w:t>
                  </w:r>
                  <w:r>
                    <w:rPr>
                      <w:kern w:val="0"/>
                      <w:szCs w:val="21"/>
                      <w:vertAlign w:val="superscript"/>
                      <w:lang w:bidi="ar"/>
                    </w:rPr>
                    <w:t>3</w:t>
                  </w:r>
                  <w:r>
                    <w:rPr>
                      <w:kern w:val="0"/>
                      <w:szCs w:val="21"/>
                      <w:lang w:bidi="ar"/>
                    </w:rPr>
                    <w:t>）</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B4925D5">
                  <w:pPr>
                    <w:widowControl/>
                    <w:adjustRightInd w:val="0"/>
                    <w:snapToGrid w:val="0"/>
                    <w:jc w:val="center"/>
                    <w:textAlignment w:val="center"/>
                    <w:rPr>
                      <w:szCs w:val="21"/>
                    </w:rPr>
                  </w:pPr>
                  <w:r>
                    <w:rPr>
                      <w:kern w:val="0"/>
                      <w:szCs w:val="21"/>
                      <w:lang w:bidi="ar"/>
                    </w:rPr>
                    <w:t>/</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154E1D5">
                  <w:pPr>
                    <w:widowControl/>
                    <w:adjustRightInd w:val="0"/>
                    <w:snapToGrid w:val="0"/>
                    <w:jc w:val="center"/>
                    <w:textAlignment w:val="center"/>
                    <w:rPr>
                      <w:szCs w:val="21"/>
                    </w:rPr>
                  </w:pPr>
                  <w:r>
                    <w:rPr>
                      <w:kern w:val="0"/>
                      <w:szCs w:val="21"/>
                      <w:lang w:bidi="ar"/>
                    </w:rPr>
                    <w:t>/</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16199B7">
                  <w:pPr>
                    <w:widowControl/>
                    <w:adjustRightInd w:val="0"/>
                    <w:snapToGrid w:val="0"/>
                    <w:jc w:val="center"/>
                    <w:textAlignment w:val="center"/>
                    <w:rPr>
                      <w:kern w:val="0"/>
                      <w:szCs w:val="21"/>
                      <w:lang w:bidi="ar"/>
                    </w:rPr>
                  </w:pPr>
                  <w:r>
                    <w:rPr>
                      <w:kern w:val="0"/>
                      <w:szCs w:val="21"/>
                      <w:lang w:bidi="ar"/>
                    </w:rPr>
                    <w:t>/</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88D5ACF">
                  <w:pPr>
                    <w:widowControl/>
                    <w:adjustRightInd w:val="0"/>
                    <w:snapToGrid w:val="0"/>
                    <w:jc w:val="center"/>
                    <w:textAlignment w:val="center"/>
                    <w:rPr>
                      <w:szCs w:val="21"/>
                    </w:rPr>
                  </w:pPr>
                  <w:r>
                    <w:rPr>
                      <w:kern w:val="0"/>
                      <w:szCs w:val="21"/>
                      <w:lang w:bidi="ar"/>
                    </w:rPr>
                    <w:t>/</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D8A0480">
                  <w:pPr>
                    <w:widowControl/>
                    <w:adjustRightInd w:val="0"/>
                    <w:snapToGrid w:val="0"/>
                    <w:jc w:val="center"/>
                    <w:textAlignment w:val="center"/>
                    <w:rPr>
                      <w:szCs w:val="21"/>
                    </w:rPr>
                  </w:pPr>
                  <w:r>
                    <w:rPr>
                      <w:kern w:val="0"/>
                      <w:szCs w:val="21"/>
                      <w:lang w:bidi="ar"/>
                    </w:rPr>
                    <w:t>/</w:t>
                  </w:r>
                </w:p>
              </w:tc>
            </w:tr>
            <w:tr w14:paraId="61612BEA">
              <w:tblPrEx>
                <w:tblCellMar>
                  <w:top w:w="0" w:type="dxa"/>
                  <w:left w:w="108" w:type="dxa"/>
                  <w:bottom w:w="0" w:type="dxa"/>
                  <w:right w:w="108" w:type="dxa"/>
                </w:tblCellMar>
              </w:tblPrEx>
              <w:trPr>
                <w:trHeight w:val="408" w:hRule="atLeast"/>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1C457673">
                  <w:pPr>
                    <w:widowControl/>
                    <w:adjustRightInd w:val="0"/>
                    <w:snapToGrid w:val="0"/>
                    <w:jc w:val="center"/>
                    <w:rPr>
                      <w:szCs w:val="21"/>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54237A2">
                  <w:pPr>
                    <w:widowControl/>
                    <w:adjustRightInd w:val="0"/>
                    <w:snapToGrid w:val="0"/>
                    <w:jc w:val="center"/>
                    <w:textAlignment w:val="center"/>
                    <w:rPr>
                      <w:szCs w:val="21"/>
                    </w:rPr>
                  </w:pPr>
                  <w:r>
                    <w:rPr>
                      <w:kern w:val="0"/>
                      <w:szCs w:val="21"/>
                      <w:lang w:bidi="ar"/>
                    </w:rPr>
                    <w:t>排放量（kg/h）</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9A10B67">
                  <w:pPr>
                    <w:widowControl/>
                    <w:adjustRightInd w:val="0"/>
                    <w:snapToGrid w:val="0"/>
                    <w:jc w:val="center"/>
                    <w:textAlignment w:val="center"/>
                    <w:rPr>
                      <w:rFonts w:hint="default" w:eastAsia="宋体"/>
                      <w:szCs w:val="21"/>
                      <w:lang w:val="en-US" w:eastAsia="zh-CN"/>
                    </w:rPr>
                  </w:pPr>
                  <w:r>
                    <w:rPr>
                      <w:kern w:val="0"/>
                      <w:szCs w:val="21"/>
                      <w:lang w:bidi="ar"/>
                    </w:rPr>
                    <w:t>0.</w:t>
                  </w:r>
                  <w:r>
                    <w:rPr>
                      <w:rFonts w:hint="eastAsia"/>
                      <w:kern w:val="0"/>
                      <w:szCs w:val="21"/>
                      <w:lang w:val="en-US" w:eastAsia="zh-CN" w:bidi="ar"/>
                    </w:rPr>
                    <w:t>648</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A87F7DC">
                  <w:pPr>
                    <w:widowControl/>
                    <w:adjustRightInd w:val="0"/>
                    <w:snapToGrid w:val="0"/>
                    <w:jc w:val="center"/>
                    <w:textAlignment w:val="center"/>
                    <w:rPr>
                      <w:szCs w:val="21"/>
                    </w:rPr>
                  </w:pPr>
                  <w:r>
                    <w:rPr>
                      <w:rFonts w:hint="eastAsia"/>
                      <w:kern w:val="0"/>
                      <w:szCs w:val="21"/>
                      <w:lang w:bidi="ar"/>
                    </w:rPr>
                    <w:t>0.7</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C60C764">
                  <w:pPr>
                    <w:widowControl/>
                    <w:adjustRightInd w:val="0"/>
                    <w:snapToGrid w:val="0"/>
                    <w:jc w:val="center"/>
                    <w:textAlignment w:val="center"/>
                    <w:rPr>
                      <w:szCs w:val="21"/>
                    </w:rPr>
                  </w:pPr>
                  <w:r>
                    <w:rPr>
                      <w:rFonts w:hint="eastAsia"/>
                      <w:kern w:val="0"/>
                      <w:szCs w:val="21"/>
                      <w:lang w:bidi="ar"/>
                    </w:rPr>
                    <w:t>0.</w:t>
                  </w:r>
                  <w:r>
                    <w:rPr>
                      <w:kern w:val="0"/>
                      <w:szCs w:val="21"/>
                      <w:lang w:bidi="ar"/>
                    </w:rPr>
                    <w:t>196</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8B875B2">
                  <w:pPr>
                    <w:widowControl/>
                    <w:adjustRightInd w:val="0"/>
                    <w:snapToGrid w:val="0"/>
                    <w:jc w:val="center"/>
                    <w:textAlignment w:val="center"/>
                    <w:rPr>
                      <w:szCs w:val="21"/>
                    </w:rPr>
                  </w:pPr>
                  <w:r>
                    <w:rPr>
                      <w:kern w:val="0"/>
                      <w:szCs w:val="21"/>
                      <w:lang w:bidi="ar"/>
                    </w:rPr>
                    <w:t>7.454</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7FC3D9E">
                  <w:pPr>
                    <w:widowControl/>
                    <w:adjustRightInd w:val="0"/>
                    <w:snapToGrid w:val="0"/>
                    <w:jc w:val="center"/>
                    <w:textAlignment w:val="center"/>
                    <w:rPr>
                      <w:kern w:val="0"/>
                      <w:szCs w:val="21"/>
                      <w:lang w:bidi="ar"/>
                    </w:rPr>
                  </w:pPr>
                  <w:r>
                    <w:rPr>
                      <w:rFonts w:hint="eastAsia"/>
                      <w:kern w:val="0"/>
                      <w:szCs w:val="21"/>
                      <w:lang w:bidi="ar"/>
                    </w:rPr>
                    <w:t>0.25</w:t>
                  </w:r>
                </w:p>
              </w:tc>
            </w:tr>
            <w:tr w14:paraId="1612A8C8">
              <w:tblPrEx>
                <w:tblCellMar>
                  <w:top w:w="0" w:type="dxa"/>
                  <w:left w:w="108" w:type="dxa"/>
                  <w:bottom w:w="0" w:type="dxa"/>
                  <w:right w:w="108" w:type="dxa"/>
                </w:tblCellMar>
              </w:tblPrEx>
              <w:trPr>
                <w:trHeight w:val="408" w:hRule="atLeast"/>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5A831E19">
                  <w:pPr>
                    <w:widowControl/>
                    <w:adjustRightInd w:val="0"/>
                    <w:snapToGrid w:val="0"/>
                    <w:jc w:val="center"/>
                    <w:rPr>
                      <w:szCs w:val="21"/>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74CA7A9">
                  <w:pPr>
                    <w:widowControl/>
                    <w:adjustRightInd w:val="0"/>
                    <w:snapToGrid w:val="0"/>
                    <w:jc w:val="center"/>
                    <w:textAlignment w:val="center"/>
                    <w:rPr>
                      <w:szCs w:val="21"/>
                    </w:rPr>
                  </w:pPr>
                  <w:r>
                    <w:rPr>
                      <w:kern w:val="0"/>
                      <w:szCs w:val="21"/>
                      <w:lang w:bidi="ar"/>
                    </w:rPr>
                    <w:t>核算方法</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4A0C359">
                  <w:pPr>
                    <w:widowControl/>
                    <w:adjustRightInd w:val="0"/>
                    <w:snapToGrid w:val="0"/>
                    <w:jc w:val="center"/>
                    <w:textAlignment w:val="center"/>
                    <w:rPr>
                      <w:szCs w:val="21"/>
                    </w:rPr>
                  </w:pPr>
                  <w:r>
                    <w:rPr>
                      <w:kern w:val="0"/>
                      <w:szCs w:val="21"/>
                      <w:lang w:bidi="ar"/>
                    </w:rPr>
                    <w:t>物料衡算</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2C7F22C">
                  <w:pPr>
                    <w:widowControl/>
                    <w:adjustRightInd w:val="0"/>
                    <w:snapToGrid w:val="0"/>
                    <w:jc w:val="center"/>
                    <w:textAlignment w:val="center"/>
                    <w:rPr>
                      <w:szCs w:val="21"/>
                    </w:rPr>
                  </w:pPr>
                  <w:r>
                    <w:rPr>
                      <w:kern w:val="0"/>
                      <w:szCs w:val="21"/>
                      <w:lang w:bidi="ar"/>
                    </w:rPr>
                    <w:t>物料衡算</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6B78DAC">
                  <w:pPr>
                    <w:widowControl/>
                    <w:adjustRightInd w:val="0"/>
                    <w:snapToGrid w:val="0"/>
                    <w:jc w:val="center"/>
                    <w:textAlignment w:val="center"/>
                    <w:rPr>
                      <w:szCs w:val="21"/>
                    </w:rPr>
                  </w:pPr>
                  <w:r>
                    <w:rPr>
                      <w:kern w:val="0"/>
                      <w:szCs w:val="21"/>
                      <w:lang w:bidi="ar"/>
                    </w:rPr>
                    <w:t>物料衡算</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872E744">
                  <w:pPr>
                    <w:widowControl/>
                    <w:adjustRightInd w:val="0"/>
                    <w:snapToGrid w:val="0"/>
                    <w:jc w:val="center"/>
                    <w:textAlignment w:val="center"/>
                    <w:rPr>
                      <w:szCs w:val="21"/>
                    </w:rPr>
                  </w:pPr>
                  <w:r>
                    <w:rPr>
                      <w:kern w:val="0"/>
                      <w:szCs w:val="21"/>
                      <w:lang w:bidi="ar"/>
                    </w:rPr>
                    <w:t>物料衡算</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2F9B1FE">
                  <w:pPr>
                    <w:widowControl/>
                    <w:adjustRightInd w:val="0"/>
                    <w:snapToGrid w:val="0"/>
                    <w:jc w:val="center"/>
                    <w:textAlignment w:val="center"/>
                    <w:rPr>
                      <w:kern w:val="0"/>
                      <w:szCs w:val="21"/>
                      <w:lang w:bidi="ar"/>
                    </w:rPr>
                  </w:pPr>
                  <w:r>
                    <w:rPr>
                      <w:rFonts w:hint="eastAsia"/>
                      <w:kern w:val="0"/>
                      <w:szCs w:val="21"/>
                      <w:lang w:bidi="ar"/>
                    </w:rPr>
                    <w:t>物料衡算</w:t>
                  </w:r>
                </w:p>
              </w:tc>
            </w:tr>
            <w:tr w14:paraId="0FD59213">
              <w:tblPrEx>
                <w:tblCellMar>
                  <w:top w:w="0" w:type="dxa"/>
                  <w:left w:w="108" w:type="dxa"/>
                  <w:bottom w:w="0" w:type="dxa"/>
                  <w:right w:w="108" w:type="dxa"/>
                </w:tblCellMar>
              </w:tblPrEx>
              <w:trPr>
                <w:trHeight w:val="408" w:hRule="atLeast"/>
              </w:trPr>
              <w:tc>
                <w:tcPr>
                  <w:tcW w:w="0" w:type="auto"/>
                  <w:gridSpan w:val="2"/>
                  <w:tcBorders>
                    <w:top w:val="single" w:color="000000" w:sz="4" w:space="0"/>
                    <w:left w:val="single" w:color="000000" w:sz="4" w:space="0"/>
                    <w:bottom w:val="single" w:color="000000" w:sz="4" w:space="0"/>
                    <w:right w:val="single" w:color="000000" w:sz="4" w:space="0"/>
                  </w:tcBorders>
                  <w:noWrap/>
                  <w:vAlign w:val="center"/>
                </w:tcPr>
                <w:p w14:paraId="6973BAA6">
                  <w:pPr>
                    <w:widowControl/>
                    <w:adjustRightInd w:val="0"/>
                    <w:snapToGrid w:val="0"/>
                    <w:jc w:val="center"/>
                    <w:textAlignment w:val="center"/>
                    <w:rPr>
                      <w:szCs w:val="21"/>
                    </w:rPr>
                  </w:pPr>
                  <w:r>
                    <w:rPr>
                      <w:kern w:val="0"/>
                      <w:szCs w:val="21"/>
                      <w:lang w:bidi="ar"/>
                    </w:rPr>
                    <w:t>年运行时间（h/a）</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E28D94B">
                  <w:pPr>
                    <w:widowControl/>
                    <w:adjustRightInd w:val="0"/>
                    <w:snapToGrid w:val="0"/>
                    <w:jc w:val="center"/>
                    <w:textAlignment w:val="center"/>
                    <w:rPr>
                      <w:szCs w:val="21"/>
                    </w:rPr>
                  </w:pPr>
                  <w:r>
                    <w:rPr>
                      <w:kern w:val="0"/>
                      <w:szCs w:val="21"/>
                      <w:lang w:bidi="ar"/>
                    </w:rPr>
                    <w:t>/</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FE40F8A">
                  <w:pPr>
                    <w:widowControl/>
                    <w:adjustRightInd w:val="0"/>
                    <w:snapToGrid w:val="0"/>
                    <w:jc w:val="center"/>
                    <w:textAlignment w:val="center"/>
                    <w:rPr>
                      <w:szCs w:val="21"/>
                    </w:rPr>
                  </w:pPr>
                  <w:r>
                    <w:rPr>
                      <w:kern w:val="0"/>
                      <w:szCs w:val="21"/>
                      <w:lang w:bidi="ar"/>
                    </w:rPr>
                    <w:t>/</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6762453">
                  <w:pPr>
                    <w:widowControl/>
                    <w:adjustRightInd w:val="0"/>
                    <w:snapToGrid w:val="0"/>
                    <w:jc w:val="center"/>
                    <w:textAlignment w:val="center"/>
                    <w:rPr>
                      <w:szCs w:val="21"/>
                    </w:rPr>
                  </w:pPr>
                  <w:r>
                    <w:rPr>
                      <w:kern w:val="0"/>
                      <w:szCs w:val="21"/>
                      <w:lang w:bidi="ar"/>
                    </w:rPr>
                    <w:t>/</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BF7A418">
                  <w:pPr>
                    <w:widowControl/>
                    <w:adjustRightInd w:val="0"/>
                    <w:snapToGrid w:val="0"/>
                    <w:jc w:val="center"/>
                    <w:textAlignment w:val="center"/>
                    <w:rPr>
                      <w:szCs w:val="21"/>
                    </w:rPr>
                  </w:pPr>
                  <w:r>
                    <w:rPr>
                      <w:kern w:val="0"/>
                      <w:szCs w:val="21"/>
                      <w:lang w:bidi="ar"/>
                    </w:rPr>
                    <w:t>/</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359A2F8">
                  <w:pPr>
                    <w:widowControl/>
                    <w:adjustRightInd w:val="0"/>
                    <w:snapToGrid w:val="0"/>
                    <w:jc w:val="center"/>
                    <w:textAlignment w:val="center"/>
                    <w:rPr>
                      <w:szCs w:val="21"/>
                    </w:rPr>
                  </w:pPr>
                  <w:r>
                    <w:rPr>
                      <w:kern w:val="0"/>
                      <w:szCs w:val="21"/>
                      <w:lang w:bidi="ar"/>
                    </w:rPr>
                    <w:t>/</w:t>
                  </w:r>
                </w:p>
              </w:tc>
            </w:tr>
            <w:tr w14:paraId="2911DB7F">
              <w:tblPrEx>
                <w:tblCellMar>
                  <w:top w:w="0" w:type="dxa"/>
                  <w:left w:w="108" w:type="dxa"/>
                  <w:bottom w:w="0" w:type="dxa"/>
                  <w:right w:w="108" w:type="dxa"/>
                </w:tblCellMar>
              </w:tblPrEx>
              <w:trPr>
                <w:trHeight w:val="408" w:hRule="atLeast"/>
              </w:trPr>
              <w:tc>
                <w:tcPr>
                  <w:tcW w:w="0" w:type="auto"/>
                  <w:gridSpan w:val="2"/>
                  <w:tcBorders>
                    <w:top w:val="single" w:color="000000" w:sz="4" w:space="0"/>
                    <w:left w:val="single" w:color="000000" w:sz="4" w:space="0"/>
                    <w:bottom w:val="single" w:color="000000" w:sz="4" w:space="0"/>
                    <w:right w:val="single" w:color="000000" w:sz="4" w:space="0"/>
                  </w:tcBorders>
                  <w:noWrap/>
                  <w:vAlign w:val="center"/>
                </w:tcPr>
                <w:p w14:paraId="22DE3A5C">
                  <w:pPr>
                    <w:widowControl/>
                    <w:adjustRightInd w:val="0"/>
                    <w:snapToGrid w:val="0"/>
                    <w:jc w:val="center"/>
                    <w:textAlignment w:val="center"/>
                    <w:rPr>
                      <w:szCs w:val="21"/>
                    </w:rPr>
                  </w:pPr>
                  <w:r>
                    <w:rPr>
                      <w:kern w:val="0"/>
                      <w:szCs w:val="21"/>
                      <w:lang w:bidi="ar"/>
                    </w:rPr>
                    <w:t>年排放量（t/a）</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2D95F72">
                  <w:pPr>
                    <w:widowControl/>
                    <w:adjustRightInd w:val="0"/>
                    <w:snapToGrid w:val="0"/>
                    <w:jc w:val="center"/>
                    <w:textAlignment w:val="center"/>
                    <w:rPr>
                      <w:rFonts w:hint="default" w:eastAsia="宋体"/>
                      <w:szCs w:val="21"/>
                      <w:lang w:val="en-US" w:eastAsia="zh-CN"/>
                    </w:rPr>
                  </w:pPr>
                  <w:r>
                    <w:rPr>
                      <w:rFonts w:hint="eastAsia"/>
                      <w:kern w:val="0"/>
                      <w:szCs w:val="21"/>
                      <w:lang w:val="en-US" w:eastAsia="zh-CN" w:bidi="ar"/>
                    </w:rPr>
                    <w:t>1.037</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F17DCC5">
                  <w:pPr>
                    <w:widowControl/>
                    <w:adjustRightInd w:val="0"/>
                    <w:snapToGrid w:val="0"/>
                    <w:jc w:val="center"/>
                    <w:textAlignment w:val="center"/>
                    <w:rPr>
                      <w:szCs w:val="21"/>
                    </w:rPr>
                  </w:pPr>
                  <w:r>
                    <w:rPr>
                      <w:rFonts w:hint="eastAsia"/>
                      <w:kern w:val="0"/>
                      <w:szCs w:val="21"/>
                      <w:lang w:bidi="ar"/>
                    </w:rPr>
                    <w:t>1.4</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649EEF8">
                  <w:pPr>
                    <w:widowControl/>
                    <w:adjustRightInd w:val="0"/>
                    <w:snapToGrid w:val="0"/>
                    <w:jc w:val="center"/>
                    <w:textAlignment w:val="center"/>
                    <w:rPr>
                      <w:szCs w:val="21"/>
                    </w:rPr>
                  </w:pPr>
                  <w:r>
                    <w:rPr>
                      <w:kern w:val="0"/>
                      <w:szCs w:val="21"/>
                      <w:lang w:bidi="ar"/>
                    </w:rPr>
                    <w:t>0.392</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CD012B6">
                  <w:pPr>
                    <w:widowControl/>
                    <w:adjustRightInd w:val="0"/>
                    <w:snapToGrid w:val="0"/>
                    <w:jc w:val="center"/>
                    <w:textAlignment w:val="center"/>
                    <w:rPr>
                      <w:szCs w:val="21"/>
                    </w:rPr>
                  </w:pPr>
                  <w:r>
                    <w:rPr>
                      <w:kern w:val="0"/>
                      <w:szCs w:val="21"/>
                      <w:lang w:bidi="ar"/>
                    </w:rPr>
                    <w:t>14.908</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E1B2C24">
                  <w:pPr>
                    <w:widowControl/>
                    <w:adjustRightInd w:val="0"/>
                    <w:snapToGrid w:val="0"/>
                    <w:jc w:val="center"/>
                    <w:textAlignment w:val="center"/>
                    <w:rPr>
                      <w:szCs w:val="21"/>
                    </w:rPr>
                  </w:pPr>
                  <w:r>
                    <w:rPr>
                      <w:kern w:val="0"/>
                      <w:szCs w:val="21"/>
                      <w:lang w:bidi="ar"/>
                    </w:rPr>
                    <w:t>0.05</w:t>
                  </w:r>
                </w:p>
              </w:tc>
            </w:tr>
          </w:tbl>
          <w:p w14:paraId="14048968">
            <w:pPr>
              <w:keepNext w:val="0"/>
              <w:keepLines w:val="0"/>
              <w:pageBreakBefore w:val="0"/>
              <w:widowControl/>
              <w:kinsoku/>
              <w:wordWrap/>
              <w:overflowPunct/>
              <w:topLinePunct w:val="0"/>
              <w:autoSpaceDE/>
              <w:autoSpaceDN/>
              <w:bidi w:val="0"/>
              <w:adjustRightInd/>
              <w:snapToGrid/>
              <w:spacing w:line="480" w:lineRule="exact"/>
              <w:ind w:firstLine="482" w:firstLineChars="200"/>
              <w:textAlignment w:val="auto"/>
              <w:rPr>
                <w:b/>
                <w:bCs/>
                <w:color w:val="auto"/>
                <w:kern w:val="0"/>
                <w:sz w:val="24"/>
                <w:lang w:bidi="ar"/>
              </w:rPr>
            </w:pPr>
            <w:r>
              <w:rPr>
                <w:rFonts w:hint="eastAsia"/>
                <w:b/>
                <w:bCs/>
                <w:color w:val="auto"/>
                <w:kern w:val="0"/>
                <w:sz w:val="24"/>
                <w:lang w:bidi="ar"/>
              </w:rPr>
              <w:t>（2）</w:t>
            </w:r>
            <w:r>
              <w:rPr>
                <w:b/>
                <w:bCs/>
                <w:color w:val="auto"/>
                <w:kern w:val="0"/>
                <w:sz w:val="24"/>
                <w:lang w:bidi="ar"/>
              </w:rPr>
              <w:t>污染物源强核算</w:t>
            </w:r>
          </w:p>
          <w:p w14:paraId="32CA6DFE">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color w:val="auto"/>
                <w:kern w:val="0"/>
                <w:sz w:val="24"/>
                <w:lang w:bidi="ar"/>
              </w:rPr>
            </w:pPr>
            <w:r>
              <w:rPr>
                <w:color w:val="auto"/>
                <w:kern w:val="0"/>
                <w:sz w:val="24"/>
                <w:lang w:bidi="ar"/>
              </w:rPr>
              <w:t>1）</w:t>
            </w:r>
            <w:r>
              <w:rPr>
                <w:rFonts w:hint="eastAsia"/>
                <w:color w:val="auto"/>
                <w:kern w:val="0"/>
                <w:sz w:val="24"/>
                <w:lang w:bidi="ar"/>
              </w:rPr>
              <w:t>采矿区</w:t>
            </w:r>
          </w:p>
          <w:p w14:paraId="2BD370C7">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color w:val="auto"/>
                <w:kern w:val="0"/>
                <w:sz w:val="24"/>
                <w:lang w:bidi="ar"/>
              </w:rPr>
            </w:pPr>
            <w:r>
              <w:rPr>
                <w:rFonts w:hint="eastAsia"/>
                <w:color w:val="auto"/>
                <w:kern w:val="0"/>
                <w:sz w:val="24"/>
                <w:lang w:bidi="ar"/>
              </w:rPr>
              <w:t>①采剥粉尘</w:t>
            </w:r>
          </w:p>
          <w:p w14:paraId="759A23EB">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color w:val="auto"/>
                <w:kern w:val="0"/>
                <w:sz w:val="24"/>
                <w:lang w:bidi="ar"/>
              </w:rPr>
            </w:pPr>
            <w:r>
              <w:rPr>
                <w:rFonts w:hint="eastAsia"/>
                <w:color w:val="auto"/>
                <w:kern w:val="0"/>
                <w:sz w:val="24"/>
                <w:lang w:bidi="ar"/>
              </w:rPr>
              <w:t>采剥过程中主要是采用挖掘机开挖表土或挖采矿石，采剥扬尘只会在挖掘机运作时产生，根据《矿山粉尘的产尘强度和沉积量指标》一文并结合项目的实际情况，在干燥的情况下，挖掘机运作时粉尘产生量约为</w:t>
            </w:r>
            <w:r>
              <w:rPr>
                <w:color w:val="auto"/>
                <w:kern w:val="0"/>
                <w:sz w:val="24"/>
                <w:lang w:bidi="ar"/>
              </w:rPr>
              <w:t>300mg/s·台</w:t>
            </w:r>
            <w:r>
              <w:rPr>
                <w:rFonts w:hint="eastAsia"/>
                <w:color w:val="auto"/>
                <w:kern w:val="0"/>
                <w:sz w:val="24"/>
                <w:lang w:bidi="ar"/>
              </w:rPr>
              <w:t>，CAT385BL型挖掘机配H140型凿岩锤将岩石松动，然后用EC360BLC型挖掘机铲装岩石。</w:t>
            </w:r>
          </w:p>
          <w:p w14:paraId="1A336A08">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pPr>
            <w:r>
              <w:rPr>
                <w:rFonts w:hint="eastAsia"/>
                <w:color w:val="auto"/>
                <w:kern w:val="0"/>
                <w:sz w:val="24"/>
                <w:lang w:bidi="ar"/>
              </w:rPr>
              <w:t>采区设置3台挖掘机进行开采，工作制度为1班/天，8h/班，工作天数为200d，则剥采扬尘产生量约为</w:t>
            </w:r>
            <w:r>
              <w:rPr>
                <w:rFonts w:hint="eastAsia"/>
                <w:color w:val="auto"/>
                <w:kern w:val="0"/>
                <w:sz w:val="24"/>
                <w:lang w:val="en-US" w:eastAsia="zh-CN" w:bidi="ar"/>
              </w:rPr>
              <w:t>5.184</w:t>
            </w:r>
            <w:r>
              <w:rPr>
                <w:rFonts w:hint="eastAsia"/>
                <w:color w:val="auto"/>
                <w:kern w:val="0"/>
                <w:sz w:val="24"/>
                <w:lang w:bidi="ar"/>
              </w:rPr>
              <w:t>t/a。</w:t>
            </w:r>
          </w:p>
        </w:tc>
      </w:tr>
    </w:tbl>
    <w:p w14:paraId="2D872CAF">
      <w:pPr>
        <w:pStyle w:val="13"/>
        <w:ind w:right="25" w:firstLine="461"/>
        <w:sectPr>
          <w:pgSz w:w="11906" w:h="16838"/>
          <w:pgMar w:top="1440" w:right="1800" w:bottom="1440" w:left="1800" w:header="851" w:footer="1077" w:gutter="0"/>
          <w:cols w:space="720" w:num="1"/>
          <w:docGrid w:linePitch="312" w:charSpace="0"/>
        </w:sectPr>
      </w:pPr>
    </w:p>
    <w:tbl>
      <w:tblPr>
        <w:tblStyle w:val="29"/>
        <w:tblW w:w="962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032"/>
        <w:gridCol w:w="8589"/>
      </w:tblGrid>
      <w:tr w14:paraId="7765DAB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51" w:hRule="atLeast"/>
          <w:jc w:val="center"/>
        </w:trPr>
        <w:tc>
          <w:tcPr>
            <w:tcW w:w="1032" w:type="dxa"/>
            <w:tcMar>
              <w:left w:w="28" w:type="dxa"/>
              <w:right w:w="28" w:type="dxa"/>
            </w:tcMar>
            <w:vAlign w:val="center"/>
          </w:tcPr>
          <w:p w14:paraId="4D415120">
            <w:pPr>
              <w:pStyle w:val="21"/>
              <w:adjustRightInd w:val="0"/>
              <w:snapToGrid w:val="0"/>
              <w:spacing w:before="0" w:beforeAutospacing="0" w:after="0" w:afterAutospacing="0"/>
              <w:jc w:val="center"/>
              <w:rPr>
                <w:rFonts w:cs="宋体"/>
                <w:bCs/>
                <w:kern w:val="2"/>
                <w:sz w:val="21"/>
                <w:szCs w:val="21"/>
              </w:rPr>
            </w:pPr>
            <w:r>
              <w:rPr>
                <w:rFonts w:hint="eastAsia" w:cs="宋体"/>
                <w:bCs/>
                <w:spacing w:val="10"/>
                <w:kern w:val="2"/>
              </w:rPr>
              <w:t>运营期生态环境影响分析</w:t>
            </w:r>
          </w:p>
        </w:tc>
        <w:tc>
          <w:tcPr>
            <w:tcW w:w="8589" w:type="dxa"/>
          </w:tcPr>
          <w:p w14:paraId="106D3919">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color w:val="auto"/>
                <w:kern w:val="0"/>
                <w:sz w:val="24"/>
                <w:lang w:bidi="ar"/>
              </w:rPr>
            </w:pPr>
            <w:r>
              <w:rPr>
                <w:rFonts w:hint="eastAsia"/>
                <w:color w:val="auto"/>
                <w:kern w:val="0"/>
                <w:sz w:val="24"/>
                <w:lang w:bidi="ar"/>
              </w:rPr>
              <w:t>评价要求工作面配备1台雾炮车</w:t>
            </w:r>
            <w:r>
              <w:rPr>
                <w:rFonts w:hint="eastAsia"/>
                <w:color w:val="auto"/>
                <w:kern w:val="0"/>
                <w:sz w:val="24"/>
                <w:lang w:eastAsia="zh-CN" w:bidi="ar"/>
              </w:rPr>
              <w:t>，</w:t>
            </w:r>
            <w:r>
              <w:rPr>
                <w:rFonts w:hint="eastAsia"/>
                <w:color w:val="auto"/>
                <w:kern w:val="0"/>
                <w:sz w:val="24"/>
                <w:lang w:bidi="ar"/>
              </w:rPr>
              <w:t>采用雾炮车进行喷雾降尘，降低粉尘的产生量，采取喷雾洒水抑尘措施后，可降尘80%，则粉尘排放量为</w:t>
            </w:r>
            <w:r>
              <w:rPr>
                <w:rFonts w:hint="eastAsia"/>
                <w:color w:val="auto"/>
                <w:kern w:val="0"/>
                <w:sz w:val="24"/>
                <w:lang w:val="en-US" w:eastAsia="zh-CN" w:bidi="ar"/>
              </w:rPr>
              <w:t>1.037</w:t>
            </w:r>
            <w:r>
              <w:rPr>
                <w:rFonts w:hint="eastAsia"/>
                <w:color w:val="auto"/>
                <w:kern w:val="0"/>
                <w:sz w:val="24"/>
                <w:lang w:bidi="ar"/>
              </w:rPr>
              <w:t>t/a。</w:t>
            </w:r>
          </w:p>
          <w:p w14:paraId="0392B563">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color w:val="auto"/>
                <w:kern w:val="0"/>
                <w:sz w:val="24"/>
                <w:lang w:bidi="ar"/>
              </w:rPr>
            </w:pPr>
            <w:r>
              <w:rPr>
                <w:rFonts w:hint="eastAsia" w:ascii="宋体" w:hAnsi="宋体" w:cs="宋体"/>
                <w:color w:val="auto"/>
                <w:kern w:val="0"/>
                <w:sz w:val="24"/>
                <w:lang w:bidi="ar"/>
              </w:rPr>
              <w:t>②</w:t>
            </w:r>
            <w:r>
              <w:rPr>
                <w:color w:val="auto"/>
                <w:kern w:val="0"/>
                <w:sz w:val="24"/>
                <w:lang w:bidi="ar"/>
              </w:rPr>
              <w:t>采装粉尘</w:t>
            </w:r>
          </w:p>
          <w:p w14:paraId="2EF0F250">
            <w:pPr>
              <w:pStyle w:val="77"/>
              <w:keepNext w:val="0"/>
              <w:keepLines w:val="0"/>
              <w:pageBreakBefore w:val="0"/>
              <w:kinsoku/>
              <w:wordWrap/>
              <w:overflowPunct/>
              <w:topLinePunct w:val="0"/>
              <w:autoSpaceDE/>
              <w:autoSpaceDN/>
              <w:bidi w:val="0"/>
              <w:adjustRightInd/>
              <w:snapToGrid/>
              <w:spacing w:line="480" w:lineRule="exact"/>
              <w:ind w:firstLine="496" w:firstLineChars="200"/>
              <w:textAlignment w:val="auto"/>
              <w:rPr>
                <w:color w:val="auto"/>
                <w:lang w:eastAsia="zh-CN"/>
              </w:rPr>
            </w:pPr>
            <w:r>
              <w:rPr>
                <w:color w:val="auto"/>
                <w:spacing w:val="4"/>
                <w:lang w:eastAsia="zh-CN"/>
              </w:rPr>
              <w:t>采装作业粉尘主要为装卸和运输扬尘。</w:t>
            </w:r>
            <w:r>
              <w:rPr>
                <w:rFonts w:hint="eastAsia"/>
                <w:color w:val="auto"/>
                <w:spacing w:val="4"/>
                <w:lang w:eastAsia="zh-CN"/>
              </w:rPr>
              <w:t>根据《扬尘源颗粒物排放清单编制技术指南（试行）》</w:t>
            </w:r>
            <w:r>
              <w:rPr>
                <w:color w:val="auto"/>
                <w:spacing w:val="1"/>
                <w:lang w:eastAsia="zh-CN"/>
              </w:rPr>
              <w:t>中装卸、运输物料</w:t>
            </w:r>
            <w:r>
              <w:rPr>
                <w:color w:val="auto"/>
                <w:lang w:eastAsia="zh-CN"/>
              </w:rPr>
              <w:t>过程中扬尘</w:t>
            </w:r>
            <w:r>
              <w:rPr>
                <w:color w:val="auto"/>
                <w:spacing w:val="-4"/>
                <w:lang w:eastAsia="zh-CN"/>
              </w:rPr>
              <w:t>系数估算公式进行计算，计算公式如下：</w:t>
            </w:r>
          </w:p>
          <w:p w14:paraId="44EE1644">
            <w:pPr>
              <w:widowControl/>
              <w:spacing w:line="480" w:lineRule="exact"/>
              <w:ind w:firstLine="480" w:firstLineChars="200"/>
              <w:rPr>
                <w:color w:val="auto"/>
                <w:kern w:val="0"/>
                <w:sz w:val="24"/>
                <w:lang w:bidi="ar"/>
              </w:rPr>
            </w:pPr>
            <w:r>
              <w:rPr>
                <w:color w:val="auto"/>
                <w:kern w:val="0"/>
                <w:sz w:val="24"/>
                <w:lang w:bidi="ar"/>
              </w:rPr>
              <w:drawing>
                <wp:anchor distT="0" distB="0" distL="114300" distR="114300" simplePos="0" relativeHeight="251663360" behindDoc="1" locked="0" layoutInCell="1" allowOverlap="1">
                  <wp:simplePos x="0" y="0"/>
                  <wp:positionH relativeFrom="column">
                    <wp:posOffset>1421765</wp:posOffset>
                  </wp:positionH>
                  <wp:positionV relativeFrom="paragraph">
                    <wp:posOffset>40640</wp:posOffset>
                  </wp:positionV>
                  <wp:extent cx="1962150" cy="904875"/>
                  <wp:effectExtent l="0" t="0" r="0" b="9525"/>
                  <wp:wrapNone/>
                  <wp:docPr id="17" name="图片 17" descr="QQ20250828-103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QQ20250828-103844"/>
                          <pic:cNvPicPr>
                            <a:picLocks noChangeAspect="1"/>
                          </pic:cNvPicPr>
                        </pic:nvPicPr>
                        <pic:blipFill>
                          <a:blip r:embed="rId14"/>
                          <a:stretch>
                            <a:fillRect/>
                          </a:stretch>
                        </pic:blipFill>
                        <pic:spPr>
                          <a:xfrm>
                            <a:off x="0" y="0"/>
                            <a:ext cx="1962150" cy="904875"/>
                          </a:xfrm>
                          <a:prstGeom prst="rect">
                            <a:avLst/>
                          </a:prstGeom>
                        </pic:spPr>
                      </pic:pic>
                    </a:graphicData>
                  </a:graphic>
                </wp:anchor>
              </w:drawing>
            </w:r>
          </w:p>
          <w:p w14:paraId="7921B6FA">
            <w:pPr>
              <w:widowControl/>
              <w:spacing w:line="480" w:lineRule="exact"/>
              <w:ind w:firstLine="480" w:firstLineChars="200"/>
              <w:rPr>
                <w:color w:val="auto"/>
                <w:kern w:val="0"/>
                <w:sz w:val="24"/>
                <w:lang w:bidi="ar"/>
              </w:rPr>
            </w:pPr>
          </w:p>
          <w:p w14:paraId="046B9458">
            <w:pPr>
              <w:widowControl/>
              <w:spacing w:line="480" w:lineRule="exact"/>
              <w:ind w:firstLine="480" w:firstLineChars="200"/>
              <w:rPr>
                <w:color w:val="auto"/>
                <w:kern w:val="0"/>
                <w:sz w:val="24"/>
                <w:lang w:bidi="ar"/>
              </w:rPr>
            </w:pPr>
          </w:p>
          <w:p w14:paraId="3D137365">
            <w:pPr>
              <w:pStyle w:val="77"/>
              <w:keepNext w:val="0"/>
              <w:keepLines w:val="0"/>
              <w:pageBreakBefore w:val="0"/>
              <w:kinsoku/>
              <w:wordWrap/>
              <w:overflowPunct/>
              <w:topLinePunct w:val="0"/>
              <w:autoSpaceDE/>
              <w:autoSpaceDN/>
              <w:bidi w:val="0"/>
              <w:adjustRightInd/>
              <w:snapToGrid/>
              <w:spacing w:line="480" w:lineRule="exact"/>
              <w:ind w:firstLine="472" w:firstLineChars="200"/>
              <w:textAlignment w:val="auto"/>
              <w:rPr>
                <w:color w:val="auto"/>
                <w:lang w:eastAsia="zh-CN"/>
              </w:rPr>
            </w:pPr>
            <w:r>
              <w:rPr>
                <w:color w:val="auto"/>
                <w:spacing w:val="-2"/>
                <w:lang w:eastAsia="zh-CN"/>
              </w:rPr>
              <w:t>式中：</w:t>
            </w:r>
            <w:r>
              <w:rPr>
                <w:rFonts w:ascii="Times New Roman" w:hAnsi="Times New Roman" w:eastAsia="Times New Roman" w:cs="Times New Roman"/>
                <w:color w:val="auto"/>
                <w:spacing w:val="-2"/>
                <w:lang w:eastAsia="zh-CN"/>
              </w:rPr>
              <w:t>E</w:t>
            </w:r>
            <w:r>
              <w:rPr>
                <w:rFonts w:ascii="Times New Roman" w:hAnsi="Times New Roman" w:eastAsia="Times New Roman" w:cs="Times New Roman"/>
                <w:color w:val="auto"/>
                <w:spacing w:val="-2"/>
                <w:position w:val="-1"/>
                <w:sz w:val="16"/>
                <w:szCs w:val="16"/>
                <w:lang w:eastAsia="zh-CN"/>
              </w:rPr>
              <w:t>h</w:t>
            </w:r>
            <w:r>
              <w:rPr>
                <w:color w:val="auto"/>
                <w:spacing w:val="-2"/>
                <w:lang w:eastAsia="zh-CN"/>
              </w:rPr>
              <w:t>为堆场装卸扬尘系数，</w:t>
            </w:r>
            <w:r>
              <w:rPr>
                <w:rFonts w:ascii="Times New Roman" w:hAnsi="Times New Roman" w:eastAsia="Times New Roman" w:cs="Times New Roman"/>
                <w:color w:val="auto"/>
                <w:spacing w:val="-2"/>
                <w:lang w:eastAsia="zh-CN"/>
              </w:rPr>
              <w:t>kg/t</w:t>
            </w:r>
            <w:r>
              <w:rPr>
                <w:color w:val="auto"/>
                <w:spacing w:val="-2"/>
                <w:lang w:eastAsia="zh-CN"/>
              </w:rPr>
              <w:t>；</w:t>
            </w:r>
          </w:p>
          <w:p w14:paraId="05A2CD9A">
            <w:pPr>
              <w:pStyle w:val="77"/>
              <w:keepNext w:val="0"/>
              <w:keepLines w:val="0"/>
              <w:pageBreakBefore w:val="0"/>
              <w:kinsoku/>
              <w:wordWrap/>
              <w:overflowPunct/>
              <w:topLinePunct w:val="0"/>
              <w:autoSpaceDE/>
              <w:autoSpaceDN/>
              <w:bidi w:val="0"/>
              <w:adjustRightInd/>
              <w:snapToGrid/>
              <w:spacing w:line="480" w:lineRule="exact"/>
              <w:ind w:firstLine="476" w:firstLineChars="200"/>
              <w:textAlignment w:val="auto"/>
              <w:rPr>
                <w:rFonts w:ascii="Times New Roman" w:hAnsi="Times New Roman" w:cs="Times New Roman"/>
                <w:color w:val="auto"/>
                <w:lang w:eastAsia="zh-CN"/>
              </w:rPr>
            </w:pPr>
            <w:r>
              <w:rPr>
                <w:rFonts w:ascii="Times New Roman" w:hAnsi="Times New Roman" w:eastAsia="Times New Roman" w:cs="Times New Roman"/>
                <w:color w:val="auto"/>
                <w:spacing w:val="-1"/>
                <w:lang w:eastAsia="zh-CN"/>
              </w:rPr>
              <w:t>k</w:t>
            </w:r>
            <w:r>
              <w:rPr>
                <w:rFonts w:ascii="Times New Roman" w:hAnsi="Times New Roman" w:eastAsia="Times New Roman" w:cs="Times New Roman"/>
                <w:color w:val="auto"/>
                <w:spacing w:val="-1"/>
                <w:position w:val="-1"/>
                <w:sz w:val="16"/>
                <w:szCs w:val="16"/>
                <w:lang w:eastAsia="zh-CN"/>
              </w:rPr>
              <w:t>i</w:t>
            </w:r>
            <w:r>
              <w:rPr>
                <w:color w:val="auto"/>
                <w:spacing w:val="-1"/>
                <w:lang w:eastAsia="zh-CN"/>
              </w:rPr>
              <w:t>为物料的粒度乘数，无量纲。</w:t>
            </w:r>
            <w:r>
              <w:rPr>
                <w:rFonts w:ascii="Times New Roman" w:hAnsi="Times New Roman" w:eastAsia="Times New Roman" w:cs="Times New Roman"/>
                <w:color w:val="auto"/>
                <w:spacing w:val="-1"/>
                <w:lang w:eastAsia="zh-CN"/>
              </w:rPr>
              <w:t>TSP</w:t>
            </w:r>
            <w:r>
              <w:rPr>
                <w:color w:val="auto"/>
                <w:spacing w:val="-1"/>
                <w:lang w:eastAsia="zh-CN"/>
              </w:rPr>
              <w:t>取</w:t>
            </w:r>
            <w:r>
              <w:rPr>
                <w:rFonts w:ascii="Times New Roman" w:hAnsi="Times New Roman" w:cs="Times New Roman"/>
                <w:color w:val="auto"/>
                <w:spacing w:val="-1"/>
                <w:lang w:eastAsia="zh-CN"/>
              </w:rPr>
              <w:t>0.74</w:t>
            </w:r>
            <w:r>
              <w:rPr>
                <w:rFonts w:hint="eastAsia" w:ascii="Times New Roman" w:hAnsi="Times New Roman" w:cs="Times New Roman"/>
                <w:color w:val="auto"/>
                <w:spacing w:val="-1"/>
                <w:lang w:eastAsia="zh-CN"/>
              </w:rPr>
              <w:t>；</w:t>
            </w:r>
          </w:p>
          <w:p w14:paraId="7A9219F6">
            <w:pPr>
              <w:pStyle w:val="77"/>
              <w:keepNext w:val="0"/>
              <w:keepLines w:val="0"/>
              <w:pageBreakBefore w:val="0"/>
              <w:kinsoku/>
              <w:wordWrap/>
              <w:overflowPunct/>
              <w:topLinePunct w:val="0"/>
              <w:autoSpaceDE/>
              <w:autoSpaceDN/>
              <w:bidi w:val="0"/>
              <w:adjustRightInd/>
              <w:snapToGrid/>
              <w:spacing w:line="480" w:lineRule="exact"/>
              <w:ind w:firstLine="476" w:firstLineChars="200"/>
              <w:textAlignment w:val="auto"/>
              <w:rPr>
                <w:rFonts w:ascii="Times New Roman" w:hAnsi="Times New Roman" w:eastAsia="Times New Roman" w:cs="Times New Roman"/>
                <w:color w:val="auto"/>
                <w:lang w:eastAsia="zh-CN"/>
              </w:rPr>
            </w:pPr>
            <w:r>
              <w:rPr>
                <w:rFonts w:ascii="Times New Roman" w:hAnsi="Times New Roman" w:eastAsia="Times New Roman" w:cs="Times New Roman"/>
                <w:color w:val="auto"/>
                <w:spacing w:val="-1"/>
                <w:lang w:eastAsia="zh-CN"/>
              </w:rPr>
              <w:t>u</w:t>
            </w:r>
            <w:r>
              <w:rPr>
                <w:color w:val="auto"/>
                <w:spacing w:val="-1"/>
                <w:lang w:eastAsia="zh-CN"/>
              </w:rPr>
              <w:t>为地面平均风速，</w:t>
            </w:r>
            <w:r>
              <w:rPr>
                <w:rFonts w:ascii="Times New Roman" w:hAnsi="Times New Roman" w:eastAsia="Times New Roman" w:cs="Times New Roman"/>
                <w:color w:val="auto"/>
                <w:spacing w:val="-1"/>
                <w:lang w:eastAsia="zh-CN"/>
              </w:rPr>
              <w:t>m/s</w:t>
            </w:r>
            <w:r>
              <w:rPr>
                <w:color w:val="auto"/>
                <w:spacing w:val="-1"/>
                <w:lang w:eastAsia="zh-CN"/>
              </w:rPr>
              <w:t>，盂县年平均风速</w:t>
            </w:r>
            <w:r>
              <w:rPr>
                <w:rFonts w:ascii="Times New Roman" w:hAnsi="Times New Roman" w:eastAsia="Times New Roman" w:cs="Times New Roman"/>
                <w:color w:val="auto"/>
                <w:spacing w:val="-1"/>
                <w:lang w:eastAsia="zh-CN"/>
              </w:rPr>
              <w:t>2.8m/s</w:t>
            </w:r>
          </w:p>
          <w:p w14:paraId="026B3ADA">
            <w:pPr>
              <w:pStyle w:val="77"/>
              <w:keepNext w:val="0"/>
              <w:keepLines w:val="0"/>
              <w:pageBreakBefore w:val="0"/>
              <w:kinsoku/>
              <w:wordWrap/>
              <w:overflowPunct/>
              <w:topLinePunct w:val="0"/>
              <w:autoSpaceDE/>
              <w:autoSpaceDN/>
              <w:bidi w:val="0"/>
              <w:adjustRightInd/>
              <w:snapToGrid/>
              <w:spacing w:line="480" w:lineRule="exact"/>
              <w:ind w:firstLine="472" w:firstLineChars="200"/>
              <w:textAlignment w:val="auto"/>
              <w:rPr>
                <w:rFonts w:ascii="Times New Roman" w:hAnsi="Times New Roman" w:eastAsia="Times New Roman" w:cs="Times New Roman"/>
                <w:color w:val="auto"/>
                <w:lang w:eastAsia="zh-CN"/>
              </w:rPr>
            </w:pPr>
            <w:r>
              <w:rPr>
                <w:rFonts w:ascii="Times New Roman" w:hAnsi="Times New Roman" w:eastAsia="Times New Roman" w:cs="Times New Roman"/>
                <w:color w:val="auto"/>
                <w:spacing w:val="-2"/>
                <w:lang w:eastAsia="zh-CN"/>
              </w:rPr>
              <w:t>M</w:t>
            </w:r>
            <w:r>
              <w:rPr>
                <w:color w:val="auto"/>
                <w:spacing w:val="-2"/>
                <w:lang w:eastAsia="zh-CN"/>
              </w:rPr>
              <w:t>为物料含水率，</w:t>
            </w:r>
            <w:r>
              <w:rPr>
                <w:rFonts w:ascii="Times New Roman" w:hAnsi="Times New Roman" w:eastAsia="Times New Roman" w:cs="Times New Roman"/>
                <w:color w:val="auto"/>
                <w:spacing w:val="-2"/>
                <w:lang w:eastAsia="zh-CN"/>
              </w:rPr>
              <w:t>%</w:t>
            </w:r>
            <w:r>
              <w:rPr>
                <w:color w:val="auto"/>
                <w:spacing w:val="-2"/>
                <w:lang w:eastAsia="zh-CN"/>
              </w:rPr>
              <w:t>，</w:t>
            </w:r>
            <w:r>
              <w:rPr>
                <w:rFonts w:hint="eastAsia"/>
                <w:color w:val="auto"/>
                <w:spacing w:val="-2"/>
                <w:lang w:eastAsia="zh-CN"/>
              </w:rPr>
              <w:t>花岗岩</w:t>
            </w:r>
            <w:r>
              <w:rPr>
                <w:color w:val="auto"/>
                <w:spacing w:val="-2"/>
                <w:lang w:eastAsia="zh-CN"/>
              </w:rPr>
              <w:t>取</w:t>
            </w:r>
            <w:r>
              <w:rPr>
                <w:rFonts w:ascii="Times New Roman" w:hAnsi="Times New Roman" w:eastAsia="Times New Roman" w:cs="Times New Roman"/>
                <w:color w:val="auto"/>
                <w:spacing w:val="-2"/>
                <w:lang w:eastAsia="zh-CN"/>
              </w:rPr>
              <w:t>0.7</w:t>
            </w:r>
          </w:p>
          <w:p w14:paraId="11690162">
            <w:pPr>
              <w:pStyle w:val="77"/>
              <w:keepNext w:val="0"/>
              <w:keepLines w:val="0"/>
              <w:pageBreakBefore w:val="0"/>
              <w:kinsoku/>
              <w:wordWrap/>
              <w:overflowPunct/>
              <w:topLinePunct w:val="0"/>
              <w:autoSpaceDE/>
              <w:autoSpaceDN/>
              <w:bidi w:val="0"/>
              <w:adjustRightInd/>
              <w:snapToGrid/>
              <w:spacing w:line="480" w:lineRule="exact"/>
              <w:ind w:firstLine="476" w:firstLineChars="200"/>
              <w:textAlignment w:val="auto"/>
              <w:rPr>
                <w:color w:val="auto"/>
                <w:lang w:eastAsia="zh-CN"/>
              </w:rPr>
            </w:pPr>
            <w:r>
              <w:rPr>
                <w:color w:val="auto"/>
                <w:spacing w:val="-1"/>
                <w:lang w:eastAsia="zh-CN"/>
              </w:rPr>
              <w:t>经计算，装卸扬尘系数为</w:t>
            </w:r>
            <w:r>
              <w:rPr>
                <w:rFonts w:ascii="Times New Roman" w:hAnsi="Times New Roman" w:eastAsia="Times New Roman" w:cs="Times New Roman"/>
                <w:color w:val="auto"/>
                <w:spacing w:val="-1"/>
                <w:lang w:eastAsia="zh-CN"/>
              </w:rPr>
              <w:t>0.00</w:t>
            </w:r>
            <w:r>
              <w:rPr>
                <w:rFonts w:hint="eastAsia" w:ascii="Times New Roman" w:hAnsi="Times New Roman" w:cs="Times New Roman"/>
                <w:color w:val="auto"/>
                <w:spacing w:val="-1"/>
                <w:lang w:eastAsia="zh-CN"/>
              </w:rPr>
              <w:t>7</w:t>
            </w:r>
            <w:r>
              <w:rPr>
                <w:rFonts w:ascii="Times New Roman" w:hAnsi="Times New Roman" w:eastAsia="Times New Roman" w:cs="Times New Roman"/>
                <w:color w:val="auto"/>
                <w:spacing w:val="-1"/>
                <w:lang w:eastAsia="zh-CN"/>
              </w:rPr>
              <w:t>kg/t</w:t>
            </w:r>
            <w:r>
              <w:rPr>
                <w:color w:val="auto"/>
                <w:spacing w:val="-1"/>
                <w:lang w:eastAsia="zh-CN"/>
              </w:rPr>
              <w:t>。</w:t>
            </w:r>
          </w:p>
          <w:p w14:paraId="04CF735D">
            <w:pPr>
              <w:pStyle w:val="77"/>
              <w:keepNext w:val="0"/>
              <w:keepLines w:val="0"/>
              <w:pageBreakBefore w:val="0"/>
              <w:kinsoku/>
              <w:wordWrap/>
              <w:overflowPunct/>
              <w:topLinePunct w:val="0"/>
              <w:autoSpaceDE/>
              <w:autoSpaceDN/>
              <w:bidi w:val="0"/>
              <w:adjustRightInd/>
              <w:snapToGrid/>
              <w:spacing w:line="480" w:lineRule="exact"/>
              <w:ind w:firstLine="476" w:firstLineChars="200"/>
              <w:textAlignment w:val="auto"/>
              <w:rPr>
                <w:color w:val="auto"/>
                <w:lang w:eastAsia="zh-CN"/>
              </w:rPr>
            </w:pPr>
            <w:r>
              <w:rPr>
                <w:color w:val="auto"/>
                <w:spacing w:val="-1"/>
                <w:lang w:eastAsia="zh-CN"/>
              </w:rPr>
              <w:t>本项目年开采</w:t>
            </w:r>
            <w:r>
              <w:rPr>
                <w:rFonts w:ascii="Times New Roman" w:hAnsi="Times New Roman" w:cs="Times New Roman"/>
                <w:color w:val="auto"/>
                <w:spacing w:val="-1"/>
                <w:lang w:eastAsia="zh-CN"/>
              </w:rPr>
              <w:t>2</w:t>
            </w:r>
            <w:r>
              <w:rPr>
                <w:color w:val="auto"/>
                <w:spacing w:val="-1"/>
                <w:lang w:eastAsia="zh-CN"/>
              </w:rPr>
              <w:t>万</w:t>
            </w:r>
            <w:r>
              <w:rPr>
                <w:rFonts w:ascii="Times New Roman" w:hAnsi="Times New Roman" w:cs="Times New Roman"/>
                <w:color w:val="auto"/>
                <w:spacing w:val="-1"/>
                <w:lang w:eastAsia="zh-CN"/>
              </w:rPr>
              <w:t>m</w:t>
            </w:r>
            <w:r>
              <w:rPr>
                <w:rFonts w:ascii="Times New Roman" w:hAnsi="Times New Roman" w:cs="Times New Roman"/>
                <w:color w:val="auto"/>
                <w:spacing w:val="-1"/>
                <w:vertAlign w:val="superscript"/>
                <w:lang w:eastAsia="zh-CN"/>
              </w:rPr>
              <w:t>3</w:t>
            </w:r>
            <w:r>
              <w:rPr>
                <w:rFonts w:hint="eastAsia"/>
                <w:color w:val="auto"/>
                <w:spacing w:val="-1"/>
                <w:lang w:eastAsia="zh-CN"/>
              </w:rPr>
              <w:t>（</w:t>
            </w:r>
            <w:r>
              <w:rPr>
                <w:rFonts w:ascii="Times New Roman" w:hAnsi="Times New Roman" w:cs="Times New Roman"/>
                <w:color w:val="auto"/>
                <w:spacing w:val="-1"/>
                <w:lang w:eastAsia="zh-CN"/>
              </w:rPr>
              <w:t>密度2.8g/cm</w:t>
            </w:r>
            <w:r>
              <w:rPr>
                <w:rFonts w:ascii="Times New Roman" w:hAnsi="Times New Roman" w:cs="Times New Roman"/>
                <w:color w:val="auto"/>
                <w:spacing w:val="-1"/>
                <w:vertAlign w:val="superscript"/>
                <w:lang w:eastAsia="zh-CN"/>
              </w:rPr>
              <w:t>3</w:t>
            </w:r>
            <w:r>
              <w:rPr>
                <w:rFonts w:ascii="Times New Roman" w:hAnsi="Times New Roman" w:cs="Times New Roman"/>
                <w:color w:val="auto"/>
                <w:spacing w:val="-1"/>
                <w:lang w:eastAsia="zh-CN"/>
              </w:rPr>
              <w:t>，折合5.6万t/a</w:t>
            </w:r>
            <w:r>
              <w:rPr>
                <w:rFonts w:hint="eastAsia"/>
                <w:color w:val="auto"/>
                <w:spacing w:val="-1"/>
                <w:lang w:eastAsia="zh-CN"/>
              </w:rPr>
              <w:t>）饰面用花岗岩</w:t>
            </w:r>
            <w:r>
              <w:rPr>
                <w:color w:val="auto"/>
                <w:spacing w:val="-1"/>
                <w:lang w:eastAsia="zh-CN"/>
              </w:rPr>
              <w:t>，采装作业粉尘产生量为</w:t>
            </w:r>
            <w:r>
              <w:rPr>
                <w:rFonts w:hint="eastAsia" w:ascii="Times New Roman" w:hAnsi="Times New Roman" w:cs="Times New Roman"/>
                <w:color w:val="auto"/>
                <w:spacing w:val="-1"/>
                <w:lang w:eastAsia="zh-CN"/>
              </w:rPr>
              <w:t>7.0</w:t>
            </w:r>
            <w:r>
              <w:rPr>
                <w:rFonts w:ascii="Times New Roman" w:hAnsi="Times New Roman" w:eastAsia="Times New Roman" w:cs="Times New Roman"/>
                <w:color w:val="auto"/>
                <w:spacing w:val="-2"/>
                <w:lang w:eastAsia="zh-CN"/>
              </w:rPr>
              <w:t>t/a</w:t>
            </w:r>
            <w:r>
              <w:rPr>
                <w:color w:val="auto"/>
                <w:spacing w:val="-2"/>
                <w:lang w:eastAsia="zh-CN"/>
              </w:rPr>
              <w:t>。</w:t>
            </w:r>
          </w:p>
          <w:p w14:paraId="3A5C04C6">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color w:val="auto"/>
                <w:kern w:val="0"/>
                <w:sz w:val="24"/>
                <w:lang w:bidi="ar"/>
              </w:rPr>
            </w:pPr>
            <w:r>
              <w:rPr>
                <w:color w:val="auto"/>
                <w:kern w:val="0"/>
                <w:sz w:val="24"/>
                <w:lang w:bidi="ar"/>
              </w:rPr>
              <w:t>本次环评要求</w:t>
            </w:r>
            <w:r>
              <w:rPr>
                <w:rFonts w:hint="eastAsia"/>
                <w:color w:val="auto"/>
                <w:kern w:val="0"/>
                <w:sz w:val="24"/>
                <w:lang w:bidi="ar"/>
              </w:rPr>
              <w:t>装卸点配备2台雾炮机</w:t>
            </w:r>
            <w:r>
              <w:rPr>
                <w:rFonts w:hint="eastAsia"/>
                <w:color w:val="auto"/>
                <w:kern w:val="0"/>
                <w:sz w:val="24"/>
                <w:lang w:eastAsia="zh-CN" w:bidi="ar"/>
              </w:rPr>
              <w:t>，</w:t>
            </w:r>
            <w:r>
              <w:rPr>
                <w:color w:val="auto"/>
                <w:kern w:val="0"/>
                <w:sz w:val="24"/>
                <w:lang w:bidi="ar"/>
              </w:rPr>
              <w:t>在物料装卸过程中</w:t>
            </w:r>
            <w:r>
              <w:rPr>
                <w:rFonts w:hint="eastAsia"/>
                <w:color w:val="auto"/>
                <w:kern w:val="0"/>
                <w:sz w:val="24"/>
                <w:lang w:bidi="ar"/>
              </w:rPr>
              <w:t>采用雾炮机定点喷雾降尘，</w:t>
            </w:r>
            <w:r>
              <w:rPr>
                <w:color w:val="auto"/>
                <w:kern w:val="0"/>
                <w:sz w:val="24"/>
                <w:lang w:bidi="ar"/>
              </w:rPr>
              <w:t>抑尘效率能够达到8</w:t>
            </w:r>
            <w:r>
              <w:rPr>
                <w:rFonts w:hint="eastAsia"/>
                <w:color w:val="auto"/>
                <w:kern w:val="0"/>
                <w:sz w:val="24"/>
                <w:lang w:bidi="ar"/>
              </w:rPr>
              <w:t>0</w:t>
            </w:r>
            <w:r>
              <w:rPr>
                <w:color w:val="auto"/>
                <w:kern w:val="0"/>
                <w:sz w:val="24"/>
                <w:lang w:bidi="ar"/>
              </w:rPr>
              <w:t>%，则粉尘无组织排放量为</w:t>
            </w:r>
            <w:r>
              <w:rPr>
                <w:rFonts w:hint="eastAsia"/>
                <w:color w:val="auto"/>
                <w:kern w:val="0"/>
                <w:sz w:val="24"/>
                <w:lang w:bidi="ar"/>
              </w:rPr>
              <w:t>1.4</w:t>
            </w:r>
            <w:r>
              <w:rPr>
                <w:color w:val="auto"/>
                <w:kern w:val="0"/>
                <w:sz w:val="24"/>
                <w:lang w:bidi="ar"/>
              </w:rPr>
              <w:t>t/a。</w:t>
            </w:r>
          </w:p>
          <w:p w14:paraId="10F23558">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bCs/>
                <w:color w:val="auto"/>
                <w:kern w:val="0"/>
                <w:sz w:val="24"/>
                <w:lang w:bidi="ar"/>
              </w:rPr>
            </w:pPr>
            <w:r>
              <w:rPr>
                <w:rFonts w:hint="eastAsia"/>
                <w:bCs/>
                <w:color w:val="auto"/>
                <w:kern w:val="0"/>
                <w:sz w:val="24"/>
                <w:lang w:bidi="ar"/>
              </w:rPr>
              <w:t>③分割、整形粉尘</w:t>
            </w:r>
          </w:p>
          <w:p w14:paraId="111C7517">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color w:val="auto"/>
                <w:sz w:val="24"/>
              </w:rPr>
            </w:pPr>
            <w:r>
              <w:rPr>
                <w:color w:val="auto"/>
                <w:sz w:val="24"/>
              </w:rPr>
              <w:t>项目采用金刚石串珠锯将长条块石分割为荒料毛坯，为湿式切割，主要为降低切割摩擦产生的高温，采取水喷淋方式进行降温，同时起到降尘抑尘作用。由于采出矿石表层含有水分，在分割和整形过程中产生的粉尘量也很少。</w:t>
            </w:r>
          </w:p>
          <w:p w14:paraId="462F891C">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b/>
                <w:bCs/>
                <w:color w:val="auto"/>
                <w:kern w:val="0"/>
                <w:sz w:val="24"/>
                <w:lang w:bidi="ar"/>
              </w:rPr>
            </w:pPr>
            <w:r>
              <w:rPr>
                <w:color w:val="auto"/>
                <w:sz w:val="24"/>
              </w:rPr>
              <w:t>类比同类型饰面用花岗岩开采矿山，矿山开采产尘量与开采产生的矿石量有关，每开采1m</w:t>
            </w:r>
            <w:r>
              <w:rPr>
                <w:color w:val="auto"/>
                <w:sz w:val="24"/>
                <w:vertAlign w:val="superscript"/>
              </w:rPr>
              <w:t>3</w:t>
            </w:r>
            <w:r>
              <w:rPr>
                <w:color w:val="auto"/>
                <w:sz w:val="24"/>
              </w:rPr>
              <w:t>矿石产尘量为25g，项目荒料量2万m</w:t>
            </w:r>
            <w:r>
              <w:rPr>
                <w:color w:val="auto"/>
                <w:sz w:val="24"/>
                <w:vertAlign w:val="superscript"/>
              </w:rPr>
              <w:t>3</w:t>
            </w:r>
            <w:r>
              <w:rPr>
                <w:color w:val="auto"/>
                <w:sz w:val="24"/>
              </w:rPr>
              <w:t>/a，则项目</w:t>
            </w:r>
            <w:r>
              <w:rPr>
                <w:rFonts w:hint="eastAsia"/>
                <w:color w:val="auto"/>
                <w:sz w:val="24"/>
              </w:rPr>
              <w:t>分割及整形</w:t>
            </w:r>
            <w:r>
              <w:rPr>
                <w:color w:val="auto"/>
                <w:sz w:val="24"/>
              </w:rPr>
              <w:t>粉尘产生量为</w:t>
            </w:r>
            <w:r>
              <w:rPr>
                <w:rFonts w:hint="eastAsia"/>
                <w:color w:val="auto"/>
                <w:sz w:val="24"/>
              </w:rPr>
              <w:t>0.</w:t>
            </w:r>
            <w:r>
              <w:rPr>
                <w:color w:val="auto"/>
                <w:sz w:val="24"/>
              </w:rPr>
              <w:t>5t/a。</w:t>
            </w:r>
            <w:r>
              <w:rPr>
                <w:rFonts w:hint="eastAsia"/>
                <w:color w:val="auto"/>
                <w:sz w:val="24"/>
                <w:lang w:val="en-US" w:eastAsia="zh-CN"/>
              </w:rPr>
              <w:t>本次评价要求工作点配备1台雾炮机，</w:t>
            </w:r>
            <w:r>
              <w:rPr>
                <w:color w:val="auto"/>
                <w:sz w:val="24"/>
              </w:rPr>
              <w:t>项目采用湿式切割，洒水降尘，经采取以上措施后，无组织粉尘产生量可减少90%，则本项目开采产生粉尘量约</w:t>
            </w:r>
            <w:r>
              <w:rPr>
                <w:rFonts w:hint="eastAsia"/>
                <w:color w:val="auto"/>
                <w:sz w:val="24"/>
              </w:rPr>
              <w:t>0.05</w:t>
            </w:r>
            <w:r>
              <w:rPr>
                <w:color w:val="auto"/>
                <w:sz w:val="24"/>
              </w:rPr>
              <w:t>t/a，0.106kg/h。</w:t>
            </w:r>
          </w:p>
          <w:p w14:paraId="4C32F82A">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color w:val="auto"/>
                <w:kern w:val="0"/>
                <w:sz w:val="24"/>
                <w:lang w:bidi="ar"/>
              </w:rPr>
            </w:pPr>
            <w:r>
              <w:rPr>
                <w:rFonts w:hint="eastAsia" w:ascii="宋体" w:hAnsi="宋体" w:cs="宋体"/>
                <w:color w:val="auto"/>
                <w:kern w:val="0"/>
                <w:sz w:val="24"/>
                <w:lang w:bidi="ar"/>
              </w:rPr>
              <w:t>④</w:t>
            </w:r>
            <w:r>
              <w:rPr>
                <w:color w:val="auto"/>
                <w:kern w:val="0"/>
                <w:sz w:val="24"/>
                <w:lang w:bidi="ar"/>
              </w:rPr>
              <w:t>道路运输扬尘</w:t>
            </w:r>
          </w:p>
          <w:p w14:paraId="69308FED">
            <w:pPr>
              <w:pStyle w:val="77"/>
              <w:keepNext w:val="0"/>
              <w:keepLines w:val="0"/>
              <w:pageBreakBefore w:val="0"/>
              <w:kinsoku/>
              <w:wordWrap/>
              <w:overflowPunct/>
              <w:topLinePunct w:val="0"/>
              <w:autoSpaceDE/>
              <w:autoSpaceDN/>
              <w:bidi w:val="0"/>
              <w:adjustRightInd/>
              <w:snapToGrid/>
              <w:spacing w:line="480" w:lineRule="exact"/>
              <w:ind w:firstLine="468" w:firstLineChars="200"/>
              <w:textAlignment w:val="auto"/>
              <w:rPr>
                <w:color w:val="auto"/>
                <w:lang w:eastAsia="zh-CN"/>
              </w:rPr>
            </w:pPr>
            <w:r>
              <w:rPr>
                <w:color w:val="auto"/>
                <w:spacing w:val="-3"/>
                <w:lang w:eastAsia="zh-CN"/>
              </w:rPr>
              <w:t>本项目运输量约</w:t>
            </w:r>
            <w:r>
              <w:rPr>
                <w:rFonts w:ascii="Times New Roman" w:hAnsi="Times New Roman" w:cs="Times New Roman"/>
                <w:color w:val="auto"/>
                <w:spacing w:val="-3"/>
                <w:lang w:eastAsia="zh-CN"/>
              </w:rPr>
              <w:t>5</w:t>
            </w:r>
            <w:r>
              <w:rPr>
                <w:rFonts w:hint="eastAsia" w:ascii="Times New Roman" w:hAnsi="Times New Roman" w:cs="Times New Roman"/>
                <w:color w:val="auto"/>
                <w:spacing w:val="-3"/>
                <w:lang w:eastAsia="zh-CN"/>
              </w:rPr>
              <w:t>.6</w:t>
            </w:r>
            <w:r>
              <w:rPr>
                <w:color w:val="auto"/>
                <w:spacing w:val="-3"/>
                <w:lang w:eastAsia="zh-CN"/>
              </w:rPr>
              <w:t>万</w:t>
            </w:r>
            <w:r>
              <w:rPr>
                <w:rFonts w:ascii="Times New Roman" w:hAnsi="Times New Roman" w:eastAsia="Times New Roman" w:cs="Times New Roman"/>
                <w:color w:val="auto"/>
                <w:spacing w:val="-3"/>
                <w:lang w:eastAsia="zh-CN"/>
              </w:rPr>
              <w:t>t/a</w:t>
            </w:r>
            <w:r>
              <w:rPr>
                <w:color w:val="auto"/>
                <w:spacing w:val="-3"/>
                <w:lang w:eastAsia="zh-CN"/>
              </w:rPr>
              <w:t>，以</w:t>
            </w:r>
            <w:r>
              <w:rPr>
                <w:rFonts w:hint="eastAsia" w:ascii="Times New Roman" w:hAnsi="Times New Roman" w:cs="Times New Roman"/>
                <w:color w:val="auto"/>
                <w:spacing w:val="-3"/>
                <w:lang w:eastAsia="zh-CN"/>
              </w:rPr>
              <w:t>3</w:t>
            </w:r>
            <w:r>
              <w:rPr>
                <w:rFonts w:ascii="Times New Roman" w:hAnsi="Times New Roman" w:eastAsia="Times New Roman" w:cs="Times New Roman"/>
                <w:color w:val="auto"/>
                <w:spacing w:val="-3"/>
                <w:lang w:eastAsia="zh-CN"/>
              </w:rPr>
              <w:t>0t</w:t>
            </w:r>
            <w:r>
              <w:rPr>
                <w:color w:val="auto"/>
                <w:spacing w:val="-3"/>
                <w:lang w:eastAsia="zh-CN"/>
              </w:rPr>
              <w:t>运输车计，进出场</w:t>
            </w:r>
            <w:r>
              <w:rPr>
                <w:color w:val="auto"/>
                <w:spacing w:val="-4"/>
                <w:lang w:eastAsia="zh-CN"/>
              </w:rPr>
              <w:t>车次为</w:t>
            </w:r>
            <w:r>
              <w:rPr>
                <w:rFonts w:ascii="Times New Roman" w:hAnsi="Times New Roman" w:eastAsia="Times New Roman" w:cs="Times New Roman"/>
                <w:color w:val="auto"/>
                <w:spacing w:val="-4"/>
                <w:lang w:eastAsia="zh-CN"/>
              </w:rPr>
              <w:t>1867</w:t>
            </w:r>
            <w:r>
              <w:rPr>
                <w:color w:val="auto"/>
                <w:spacing w:val="-4"/>
                <w:lang w:eastAsia="zh-CN"/>
              </w:rPr>
              <w:t>次</w:t>
            </w:r>
            <w:r>
              <w:rPr>
                <w:rFonts w:ascii="Times New Roman" w:hAnsi="Times New Roman" w:eastAsia="Times New Roman" w:cs="Times New Roman"/>
                <w:color w:val="auto"/>
                <w:spacing w:val="-4"/>
                <w:lang w:eastAsia="zh-CN"/>
              </w:rPr>
              <w:t>/</w:t>
            </w:r>
            <w:r>
              <w:rPr>
                <w:color w:val="auto"/>
                <w:spacing w:val="-4"/>
                <w:lang w:eastAsia="zh-CN"/>
              </w:rPr>
              <w:t>年。</w:t>
            </w:r>
          </w:p>
          <w:p w14:paraId="2699EA46">
            <w:pPr>
              <w:pStyle w:val="77"/>
              <w:keepNext w:val="0"/>
              <w:keepLines w:val="0"/>
              <w:pageBreakBefore w:val="0"/>
              <w:kinsoku/>
              <w:wordWrap/>
              <w:overflowPunct/>
              <w:topLinePunct w:val="0"/>
              <w:autoSpaceDE/>
              <w:autoSpaceDN/>
              <w:bidi w:val="0"/>
              <w:adjustRightInd/>
              <w:snapToGrid/>
              <w:spacing w:line="480" w:lineRule="exact"/>
              <w:ind w:firstLine="480" w:firstLineChars="200"/>
              <w:textAlignment w:val="auto"/>
              <w:rPr>
                <w:color w:val="auto"/>
                <w:lang w:eastAsia="zh-CN"/>
              </w:rPr>
            </w:pPr>
            <w:r>
              <w:rPr>
                <w:color w:val="auto"/>
                <w:lang w:eastAsia="zh-CN"/>
              </w:rPr>
              <w:t>本项目原料运输过程中产生道路运输扬尘</w:t>
            </w:r>
            <w:r>
              <w:rPr>
                <w:color w:val="auto"/>
                <w:spacing w:val="-1"/>
                <w:lang w:eastAsia="zh-CN"/>
              </w:rPr>
              <w:t>，根据《扬尘源颗粒物排放清单编制技术指南（试行）》中道路扬尘源排放量公式（</w:t>
            </w:r>
            <w:r>
              <w:rPr>
                <w:rFonts w:hint="eastAsia" w:ascii="Times New Roman" w:hAnsi="Times New Roman" w:cs="Times New Roman"/>
                <w:color w:val="auto"/>
                <w:spacing w:val="-1"/>
                <w:lang w:eastAsia="zh-CN"/>
              </w:rPr>
              <w:t>8</w:t>
            </w:r>
            <w:r>
              <w:rPr>
                <w:color w:val="auto"/>
                <w:spacing w:val="-1"/>
                <w:lang w:eastAsia="zh-CN"/>
              </w:rPr>
              <w:t>）进行计算。计算公</w:t>
            </w:r>
            <w:r>
              <w:rPr>
                <w:color w:val="auto"/>
                <w:spacing w:val="-13"/>
                <w:lang w:eastAsia="zh-CN"/>
              </w:rPr>
              <w:t>式如下：</w:t>
            </w:r>
          </w:p>
          <w:p w14:paraId="1CC25012">
            <w:pPr>
              <w:widowControl/>
              <w:spacing w:line="480" w:lineRule="exact"/>
              <w:ind w:firstLine="480" w:firstLineChars="200"/>
              <w:rPr>
                <w:color w:val="auto"/>
                <w:kern w:val="0"/>
                <w:sz w:val="24"/>
                <w:lang w:bidi="ar"/>
              </w:rPr>
            </w:pPr>
            <w:r>
              <w:rPr>
                <w:color w:val="auto"/>
                <w:kern w:val="0"/>
                <w:sz w:val="24"/>
                <w:lang w:bidi="ar"/>
              </w:rPr>
              <w:drawing>
                <wp:anchor distT="0" distB="0" distL="114300" distR="114300" simplePos="0" relativeHeight="251659264" behindDoc="1" locked="0" layoutInCell="1" allowOverlap="1">
                  <wp:simplePos x="0" y="0"/>
                  <wp:positionH relativeFrom="column">
                    <wp:posOffset>1186180</wp:posOffset>
                  </wp:positionH>
                  <wp:positionV relativeFrom="paragraph">
                    <wp:posOffset>133985</wp:posOffset>
                  </wp:positionV>
                  <wp:extent cx="2905125" cy="485775"/>
                  <wp:effectExtent l="0" t="0" r="9525" b="9525"/>
                  <wp:wrapNone/>
                  <wp:docPr id="12" name="图片 12" descr="QQ20250828-112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QQ20250828-112821"/>
                          <pic:cNvPicPr>
                            <a:picLocks noChangeAspect="1"/>
                          </pic:cNvPicPr>
                        </pic:nvPicPr>
                        <pic:blipFill>
                          <a:blip r:embed="rId15"/>
                          <a:stretch>
                            <a:fillRect/>
                          </a:stretch>
                        </pic:blipFill>
                        <pic:spPr>
                          <a:xfrm>
                            <a:off x="0" y="0"/>
                            <a:ext cx="2905125" cy="485775"/>
                          </a:xfrm>
                          <a:prstGeom prst="rect">
                            <a:avLst/>
                          </a:prstGeom>
                        </pic:spPr>
                      </pic:pic>
                    </a:graphicData>
                  </a:graphic>
                </wp:anchor>
              </w:drawing>
            </w:r>
          </w:p>
          <w:p w14:paraId="2427FDE4">
            <w:pPr>
              <w:widowControl/>
              <w:spacing w:line="480" w:lineRule="exact"/>
              <w:ind w:firstLine="480" w:firstLineChars="200"/>
              <w:rPr>
                <w:color w:val="auto"/>
                <w:kern w:val="0"/>
                <w:sz w:val="24"/>
                <w:lang w:bidi="ar"/>
              </w:rPr>
            </w:pPr>
          </w:p>
          <w:p w14:paraId="57A84E89">
            <w:pPr>
              <w:widowControl/>
              <w:spacing w:line="480" w:lineRule="exact"/>
              <w:ind w:firstLine="480" w:firstLineChars="200"/>
              <w:rPr>
                <w:color w:val="auto"/>
                <w:sz w:val="24"/>
              </w:rPr>
            </w:pPr>
            <w:r>
              <w:rPr>
                <w:color w:val="auto"/>
                <w:sz w:val="24"/>
              </w:rPr>
              <w:t>式中：WRi——道路扬尘源中颗粒物PMi的总排放量，t/a；</w:t>
            </w:r>
          </w:p>
          <w:p w14:paraId="069DA07A">
            <w:pPr>
              <w:widowControl/>
              <w:spacing w:line="480" w:lineRule="exact"/>
              <w:ind w:firstLine="1200" w:firstLineChars="500"/>
              <w:rPr>
                <w:rFonts w:ascii="宋体" w:hAnsi="宋体" w:cs="宋体"/>
                <w:color w:val="auto"/>
                <w:sz w:val="24"/>
              </w:rPr>
            </w:pPr>
            <w:r>
              <w:rPr>
                <w:color w:val="auto"/>
                <w:sz w:val="24"/>
              </w:rPr>
              <w:t>ERi——道路扬尘源中PMi平均排放系数，g/(km.辆)；</w:t>
            </w:r>
          </w:p>
          <w:p w14:paraId="70A02E2F">
            <w:pPr>
              <w:pStyle w:val="77"/>
              <w:spacing w:line="480" w:lineRule="exact"/>
              <w:ind w:firstLine="1180" w:firstLineChars="500"/>
              <w:rPr>
                <w:color w:val="auto"/>
                <w:lang w:eastAsia="zh-CN"/>
              </w:rPr>
            </w:pPr>
            <w:r>
              <w:rPr>
                <w:rFonts w:ascii="Times New Roman" w:hAnsi="Times New Roman" w:eastAsia="Times New Roman" w:cs="Times New Roman"/>
                <w:color w:val="auto"/>
                <w:spacing w:val="-2"/>
                <w:lang w:eastAsia="zh-CN"/>
              </w:rPr>
              <w:t>L</w:t>
            </w:r>
            <w:r>
              <w:rPr>
                <w:rFonts w:ascii="Times New Roman" w:hAnsi="Times New Roman" w:eastAsia="Times New Roman" w:cs="Times New Roman"/>
                <w:color w:val="auto"/>
                <w:spacing w:val="-2"/>
                <w:position w:val="-1"/>
                <w:sz w:val="16"/>
                <w:szCs w:val="16"/>
                <w:lang w:eastAsia="zh-CN"/>
              </w:rPr>
              <w:t>R</w:t>
            </w:r>
            <w:r>
              <w:rPr>
                <w:color w:val="auto"/>
                <w:spacing w:val="-2"/>
                <w:lang w:eastAsia="zh-CN"/>
              </w:rPr>
              <w:t>——道路长度，</w:t>
            </w:r>
            <w:r>
              <w:rPr>
                <w:rFonts w:ascii="Times New Roman" w:hAnsi="Times New Roman" w:eastAsia="Times New Roman" w:cs="Times New Roman"/>
                <w:color w:val="auto"/>
                <w:spacing w:val="-2"/>
                <w:lang w:eastAsia="zh-CN"/>
              </w:rPr>
              <w:t>km</w:t>
            </w:r>
            <w:r>
              <w:rPr>
                <w:color w:val="auto"/>
                <w:spacing w:val="-2"/>
                <w:lang w:eastAsia="zh-CN"/>
              </w:rPr>
              <w:t>，</w:t>
            </w:r>
            <w:r>
              <w:rPr>
                <w:rFonts w:ascii="Times New Roman" w:hAnsi="Times New Roman" w:cs="Times New Roman"/>
                <w:color w:val="auto"/>
                <w:kern w:val="0"/>
                <w:lang w:eastAsia="zh-CN" w:bidi="ar"/>
              </w:rPr>
              <w:t>平均运距为</w:t>
            </w:r>
            <w:r>
              <w:rPr>
                <w:rFonts w:ascii="Times New Roman" w:hAnsi="Times New Roman" w:cs="Times New Roman"/>
                <w:color w:val="auto"/>
                <w:spacing w:val="-2"/>
                <w:lang w:eastAsia="zh-CN"/>
              </w:rPr>
              <w:t>1</w:t>
            </w:r>
            <w:r>
              <w:rPr>
                <w:rFonts w:ascii="Times New Roman" w:hAnsi="Times New Roman" w:eastAsia="Times New Roman" w:cs="Times New Roman"/>
                <w:color w:val="auto"/>
                <w:spacing w:val="-2"/>
                <w:lang w:eastAsia="zh-CN"/>
              </w:rPr>
              <w:t>km</w:t>
            </w:r>
            <w:r>
              <w:rPr>
                <w:color w:val="auto"/>
                <w:spacing w:val="-2"/>
                <w:lang w:eastAsia="zh-CN"/>
              </w:rPr>
              <w:t>；</w:t>
            </w:r>
          </w:p>
          <w:p w14:paraId="433D45EF">
            <w:pPr>
              <w:pStyle w:val="77"/>
              <w:spacing w:line="480" w:lineRule="exact"/>
              <w:ind w:firstLine="1200" w:firstLineChars="500"/>
              <w:rPr>
                <w:color w:val="auto"/>
                <w:lang w:eastAsia="zh-CN"/>
              </w:rPr>
            </w:pPr>
            <w:r>
              <w:rPr>
                <w:rFonts w:ascii="Times New Roman" w:hAnsi="Times New Roman" w:eastAsia="Times New Roman" w:cs="Times New Roman"/>
                <w:color w:val="auto"/>
                <w:lang w:eastAsia="zh-CN"/>
              </w:rPr>
              <w:t>N</w:t>
            </w:r>
            <w:r>
              <w:rPr>
                <w:rFonts w:ascii="Times New Roman" w:hAnsi="Times New Roman" w:eastAsia="Times New Roman" w:cs="Times New Roman"/>
                <w:color w:val="auto"/>
                <w:position w:val="-1"/>
                <w:sz w:val="16"/>
                <w:szCs w:val="16"/>
                <w:lang w:eastAsia="zh-CN"/>
              </w:rPr>
              <w:t>R</w:t>
            </w:r>
            <w:r>
              <w:rPr>
                <w:color w:val="auto"/>
                <w:lang w:eastAsia="zh-CN"/>
              </w:rPr>
              <w:t>——一定时期内车辆在该段道路上的平均车流量，辆</w:t>
            </w:r>
            <w:r>
              <w:rPr>
                <w:rFonts w:ascii="Times New Roman" w:hAnsi="Times New Roman" w:eastAsia="Times New Roman" w:cs="Times New Roman"/>
                <w:color w:val="auto"/>
                <w:lang w:eastAsia="zh-CN"/>
              </w:rPr>
              <w:t>/a</w:t>
            </w:r>
            <w:r>
              <w:rPr>
                <w:color w:val="auto"/>
                <w:spacing w:val="-1"/>
                <w:lang w:eastAsia="zh-CN"/>
              </w:rPr>
              <w:t>，项目道路车流量</w:t>
            </w:r>
            <w:r>
              <w:rPr>
                <w:color w:val="auto"/>
                <w:spacing w:val="-3"/>
                <w:lang w:eastAsia="zh-CN"/>
              </w:rPr>
              <w:t>约为</w:t>
            </w:r>
            <w:r>
              <w:rPr>
                <w:rFonts w:ascii="Times New Roman" w:hAnsi="Times New Roman" w:eastAsia="Times New Roman" w:cs="Times New Roman"/>
                <w:color w:val="auto"/>
                <w:spacing w:val="-3"/>
                <w:lang w:eastAsia="zh-CN"/>
              </w:rPr>
              <w:t>1867</w:t>
            </w:r>
            <w:r>
              <w:rPr>
                <w:color w:val="auto"/>
                <w:spacing w:val="-3"/>
                <w:lang w:eastAsia="zh-CN"/>
              </w:rPr>
              <w:t>辆</w:t>
            </w:r>
            <w:r>
              <w:rPr>
                <w:rFonts w:ascii="Times New Roman" w:hAnsi="Times New Roman" w:eastAsia="Times New Roman" w:cs="Times New Roman"/>
                <w:color w:val="auto"/>
                <w:spacing w:val="-3"/>
                <w:lang w:eastAsia="zh-CN"/>
              </w:rPr>
              <w:t>/a</w:t>
            </w:r>
            <w:r>
              <w:rPr>
                <w:color w:val="auto"/>
                <w:spacing w:val="-3"/>
                <w:lang w:eastAsia="zh-CN"/>
              </w:rPr>
              <w:t>。</w:t>
            </w:r>
          </w:p>
          <w:p w14:paraId="27E0E270">
            <w:pPr>
              <w:pStyle w:val="77"/>
              <w:spacing w:line="480" w:lineRule="exact"/>
              <w:ind w:firstLine="1190" w:firstLineChars="500"/>
              <w:rPr>
                <w:color w:val="auto"/>
                <w:lang w:eastAsia="zh-CN"/>
              </w:rPr>
            </w:pPr>
            <w:r>
              <w:rPr>
                <w:rFonts w:ascii="Times New Roman" w:hAnsi="Times New Roman" w:eastAsia="Times New Roman" w:cs="Times New Roman"/>
                <w:color w:val="auto"/>
                <w:spacing w:val="-1"/>
                <w:lang w:eastAsia="zh-CN"/>
              </w:rPr>
              <w:t>n</w:t>
            </w:r>
            <w:r>
              <w:rPr>
                <w:rFonts w:ascii="Times New Roman" w:hAnsi="Times New Roman" w:eastAsia="Times New Roman" w:cs="Times New Roman"/>
                <w:color w:val="auto"/>
                <w:spacing w:val="-1"/>
                <w:position w:val="-1"/>
                <w:sz w:val="16"/>
                <w:szCs w:val="16"/>
                <w:lang w:eastAsia="zh-CN"/>
              </w:rPr>
              <w:t>r</w:t>
            </w:r>
            <w:r>
              <w:rPr>
                <w:color w:val="auto"/>
                <w:spacing w:val="-1"/>
                <w:lang w:eastAsia="zh-CN"/>
              </w:rPr>
              <w:t>——不起尘天数，考虑项目不生产天数及区域</w:t>
            </w:r>
            <w:r>
              <w:rPr>
                <w:rFonts w:ascii="Times New Roman" w:hAnsi="Times New Roman" w:eastAsia="Times New Roman" w:cs="Times New Roman"/>
                <w:color w:val="auto"/>
                <w:spacing w:val="-1"/>
                <w:lang w:eastAsia="zh-CN"/>
              </w:rPr>
              <w:t>3-11</w:t>
            </w:r>
            <w:r>
              <w:rPr>
                <w:color w:val="auto"/>
                <w:spacing w:val="-1"/>
                <w:lang w:eastAsia="zh-CN"/>
              </w:rPr>
              <w:t>月平均降雨天数，项目</w:t>
            </w:r>
            <w:r>
              <w:rPr>
                <w:color w:val="auto"/>
                <w:spacing w:val="-6"/>
                <w:lang w:eastAsia="zh-CN"/>
              </w:rPr>
              <w:t>不起尘天数共计约</w:t>
            </w:r>
            <w:r>
              <w:rPr>
                <w:rFonts w:ascii="Times New Roman" w:hAnsi="Times New Roman" w:eastAsia="Times New Roman" w:cs="Times New Roman"/>
                <w:color w:val="auto"/>
                <w:spacing w:val="-6"/>
                <w:lang w:eastAsia="zh-CN"/>
              </w:rPr>
              <w:t>165</w:t>
            </w:r>
            <w:r>
              <w:rPr>
                <w:color w:val="auto"/>
                <w:spacing w:val="-6"/>
                <w:lang w:eastAsia="zh-CN"/>
              </w:rPr>
              <w:t>天。</w:t>
            </w:r>
          </w:p>
          <w:p w14:paraId="7D9DB9D9">
            <w:pPr>
              <w:widowControl/>
              <w:spacing w:line="480" w:lineRule="exact"/>
              <w:ind w:firstLine="480" w:firstLineChars="200"/>
              <w:rPr>
                <w:color w:val="auto"/>
                <w:kern w:val="0"/>
                <w:sz w:val="24"/>
                <w:lang w:bidi="ar"/>
              </w:rPr>
            </w:pPr>
            <w:r>
              <w:rPr>
                <w:color w:val="auto"/>
                <w:kern w:val="0"/>
                <w:sz w:val="24"/>
                <w:lang w:bidi="ar"/>
              </w:rPr>
              <w:drawing>
                <wp:anchor distT="0" distB="0" distL="114300" distR="114300" simplePos="0" relativeHeight="251661312" behindDoc="1" locked="0" layoutInCell="1" allowOverlap="1">
                  <wp:simplePos x="0" y="0"/>
                  <wp:positionH relativeFrom="column">
                    <wp:posOffset>1240790</wp:posOffset>
                  </wp:positionH>
                  <wp:positionV relativeFrom="paragraph">
                    <wp:posOffset>561340</wp:posOffset>
                  </wp:positionV>
                  <wp:extent cx="2057400" cy="419100"/>
                  <wp:effectExtent l="0" t="0" r="0" b="0"/>
                  <wp:wrapNone/>
                  <wp:docPr id="19" name="图片 19" descr="QQ20250828-110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QQ20250828-110112"/>
                          <pic:cNvPicPr>
                            <a:picLocks noChangeAspect="1"/>
                          </pic:cNvPicPr>
                        </pic:nvPicPr>
                        <pic:blipFill>
                          <a:blip r:embed="rId16"/>
                          <a:stretch>
                            <a:fillRect/>
                          </a:stretch>
                        </pic:blipFill>
                        <pic:spPr>
                          <a:xfrm>
                            <a:off x="0" y="0"/>
                            <a:ext cx="2057400" cy="419100"/>
                          </a:xfrm>
                          <a:prstGeom prst="rect">
                            <a:avLst/>
                          </a:prstGeom>
                        </pic:spPr>
                      </pic:pic>
                    </a:graphicData>
                  </a:graphic>
                </wp:anchor>
              </w:drawing>
            </w:r>
            <w:r>
              <w:rPr>
                <w:rFonts w:hint="eastAsia"/>
                <w:color w:val="auto"/>
                <w:kern w:val="0"/>
                <w:sz w:val="24"/>
                <w:lang w:bidi="ar"/>
              </w:rPr>
              <w:t>本项目运输道路均为铺装道路，</w:t>
            </w:r>
            <w:r>
              <w:rPr>
                <w:color w:val="auto"/>
                <w:kern w:val="0"/>
                <w:sz w:val="24"/>
                <w:lang w:bidi="ar"/>
              </w:rPr>
              <w:t>对于铺装道路，道路扬尘源排放系数EPi估算公式为：</w:t>
            </w:r>
          </w:p>
          <w:p w14:paraId="0B4771E5">
            <w:pPr>
              <w:widowControl/>
              <w:spacing w:line="480" w:lineRule="exact"/>
              <w:ind w:firstLine="480" w:firstLineChars="200"/>
              <w:rPr>
                <w:color w:val="auto"/>
                <w:kern w:val="0"/>
                <w:sz w:val="24"/>
                <w:lang w:bidi="ar"/>
              </w:rPr>
            </w:pPr>
          </w:p>
          <w:p w14:paraId="17718134">
            <w:pPr>
              <w:pStyle w:val="77"/>
              <w:spacing w:line="480" w:lineRule="exact"/>
              <w:ind w:firstLine="476" w:firstLineChars="200"/>
              <w:rPr>
                <w:color w:val="auto"/>
                <w:lang w:eastAsia="zh-CN"/>
              </w:rPr>
            </w:pPr>
            <w:r>
              <w:rPr>
                <w:color w:val="auto"/>
                <w:spacing w:val="-1"/>
                <w:lang w:eastAsia="zh-CN"/>
              </w:rPr>
              <w:t>式中：</w:t>
            </w:r>
            <w:r>
              <w:rPr>
                <w:rFonts w:ascii="Times New Roman" w:hAnsi="Times New Roman" w:eastAsia="Times New Roman" w:cs="Times New Roman"/>
                <w:color w:val="auto"/>
                <w:spacing w:val="-1"/>
                <w:lang w:eastAsia="zh-CN"/>
              </w:rPr>
              <w:t>E</w:t>
            </w:r>
            <w:r>
              <w:rPr>
                <w:rFonts w:ascii="Times New Roman" w:hAnsi="Times New Roman" w:eastAsia="Times New Roman" w:cs="Times New Roman"/>
                <w:color w:val="auto"/>
                <w:spacing w:val="-1"/>
                <w:position w:val="-1"/>
                <w:lang w:eastAsia="zh-CN"/>
              </w:rPr>
              <w:t>Pi</w:t>
            </w:r>
            <w:r>
              <w:rPr>
                <w:color w:val="auto"/>
                <w:spacing w:val="-1"/>
                <w:lang w:eastAsia="zh-CN"/>
              </w:rPr>
              <w:t>—铺装道路的扬尘中</w:t>
            </w:r>
            <w:r>
              <w:rPr>
                <w:rFonts w:ascii="Times New Roman" w:hAnsi="Times New Roman" w:eastAsia="Times New Roman" w:cs="Times New Roman"/>
                <w:color w:val="auto"/>
                <w:spacing w:val="-1"/>
                <w:lang w:eastAsia="zh-CN"/>
              </w:rPr>
              <w:t>P</w:t>
            </w:r>
            <w:r>
              <w:rPr>
                <w:rFonts w:ascii="Times New Roman" w:hAnsi="Times New Roman" w:eastAsia="Times New Roman" w:cs="Times New Roman"/>
                <w:color w:val="auto"/>
                <w:spacing w:val="-1"/>
                <w:position w:val="-1"/>
                <w:lang w:eastAsia="zh-CN"/>
              </w:rPr>
              <w:t>Mi</w:t>
            </w:r>
            <w:r>
              <w:rPr>
                <w:color w:val="auto"/>
                <w:spacing w:val="-1"/>
                <w:lang w:eastAsia="zh-CN"/>
              </w:rPr>
              <w:t>系数，</w:t>
            </w:r>
            <w:r>
              <w:rPr>
                <w:rFonts w:ascii="Times New Roman" w:hAnsi="Times New Roman" w:eastAsia="Times New Roman" w:cs="Times New Roman"/>
                <w:color w:val="auto"/>
                <w:spacing w:val="-1"/>
                <w:lang w:eastAsia="zh-CN"/>
              </w:rPr>
              <w:t>g/k</w:t>
            </w:r>
            <w:r>
              <w:rPr>
                <w:rFonts w:ascii="Times New Roman" w:hAnsi="Times New Roman" w:eastAsia="Times New Roman" w:cs="Times New Roman"/>
                <w:color w:val="auto"/>
                <w:spacing w:val="-2"/>
                <w:lang w:eastAsia="zh-CN"/>
              </w:rPr>
              <w:t>m</w:t>
            </w:r>
            <w:r>
              <w:rPr>
                <w:color w:val="auto"/>
                <w:spacing w:val="-2"/>
                <w:lang w:eastAsia="zh-CN"/>
              </w:rPr>
              <w:t>；</w:t>
            </w:r>
          </w:p>
          <w:p w14:paraId="18C776FD">
            <w:pPr>
              <w:pStyle w:val="77"/>
              <w:spacing w:line="480" w:lineRule="exact"/>
              <w:ind w:firstLine="1180" w:firstLineChars="500"/>
              <w:rPr>
                <w:color w:val="auto"/>
                <w:lang w:eastAsia="zh-CN"/>
              </w:rPr>
            </w:pPr>
            <w:r>
              <w:rPr>
                <w:rFonts w:ascii="Times New Roman" w:hAnsi="Times New Roman" w:eastAsia="Times New Roman" w:cs="Times New Roman"/>
                <w:color w:val="auto"/>
                <w:spacing w:val="-2"/>
                <w:lang w:eastAsia="zh-CN"/>
              </w:rPr>
              <w:t>k</w:t>
            </w:r>
            <w:r>
              <w:rPr>
                <w:rFonts w:ascii="Times New Roman" w:hAnsi="Times New Roman" w:eastAsia="Times New Roman" w:cs="Times New Roman"/>
                <w:color w:val="auto"/>
                <w:spacing w:val="-2"/>
                <w:position w:val="-1"/>
                <w:lang w:eastAsia="zh-CN"/>
              </w:rPr>
              <w:t>i</w:t>
            </w:r>
            <w:r>
              <w:rPr>
                <w:color w:val="auto"/>
                <w:spacing w:val="-2"/>
                <w:lang w:eastAsia="zh-CN"/>
              </w:rPr>
              <w:t>—产生的扬尘中</w:t>
            </w:r>
            <w:r>
              <w:rPr>
                <w:rFonts w:ascii="Times New Roman" w:hAnsi="Times New Roman" w:eastAsia="Times New Roman" w:cs="Times New Roman"/>
                <w:color w:val="auto"/>
                <w:spacing w:val="-2"/>
                <w:lang w:eastAsia="zh-CN"/>
              </w:rPr>
              <w:t>P</w:t>
            </w:r>
            <w:r>
              <w:rPr>
                <w:rFonts w:ascii="Times New Roman" w:hAnsi="Times New Roman" w:eastAsia="Times New Roman" w:cs="Times New Roman"/>
                <w:color w:val="auto"/>
                <w:spacing w:val="-2"/>
                <w:position w:val="-1"/>
                <w:lang w:eastAsia="zh-CN"/>
              </w:rPr>
              <w:t>Mi</w:t>
            </w:r>
            <w:r>
              <w:rPr>
                <w:color w:val="auto"/>
                <w:spacing w:val="-2"/>
                <w:lang w:eastAsia="zh-CN"/>
              </w:rPr>
              <w:t>的粒度乘数，参考技术指南表</w:t>
            </w:r>
            <w:r>
              <w:rPr>
                <w:rFonts w:ascii="Times New Roman" w:hAnsi="Times New Roman" w:eastAsia="Times New Roman" w:cs="Times New Roman"/>
                <w:color w:val="auto"/>
                <w:spacing w:val="-2"/>
                <w:lang w:eastAsia="zh-CN"/>
              </w:rPr>
              <w:t>5</w:t>
            </w:r>
            <w:r>
              <w:rPr>
                <w:color w:val="auto"/>
                <w:spacing w:val="-2"/>
                <w:lang w:eastAsia="zh-CN"/>
              </w:rPr>
              <w:t>，</w:t>
            </w:r>
            <w:r>
              <w:rPr>
                <w:rFonts w:ascii="Times New Roman" w:hAnsi="Times New Roman" w:eastAsia="Times New Roman" w:cs="Times New Roman"/>
                <w:color w:val="auto"/>
                <w:spacing w:val="-3"/>
                <w:lang w:eastAsia="zh-CN"/>
              </w:rPr>
              <w:t>TSP</w:t>
            </w:r>
            <w:r>
              <w:rPr>
                <w:color w:val="auto"/>
                <w:spacing w:val="-3"/>
                <w:lang w:eastAsia="zh-CN"/>
              </w:rPr>
              <w:t>为</w:t>
            </w:r>
            <w:r>
              <w:rPr>
                <w:rFonts w:ascii="Times New Roman" w:hAnsi="Times New Roman" w:eastAsia="Times New Roman" w:cs="Times New Roman"/>
                <w:color w:val="auto"/>
                <w:spacing w:val="-3"/>
                <w:lang w:eastAsia="zh-CN"/>
              </w:rPr>
              <w:t>3.23</w:t>
            </w:r>
            <w:r>
              <w:rPr>
                <w:color w:val="auto"/>
                <w:spacing w:val="-3"/>
                <w:lang w:eastAsia="zh-CN"/>
              </w:rPr>
              <w:t>；</w:t>
            </w:r>
          </w:p>
          <w:p w14:paraId="54EF4E85">
            <w:pPr>
              <w:pStyle w:val="77"/>
              <w:spacing w:line="480" w:lineRule="exact"/>
              <w:ind w:firstLine="1190" w:firstLineChars="500"/>
              <w:rPr>
                <w:color w:val="auto"/>
                <w:lang w:eastAsia="zh-CN"/>
              </w:rPr>
            </w:pPr>
            <w:r>
              <w:rPr>
                <w:rFonts w:ascii="Times New Roman" w:hAnsi="Times New Roman" w:eastAsia="Times New Roman" w:cs="Times New Roman"/>
                <w:color w:val="auto"/>
                <w:spacing w:val="-1"/>
                <w:lang w:eastAsia="zh-CN"/>
              </w:rPr>
              <w:t>sL</w:t>
            </w:r>
            <w:r>
              <w:rPr>
                <w:color w:val="auto"/>
                <w:spacing w:val="-1"/>
                <w:lang w:eastAsia="zh-CN"/>
              </w:rPr>
              <w:t>—道路积尘负荷，</w:t>
            </w:r>
            <w:r>
              <w:rPr>
                <w:rFonts w:ascii="Times New Roman" w:hAnsi="Times New Roman" w:eastAsia="Times New Roman" w:cs="Times New Roman"/>
                <w:color w:val="auto"/>
                <w:spacing w:val="-1"/>
                <w:lang w:eastAsia="zh-CN"/>
              </w:rPr>
              <w:t>g/m</w:t>
            </w:r>
            <w:r>
              <w:rPr>
                <w:rFonts w:hint="eastAsia" w:ascii="Times New Roman" w:hAnsi="Times New Roman" w:cs="Times New Roman"/>
                <w:color w:val="auto"/>
                <w:spacing w:val="-1"/>
                <w:vertAlign w:val="superscript"/>
                <w:lang w:eastAsia="zh-CN"/>
              </w:rPr>
              <w:t>2</w:t>
            </w:r>
            <w:r>
              <w:rPr>
                <w:color w:val="auto"/>
                <w:spacing w:val="-1"/>
                <w:lang w:eastAsia="zh-CN"/>
              </w:rPr>
              <w:t>；类比《防治城市扬尘污染技术规范》</w:t>
            </w:r>
          </w:p>
          <w:p w14:paraId="541E63EA">
            <w:pPr>
              <w:pStyle w:val="77"/>
              <w:spacing w:line="480" w:lineRule="exact"/>
              <w:ind w:firstLine="5"/>
              <w:rPr>
                <w:color w:val="auto"/>
                <w:lang w:eastAsia="zh-CN"/>
              </w:rPr>
            </w:pPr>
            <w:r>
              <w:rPr>
                <w:color w:val="auto"/>
                <w:spacing w:val="-1"/>
                <w:lang w:eastAsia="zh-CN"/>
              </w:rPr>
              <w:t>（</w:t>
            </w:r>
            <w:r>
              <w:rPr>
                <w:rFonts w:ascii="Times New Roman" w:hAnsi="Times New Roman" w:eastAsia="Times New Roman" w:cs="Times New Roman"/>
                <w:color w:val="auto"/>
                <w:spacing w:val="-1"/>
                <w:lang w:eastAsia="zh-CN"/>
              </w:rPr>
              <w:t>HJ/T 393-2007</w:t>
            </w:r>
            <w:r>
              <w:rPr>
                <w:color w:val="auto"/>
                <w:spacing w:val="-1"/>
                <w:lang w:eastAsia="zh-CN"/>
              </w:rPr>
              <w:t>）中的附录</w:t>
            </w:r>
            <w:r>
              <w:rPr>
                <w:rFonts w:ascii="Times New Roman" w:hAnsi="Times New Roman" w:eastAsia="Times New Roman" w:cs="Times New Roman"/>
                <w:color w:val="auto"/>
                <w:spacing w:val="-1"/>
                <w:lang w:eastAsia="zh-CN"/>
              </w:rPr>
              <w:t>C</w:t>
            </w:r>
            <w:r>
              <w:rPr>
                <w:color w:val="auto"/>
                <w:spacing w:val="-1"/>
                <w:lang w:eastAsia="zh-CN"/>
              </w:rPr>
              <w:t>中道路积尘负荷限定标准</w:t>
            </w:r>
            <w:r>
              <w:rPr>
                <w:color w:val="auto"/>
                <w:spacing w:val="-2"/>
                <w:lang w:eastAsia="zh-CN"/>
              </w:rPr>
              <w:t>参考值，本次评价选取</w:t>
            </w:r>
            <w:r>
              <w:rPr>
                <w:color w:val="auto"/>
                <w:spacing w:val="-1"/>
                <w:lang w:eastAsia="zh-CN"/>
              </w:rPr>
              <w:t>支路</w:t>
            </w:r>
            <w:r>
              <w:rPr>
                <w:rFonts w:hint="eastAsia"/>
                <w:color w:val="auto"/>
                <w:spacing w:val="-1"/>
                <w:lang w:eastAsia="zh-CN"/>
              </w:rPr>
              <w:t>－</w:t>
            </w:r>
            <w:r>
              <w:rPr>
                <w:color w:val="auto"/>
                <w:spacing w:val="-1"/>
                <w:lang w:eastAsia="zh-CN"/>
              </w:rPr>
              <w:t>道路类型“良”时的道路积尘负荷参考值</w:t>
            </w:r>
            <w:r>
              <w:rPr>
                <w:rFonts w:ascii="Times New Roman" w:hAnsi="Times New Roman" w:eastAsia="Times New Roman" w:cs="Times New Roman"/>
                <w:color w:val="auto"/>
                <w:spacing w:val="-1"/>
                <w:lang w:eastAsia="zh-CN"/>
              </w:rPr>
              <w:t>4.0</w:t>
            </w:r>
            <w:r>
              <w:rPr>
                <w:rFonts w:hint="eastAsia" w:ascii="Times New Roman" w:hAnsi="Times New Roman" w:eastAsia="Times New Roman" w:cs="Times New Roman"/>
                <w:color w:val="auto"/>
                <w:spacing w:val="-1"/>
                <w:lang w:eastAsia="zh-CN"/>
              </w:rPr>
              <w:t>—</w:t>
            </w:r>
            <w:r>
              <w:rPr>
                <w:rFonts w:ascii="Times New Roman" w:hAnsi="Times New Roman" w:eastAsia="Times New Roman" w:cs="Times New Roman"/>
                <w:color w:val="auto"/>
                <w:spacing w:val="-1"/>
                <w:lang w:eastAsia="zh-CN"/>
              </w:rPr>
              <w:t>8.0g/m</w:t>
            </w:r>
            <w:r>
              <w:rPr>
                <w:rFonts w:hint="eastAsia" w:ascii="Times New Roman" w:hAnsi="Times New Roman" w:cs="Times New Roman"/>
                <w:color w:val="auto"/>
                <w:spacing w:val="-1"/>
                <w:vertAlign w:val="superscript"/>
                <w:lang w:eastAsia="zh-CN"/>
              </w:rPr>
              <w:t>2</w:t>
            </w:r>
            <w:r>
              <w:rPr>
                <w:color w:val="auto"/>
                <w:spacing w:val="-1"/>
                <w:lang w:eastAsia="zh-CN"/>
              </w:rPr>
              <w:t>，本次取值</w:t>
            </w:r>
            <w:r>
              <w:rPr>
                <w:rFonts w:hint="eastAsia" w:ascii="Times New Roman" w:hAnsi="Times New Roman" w:cs="Times New Roman"/>
                <w:color w:val="auto"/>
                <w:spacing w:val="-1"/>
                <w:lang w:eastAsia="zh-CN"/>
              </w:rPr>
              <w:t>6</w:t>
            </w:r>
            <w:r>
              <w:rPr>
                <w:rFonts w:ascii="Times New Roman" w:hAnsi="Times New Roman" w:eastAsia="Times New Roman" w:cs="Times New Roman"/>
                <w:color w:val="auto"/>
                <w:spacing w:val="-1"/>
                <w:lang w:eastAsia="zh-CN"/>
              </w:rPr>
              <w:t>g/m</w:t>
            </w:r>
            <w:r>
              <w:rPr>
                <w:rFonts w:hint="eastAsia" w:ascii="Times New Roman" w:hAnsi="Times New Roman" w:cs="Times New Roman"/>
                <w:color w:val="auto"/>
                <w:spacing w:val="-1"/>
                <w:vertAlign w:val="superscript"/>
                <w:lang w:eastAsia="zh-CN"/>
              </w:rPr>
              <w:t>2</w:t>
            </w:r>
            <w:r>
              <w:rPr>
                <w:color w:val="auto"/>
                <w:spacing w:val="-1"/>
                <w:lang w:eastAsia="zh-CN"/>
              </w:rPr>
              <w:t>；</w:t>
            </w:r>
          </w:p>
          <w:p w14:paraId="14961207">
            <w:pPr>
              <w:pStyle w:val="77"/>
              <w:spacing w:line="480" w:lineRule="exact"/>
              <w:ind w:firstLine="1170" w:firstLineChars="500"/>
              <w:rPr>
                <w:color w:val="auto"/>
                <w:lang w:eastAsia="zh-CN"/>
              </w:rPr>
            </w:pPr>
            <w:r>
              <w:rPr>
                <w:rFonts w:ascii="Times New Roman" w:hAnsi="Times New Roman" w:eastAsia="Times New Roman" w:cs="Times New Roman"/>
                <w:color w:val="auto"/>
                <w:spacing w:val="-3"/>
                <w:lang w:eastAsia="zh-CN"/>
              </w:rPr>
              <w:t>W</w:t>
            </w:r>
            <w:r>
              <w:rPr>
                <w:color w:val="auto"/>
                <w:spacing w:val="-3"/>
                <w:lang w:eastAsia="zh-CN"/>
              </w:rPr>
              <w:t>—平均车重，</w:t>
            </w:r>
            <w:r>
              <w:rPr>
                <w:rFonts w:ascii="Times New Roman" w:hAnsi="Times New Roman" w:eastAsia="Times New Roman" w:cs="Times New Roman"/>
                <w:color w:val="auto"/>
                <w:spacing w:val="-3"/>
                <w:lang w:eastAsia="zh-CN"/>
              </w:rPr>
              <w:t>t</w:t>
            </w:r>
            <w:r>
              <w:rPr>
                <w:color w:val="auto"/>
                <w:spacing w:val="-3"/>
                <w:lang w:eastAsia="zh-CN"/>
              </w:rPr>
              <w:t>，</w:t>
            </w:r>
            <w:r>
              <w:rPr>
                <w:rFonts w:hint="eastAsia" w:ascii="Times New Roman" w:hAnsi="Times New Roman" w:cs="Times New Roman"/>
                <w:color w:val="auto"/>
                <w:spacing w:val="-3"/>
                <w:lang w:eastAsia="zh-CN"/>
              </w:rPr>
              <w:t>3</w:t>
            </w:r>
            <w:r>
              <w:rPr>
                <w:rFonts w:ascii="Times New Roman" w:hAnsi="Times New Roman" w:eastAsia="Times New Roman" w:cs="Times New Roman"/>
                <w:color w:val="auto"/>
                <w:spacing w:val="-3"/>
                <w:lang w:eastAsia="zh-CN"/>
              </w:rPr>
              <w:t>0t</w:t>
            </w:r>
            <w:r>
              <w:rPr>
                <w:color w:val="auto"/>
                <w:spacing w:val="-3"/>
                <w:lang w:eastAsia="zh-CN"/>
              </w:rPr>
              <w:t>；</w:t>
            </w:r>
          </w:p>
          <w:p w14:paraId="09653466">
            <w:pPr>
              <w:pStyle w:val="77"/>
              <w:spacing w:line="480" w:lineRule="exact"/>
              <w:ind w:firstLine="481"/>
              <w:rPr>
                <w:color w:val="auto"/>
                <w:lang w:eastAsia="zh-CN"/>
              </w:rPr>
            </w:pPr>
            <w:r>
              <w:rPr>
                <w:color w:val="auto"/>
                <w:spacing w:val="-2"/>
                <w:lang w:eastAsia="zh-CN"/>
              </w:rPr>
              <w:t>通过上述公式计算可知，本项目道路扬尘系数为</w:t>
            </w:r>
            <w:r>
              <w:rPr>
                <w:rFonts w:hint="eastAsia" w:ascii="Times New Roman" w:hAnsi="Times New Roman" w:cs="Times New Roman"/>
                <w:color w:val="auto"/>
                <w:spacing w:val="-2"/>
                <w:lang w:eastAsia="zh-CN"/>
              </w:rPr>
              <w:t>529.64</w:t>
            </w:r>
            <w:r>
              <w:rPr>
                <w:rFonts w:ascii="Times New Roman" w:hAnsi="Times New Roman" w:eastAsia="Times New Roman" w:cs="Times New Roman"/>
                <w:color w:val="auto"/>
                <w:spacing w:val="-3"/>
                <w:lang w:eastAsia="zh-CN"/>
              </w:rPr>
              <w:t>g/km</w:t>
            </w:r>
            <w:r>
              <w:rPr>
                <w:color w:val="auto"/>
                <w:spacing w:val="-3"/>
                <w:lang w:eastAsia="zh-CN"/>
              </w:rPr>
              <w:t>，本项目</w:t>
            </w:r>
            <w:r>
              <w:rPr>
                <w:rFonts w:ascii="Times New Roman" w:hAnsi="Times New Roman" w:cs="Times New Roman"/>
                <w:color w:val="auto"/>
                <w:kern w:val="0"/>
                <w:lang w:eastAsia="zh-CN" w:bidi="ar"/>
              </w:rPr>
              <w:t>平均运距为</w:t>
            </w:r>
            <w:r>
              <w:rPr>
                <w:rFonts w:ascii="Times New Roman" w:hAnsi="Times New Roman" w:cs="Times New Roman"/>
                <w:color w:val="auto"/>
                <w:spacing w:val="-2"/>
                <w:lang w:eastAsia="zh-CN"/>
              </w:rPr>
              <w:t>1</w:t>
            </w:r>
            <w:r>
              <w:rPr>
                <w:rFonts w:ascii="Times New Roman" w:hAnsi="Times New Roman" w:eastAsia="Times New Roman" w:cs="Times New Roman"/>
                <w:color w:val="auto"/>
                <w:spacing w:val="-2"/>
                <w:lang w:eastAsia="zh-CN"/>
              </w:rPr>
              <w:t>km</w:t>
            </w:r>
            <w:r>
              <w:rPr>
                <w:color w:val="auto"/>
                <w:spacing w:val="-2"/>
                <w:lang w:eastAsia="zh-CN"/>
              </w:rPr>
              <w:t>，则道路扬尘</w:t>
            </w:r>
            <w:r>
              <w:rPr>
                <w:rFonts w:hint="eastAsia"/>
                <w:color w:val="auto"/>
                <w:spacing w:val="-2"/>
                <w:lang w:eastAsia="zh-CN"/>
              </w:rPr>
              <w:t>产生量</w:t>
            </w:r>
            <w:r>
              <w:rPr>
                <w:color w:val="auto"/>
                <w:spacing w:val="-2"/>
                <w:lang w:eastAsia="zh-CN"/>
              </w:rPr>
              <w:t>约为</w:t>
            </w:r>
            <w:r>
              <w:rPr>
                <w:rFonts w:ascii="Times New Roman" w:hAnsi="Times New Roman" w:cs="Times New Roman"/>
                <w:color w:val="auto"/>
                <w:spacing w:val="-2"/>
                <w:lang w:eastAsia="zh-CN"/>
              </w:rPr>
              <w:t>1.96</w:t>
            </w:r>
            <w:r>
              <w:rPr>
                <w:rFonts w:ascii="Times New Roman" w:hAnsi="Times New Roman" w:eastAsia="Times New Roman" w:cs="Times New Roman"/>
                <w:color w:val="auto"/>
                <w:spacing w:val="-2"/>
                <w:lang w:eastAsia="zh-CN"/>
              </w:rPr>
              <w:t>t</w:t>
            </w:r>
            <w:r>
              <w:rPr>
                <w:rFonts w:ascii="Times New Roman" w:hAnsi="Times New Roman" w:eastAsia="Times New Roman" w:cs="Times New Roman"/>
                <w:color w:val="auto"/>
                <w:spacing w:val="-3"/>
                <w:lang w:eastAsia="zh-CN"/>
              </w:rPr>
              <w:t>/a</w:t>
            </w:r>
            <w:r>
              <w:rPr>
                <w:color w:val="auto"/>
                <w:spacing w:val="-3"/>
                <w:lang w:eastAsia="zh-CN"/>
              </w:rPr>
              <w:t>。</w:t>
            </w:r>
          </w:p>
          <w:p w14:paraId="4F3F9541">
            <w:pPr>
              <w:widowControl/>
              <w:spacing w:line="480" w:lineRule="exact"/>
              <w:ind w:firstLine="480" w:firstLineChars="200"/>
              <w:rPr>
                <w:color w:val="auto"/>
                <w:kern w:val="0"/>
                <w:sz w:val="24"/>
                <w:lang w:bidi="ar"/>
              </w:rPr>
            </w:pPr>
            <w:r>
              <w:rPr>
                <w:color w:val="auto"/>
                <w:kern w:val="0"/>
                <w:sz w:val="24"/>
                <w:lang w:bidi="ar"/>
              </w:rPr>
              <w:t>本次评价要求运输车辆采用厢式密闭汽车，禁止超载；</w:t>
            </w:r>
            <w:r>
              <w:rPr>
                <w:rFonts w:hint="eastAsia"/>
                <w:color w:val="auto"/>
                <w:kern w:val="0"/>
                <w:sz w:val="24"/>
                <w:lang w:bidi="ar"/>
              </w:rPr>
              <w:t>运矿</w:t>
            </w:r>
            <w:r>
              <w:rPr>
                <w:color w:val="auto"/>
                <w:kern w:val="0"/>
                <w:sz w:val="24"/>
                <w:lang w:bidi="ar"/>
              </w:rPr>
              <w:t>道路</w:t>
            </w:r>
            <w:r>
              <w:rPr>
                <w:rFonts w:hint="eastAsia"/>
                <w:color w:val="auto"/>
                <w:kern w:val="0"/>
                <w:sz w:val="24"/>
                <w:lang w:bidi="ar"/>
              </w:rPr>
              <w:t>采用混凝土硬化路面</w:t>
            </w:r>
            <w:r>
              <w:rPr>
                <w:color w:val="auto"/>
                <w:kern w:val="0"/>
                <w:sz w:val="24"/>
                <w:lang w:bidi="ar"/>
              </w:rPr>
              <w:t>，</w:t>
            </w:r>
            <w:r>
              <w:rPr>
                <w:rFonts w:hint="eastAsia"/>
                <w:color w:val="auto"/>
                <w:kern w:val="0"/>
                <w:sz w:val="24"/>
                <w:lang w:bidi="ar"/>
              </w:rPr>
              <w:t>同时配备洒水车、清扫车、雾炮车每天上午、下午分别对运矿道路进行清扫、洒水、喷雾抑尘</w:t>
            </w:r>
            <w:r>
              <w:rPr>
                <w:color w:val="auto"/>
                <w:kern w:val="0"/>
                <w:sz w:val="24"/>
                <w:lang w:bidi="ar"/>
              </w:rPr>
              <w:t>，</w:t>
            </w:r>
            <w:r>
              <w:rPr>
                <w:rFonts w:hint="eastAsia"/>
                <w:color w:val="auto"/>
                <w:kern w:val="0"/>
                <w:sz w:val="24"/>
                <w:lang w:bidi="ar"/>
              </w:rPr>
              <w:t>同时工业场地设置</w:t>
            </w:r>
            <w:r>
              <w:rPr>
                <w:color w:val="auto"/>
                <w:kern w:val="0"/>
                <w:sz w:val="24"/>
                <w:lang w:bidi="ar"/>
              </w:rPr>
              <w:t>车辆清洗平台对车身及轮胎进行冲洗抑尘效率能够达到8</w:t>
            </w:r>
            <w:r>
              <w:rPr>
                <w:rFonts w:hint="eastAsia"/>
                <w:color w:val="auto"/>
                <w:kern w:val="0"/>
                <w:sz w:val="24"/>
                <w:lang w:bidi="ar"/>
              </w:rPr>
              <w:t>0</w:t>
            </w:r>
            <w:r>
              <w:rPr>
                <w:color w:val="auto"/>
                <w:kern w:val="0"/>
                <w:sz w:val="24"/>
                <w:lang w:bidi="ar"/>
              </w:rPr>
              <w:t>%，则粉尘无组织排放量为0.392t/a。</w:t>
            </w:r>
          </w:p>
          <w:p w14:paraId="634A7C3F">
            <w:pPr>
              <w:widowControl/>
              <w:spacing w:line="480" w:lineRule="exact"/>
              <w:ind w:firstLine="480" w:firstLineChars="200"/>
              <w:rPr>
                <w:color w:val="auto"/>
                <w:kern w:val="0"/>
                <w:sz w:val="24"/>
                <w:lang w:bidi="ar"/>
              </w:rPr>
            </w:pPr>
            <w:r>
              <w:rPr>
                <w:rFonts w:hint="eastAsia"/>
                <w:color w:val="auto"/>
                <w:kern w:val="0"/>
                <w:sz w:val="24"/>
                <w:lang w:bidi="ar"/>
              </w:rPr>
              <w:t>2）排土场粉尘</w:t>
            </w:r>
          </w:p>
          <w:p w14:paraId="3337F9DB">
            <w:pPr>
              <w:widowControl/>
              <w:spacing w:line="480" w:lineRule="exact"/>
              <w:ind w:firstLine="480" w:firstLineChars="200"/>
              <w:rPr>
                <w:color w:val="auto"/>
                <w:kern w:val="0"/>
                <w:sz w:val="24"/>
                <w:lang w:bidi="ar"/>
              </w:rPr>
            </w:pPr>
            <w:r>
              <w:rPr>
                <w:rFonts w:hint="eastAsia"/>
                <w:color w:val="auto"/>
                <w:kern w:val="0"/>
                <w:sz w:val="24"/>
                <w:lang w:bidi="ar"/>
              </w:rPr>
              <w:t>排土场粉尘</w:t>
            </w:r>
            <w:r>
              <w:rPr>
                <w:rFonts w:hint="eastAsia"/>
                <w:color w:val="auto"/>
                <w:sz w:val="24"/>
              </w:rPr>
              <w:t>根据《排放源统计调查产排污核算方法和系数手册》中的“固体物料堆颗粒物产排污核算系数”，固体物料堆存颗粒物包括装卸扬尘和风蚀扬尘，颗粒物产生量核算公式如下：</w:t>
            </w:r>
          </w:p>
          <w:p w14:paraId="75E2CBBD">
            <w:pPr>
              <w:widowControl/>
              <w:jc w:val="center"/>
              <w:rPr>
                <w:color w:val="auto"/>
                <w:kern w:val="0"/>
                <w:sz w:val="24"/>
                <w:lang w:bidi="ar"/>
              </w:rPr>
            </w:pPr>
            <w:r>
              <w:rPr>
                <w:color w:val="auto"/>
              </w:rPr>
              <w:drawing>
                <wp:inline distT="0" distB="0" distL="114300" distR="114300">
                  <wp:extent cx="3597275" cy="335280"/>
                  <wp:effectExtent l="0" t="0" r="3175" b="7620"/>
                  <wp:docPr id="7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5"/>
                          <pic:cNvPicPr>
                            <a:picLocks noChangeAspect="1"/>
                          </pic:cNvPicPr>
                        </pic:nvPicPr>
                        <pic:blipFill>
                          <a:blip r:embed="rId17"/>
                          <a:stretch>
                            <a:fillRect/>
                          </a:stretch>
                        </pic:blipFill>
                        <pic:spPr>
                          <a:xfrm>
                            <a:off x="0" y="0"/>
                            <a:ext cx="3597275" cy="335280"/>
                          </a:xfrm>
                          <a:prstGeom prst="rect">
                            <a:avLst/>
                          </a:prstGeom>
                          <a:noFill/>
                          <a:ln>
                            <a:noFill/>
                          </a:ln>
                        </pic:spPr>
                      </pic:pic>
                    </a:graphicData>
                  </a:graphic>
                </wp:inline>
              </w:drawing>
            </w:r>
          </w:p>
          <w:p w14:paraId="5D3F1326">
            <w:pPr>
              <w:spacing w:line="480" w:lineRule="exact"/>
              <w:ind w:firstLine="480"/>
              <w:rPr>
                <w:color w:val="auto"/>
                <w:sz w:val="24"/>
              </w:rPr>
            </w:pPr>
            <w:r>
              <w:rPr>
                <w:rFonts w:hint="eastAsia"/>
                <w:color w:val="auto"/>
                <w:sz w:val="24"/>
              </w:rPr>
              <w:t>式</w:t>
            </w:r>
            <w:r>
              <w:rPr>
                <w:color w:val="auto"/>
                <w:sz w:val="24"/>
              </w:rPr>
              <w:t>中：P指颗粒物产生量  t/a</w:t>
            </w:r>
          </w:p>
          <w:p w14:paraId="27AEEF00">
            <w:pPr>
              <w:pStyle w:val="13"/>
              <w:ind w:right="25" w:firstLine="0" w:firstLineChars="0"/>
              <w:rPr>
                <w:color w:val="auto"/>
              </w:rPr>
            </w:pPr>
            <w:r>
              <w:rPr>
                <w:color w:val="auto"/>
              </w:rPr>
              <w:t xml:space="preserve">      ZCy指装卸扬尘产生量  t/a</w:t>
            </w:r>
          </w:p>
          <w:p w14:paraId="659FFCE3">
            <w:pPr>
              <w:pStyle w:val="13"/>
              <w:ind w:right="25" w:firstLine="461"/>
              <w:rPr>
                <w:color w:val="auto"/>
              </w:rPr>
            </w:pPr>
            <w:r>
              <w:rPr>
                <w:rFonts w:hint="eastAsia"/>
                <w:color w:val="auto"/>
              </w:rPr>
              <w:t xml:space="preserve">  FCy指风蚀扬尘产生量  t/a</w:t>
            </w:r>
          </w:p>
          <w:p w14:paraId="4D7A12CC">
            <w:pPr>
              <w:pStyle w:val="13"/>
              <w:ind w:left="0" w:right="0" w:rightChars="0" w:firstLine="940" w:firstLineChars="392"/>
              <w:rPr>
                <w:color w:val="auto"/>
              </w:rPr>
            </w:pPr>
            <w:r>
              <w:rPr>
                <w:rFonts w:hint="eastAsia"/>
                <w:color w:val="auto"/>
              </w:rPr>
              <w:t xml:space="preserve">  Nc指年物料运载车次，运载车次</w:t>
            </w:r>
            <w:r>
              <w:rPr>
                <w:color w:val="auto"/>
              </w:rPr>
              <w:t>1867</w:t>
            </w:r>
            <w:r>
              <w:rPr>
                <w:rFonts w:hint="eastAsia"/>
                <w:color w:val="auto"/>
              </w:rPr>
              <w:t>次/年；</w:t>
            </w:r>
          </w:p>
          <w:p w14:paraId="34C6248F">
            <w:pPr>
              <w:pStyle w:val="13"/>
              <w:ind w:right="25" w:firstLine="461"/>
              <w:rPr>
                <w:color w:val="auto"/>
              </w:rPr>
            </w:pPr>
            <w:r>
              <w:rPr>
                <w:rFonts w:hint="eastAsia"/>
                <w:color w:val="auto"/>
              </w:rPr>
              <w:t xml:space="preserve">  D指单车平均载运量，30t/次；</w:t>
            </w:r>
          </w:p>
          <w:p w14:paraId="5FAF6C78">
            <w:pPr>
              <w:pStyle w:val="13"/>
              <w:ind w:left="0" w:right="0" w:rightChars="0" w:firstLine="0" w:firstLineChars="0"/>
              <w:rPr>
                <w:color w:val="auto"/>
              </w:rPr>
            </w:pPr>
            <w:r>
              <w:rPr>
                <w:rFonts w:hint="eastAsia"/>
                <w:color w:val="auto"/>
              </w:rPr>
              <w:t xml:space="preserve">          (a/b)指装卸扬尘概化系数（单位：千克/吨）， a 指各省风速概化系数，山西省0.001m/s， b 指物料含水率概化系数，本项目取表土0.0151；</w:t>
            </w:r>
          </w:p>
          <w:p w14:paraId="5756E3BA">
            <w:pPr>
              <w:pStyle w:val="13"/>
              <w:ind w:left="0" w:right="25" w:firstLine="960" w:firstLineChars="400"/>
              <w:rPr>
                <w:color w:val="auto"/>
              </w:rPr>
            </w:pPr>
            <w:r>
              <w:rPr>
                <w:color w:val="auto"/>
              </w:rPr>
              <w:t>Ef指堆场风蚀扬尘概化系数，</w:t>
            </w:r>
            <w:r>
              <w:rPr>
                <w:rFonts w:hint="eastAsia"/>
                <w:color w:val="auto"/>
              </w:rPr>
              <w:t>表土取41.5808；</w:t>
            </w:r>
          </w:p>
          <w:p w14:paraId="0EA7F3C1">
            <w:pPr>
              <w:widowControl/>
              <w:spacing w:line="480" w:lineRule="exact"/>
              <w:ind w:firstLine="960" w:firstLineChars="400"/>
              <w:rPr>
                <w:color w:val="auto"/>
                <w:kern w:val="0"/>
                <w:sz w:val="24"/>
                <w:lang w:bidi="ar"/>
              </w:rPr>
            </w:pPr>
            <w:r>
              <w:rPr>
                <w:color w:val="auto"/>
                <w:sz w:val="24"/>
              </w:rPr>
              <w:t>S指堆场占地面积</w:t>
            </w:r>
            <w:r>
              <w:rPr>
                <w:rFonts w:hint="eastAsia"/>
                <w:color w:val="auto"/>
                <w:sz w:val="24"/>
              </w:rPr>
              <w:t>，排土作业面积取100m</w:t>
            </w:r>
            <w:r>
              <w:rPr>
                <w:rFonts w:hint="eastAsia"/>
                <w:color w:val="auto"/>
                <w:sz w:val="24"/>
                <w:vertAlign w:val="superscript"/>
              </w:rPr>
              <w:t>2</w:t>
            </w:r>
            <w:r>
              <w:rPr>
                <w:rFonts w:hint="eastAsia"/>
                <w:color w:val="auto"/>
                <w:sz w:val="24"/>
              </w:rPr>
              <w:t>。</w:t>
            </w:r>
          </w:p>
          <w:p w14:paraId="7D6EFD0F">
            <w:pPr>
              <w:widowControl/>
              <w:spacing w:line="480" w:lineRule="exact"/>
              <w:ind w:firstLine="480" w:firstLineChars="200"/>
              <w:rPr>
                <w:color w:val="auto"/>
                <w:kern w:val="0"/>
                <w:sz w:val="24"/>
                <w:lang w:bidi="ar"/>
              </w:rPr>
            </w:pPr>
            <w:r>
              <w:rPr>
                <w:rFonts w:hint="eastAsia"/>
                <w:color w:val="auto"/>
                <w:kern w:val="0"/>
                <w:sz w:val="24"/>
                <w:lang w:bidi="ar"/>
              </w:rPr>
              <w:t>经计算，排土场粉尘产生量为74.54t/a。排土场卸料点配备2台雾炮机</w:t>
            </w:r>
            <w:r>
              <w:rPr>
                <w:rFonts w:hint="eastAsia"/>
                <w:color w:val="auto"/>
                <w:kern w:val="0"/>
                <w:sz w:val="24"/>
                <w:lang w:eastAsia="zh-CN" w:bidi="ar"/>
              </w:rPr>
              <w:t>，</w:t>
            </w:r>
            <w:r>
              <w:rPr>
                <w:rFonts w:hint="eastAsia"/>
                <w:color w:val="auto"/>
                <w:kern w:val="0"/>
                <w:sz w:val="24"/>
                <w:lang w:bidi="ar"/>
              </w:rPr>
              <w:t>在采取卸料过程设置雾炮机抑尘、大风天气禁止作业、规范堆存作业等措施后，抑尘效率取80%，则排土场无组织粉尘排放量14.908t/a。</w:t>
            </w:r>
          </w:p>
          <w:p w14:paraId="1D7D669F">
            <w:pPr>
              <w:widowControl/>
              <w:spacing w:line="480" w:lineRule="exact"/>
              <w:ind w:firstLine="480" w:firstLineChars="200"/>
              <w:rPr>
                <w:kern w:val="0"/>
                <w:sz w:val="24"/>
                <w:lang w:bidi="ar"/>
              </w:rPr>
            </w:pPr>
            <w:r>
              <w:rPr>
                <w:rFonts w:hint="eastAsia"/>
                <w:kern w:val="0"/>
                <w:sz w:val="24"/>
                <w:lang w:bidi="ar"/>
              </w:rPr>
              <w:t>（3）</w:t>
            </w:r>
            <w:r>
              <w:rPr>
                <w:kern w:val="0"/>
                <w:sz w:val="24"/>
                <w:lang w:bidi="ar"/>
              </w:rPr>
              <w:t>监测计划</w:t>
            </w:r>
          </w:p>
          <w:p w14:paraId="463976D9">
            <w:pPr>
              <w:widowControl/>
              <w:spacing w:line="480" w:lineRule="exact"/>
              <w:ind w:firstLine="480" w:firstLineChars="200"/>
              <w:rPr>
                <w:kern w:val="0"/>
                <w:sz w:val="24"/>
                <w:lang w:bidi="ar"/>
              </w:rPr>
            </w:pPr>
            <w:r>
              <w:rPr>
                <w:kern w:val="0"/>
                <w:sz w:val="24"/>
                <w:lang w:bidi="ar"/>
              </w:rPr>
              <w:t>根据《排污单位自行监测技术指南 总则》（HJ819-2017），本项目废气例行监测要求详见下表。</w:t>
            </w:r>
          </w:p>
          <w:p w14:paraId="5D370766">
            <w:pPr>
              <w:pStyle w:val="15"/>
              <w:widowControl/>
              <w:spacing w:line="480" w:lineRule="exact"/>
              <w:rPr>
                <w:rFonts w:ascii="宋体" w:hAnsi="宋体" w:eastAsia="宋体" w:cs="宋体"/>
                <w:sz w:val="21"/>
                <w:szCs w:val="21"/>
              </w:rPr>
            </w:pPr>
            <w:r>
              <w:rPr>
                <w:rFonts w:ascii="宋体" w:hAnsi="宋体" w:eastAsia="宋体" w:cs="宋体"/>
                <w:sz w:val="21"/>
                <w:szCs w:val="21"/>
              </w:rPr>
              <w:t xml:space="preserve">表 </w:t>
            </w:r>
            <w:r>
              <w:rPr>
                <w:rFonts w:eastAsia="宋体"/>
                <w:sz w:val="21"/>
                <w:szCs w:val="21"/>
              </w:rPr>
              <w:t xml:space="preserve">4-6 </w:t>
            </w:r>
            <w:r>
              <w:rPr>
                <w:rFonts w:ascii="宋体" w:hAnsi="宋体" w:eastAsia="宋体" w:cs="宋体"/>
                <w:sz w:val="21"/>
                <w:szCs w:val="21"/>
              </w:rPr>
              <w:t>大气环境监测计划一览表</w:t>
            </w:r>
          </w:p>
          <w:tbl>
            <w:tblPr>
              <w:tblStyle w:val="29"/>
              <w:tblW w:w="5000" w:type="pct"/>
              <w:tblInd w:w="1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818"/>
              <w:gridCol w:w="4959"/>
              <w:gridCol w:w="1013"/>
              <w:gridCol w:w="1147"/>
            </w:tblGrid>
            <w:tr w14:paraId="35F05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41" w:type="pct"/>
                  <w:gridSpan w:val="2"/>
                  <w:tcBorders>
                    <w:tl2br w:val="nil"/>
                    <w:tr2bl w:val="nil"/>
                  </w:tcBorders>
                  <w:vAlign w:val="center"/>
                </w:tcPr>
                <w:p w14:paraId="600245C1">
                  <w:pPr>
                    <w:adjustRightInd w:val="0"/>
                    <w:snapToGrid w:val="0"/>
                    <w:spacing w:line="320" w:lineRule="exact"/>
                    <w:jc w:val="center"/>
                    <w:rPr>
                      <w:szCs w:val="21"/>
                    </w:rPr>
                  </w:pPr>
                  <w:r>
                    <w:rPr>
                      <w:szCs w:val="21"/>
                    </w:rPr>
                    <w:t>监测对象</w:t>
                  </w:r>
                </w:p>
              </w:tc>
              <w:tc>
                <w:tcPr>
                  <w:tcW w:w="2964" w:type="pct"/>
                  <w:tcBorders>
                    <w:tl2br w:val="nil"/>
                    <w:tr2bl w:val="nil"/>
                  </w:tcBorders>
                  <w:vAlign w:val="center"/>
                </w:tcPr>
                <w:p w14:paraId="19715B18">
                  <w:pPr>
                    <w:adjustRightInd w:val="0"/>
                    <w:snapToGrid w:val="0"/>
                    <w:spacing w:line="320" w:lineRule="exact"/>
                    <w:jc w:val="center"/>
                    <w:rPr>
                      <w:szCs w:val="21"/>
                    </w:rPr>
                  </w:pPr>
                  <w:r>
                    <w:rPr>
                      <w:szCs w:val="21"/>
                    </w:rPr>
                    <w:t>监测点位</w:t>
                  </w:r>
                </w:p>
              </w:tc>
              <w:tc>
                <w:tcPr>
                  <w:tcW w:w="606" w:type="pct"/>
                  <w:tcBorders>
                    <w:tl2br w:val="nil"/>
                    <w:tr2bl w:val="nil"/>
                  </w:tcBorders>
                  <w:vAlign w:val="center"/>
                </w:tcPr>
                <w:p w14:paraId="3E8E5387">
                  <w:pPr>
                    <w:adjustRightInd w:val="0"/>
                    <w:snapToGrid w:val="0"/>
                    <w:ind w:left="-105" w:leftChars="-50" w:right="-105" w:rightChars="-50"/>
                    <w:jc w:val="center"/>
                    <w:rPr>
                      <w:szCs w:val="21"/>
                    </w:rPr>
                  </w:pPr>
                  <w:r>
                    <w:rPr>
                      <w:szCs w:val="21"/>
                    </w:rPr>
                    <w:t>监测项目</w:t>
                  </w:r>
                </w:p>
              </w:tc>
              <w:tc>
                <w:tcPr>
                  <w:tcW w:w="686" w:type="pct"/>
                  <w:tcBorders>
                    <w:tl2br w:val="nil"/>
                    <w:tr2bl w:val="nil"/>
                  </w:tcBorders>
                  <w:vAlign w:val="center"/>
                </w:tcPr>
                <w:p w14:paraId="6F69128B">
                  <w:pPr>
                    <w:adjustRightInd w:val="0"/>
                    <w:snapToGrid w:val="0"/>
                    <w:spacing w:line="320" w:lineRule="exact"/>
                    <w:jc w:val="center"/>
                    <w:rPr>
                      <w:szCs w:val="21"/>
                    </w:rPr>
                  </w:pPr>
                  <w:r>
                    <w:rPr>
                      <w:szCs w:val="21"/>
                    </w:rPr>
                    <w:t>监测频次</w:t>
                  </w:r>
                </w:p>
              </w:tc>
            </w:tr>
            <w:tr w14:paraId="2E8A0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1" w:type="pct"/>
                  <w:vMerge w:val="restart"/>
                  <w:tcBorders>
                    <w:tl2br w:val="nil"/>
                    <w:tr2bl w:val="nil"/>
                  </w:tcBorders>
                  <w:vAlign w:val="center"/>
                </w:tcPr>
                <w:p w14:paraId="0FB1EAB7">
                  <w:pPr>
                    <w:adjustRightInd w:val="0"/>
                    <w:snapToGrid w:val="0"/>
                    <w:spacing w:line="320" w:lineRule="exact"/>
                    <w:jc w:val="center"/>
                    <w:rPr>
                      <w:szCs w:val="21"/>
                    </w:rPr>
                  </w:pPr>
                  <w:r>
                    <w:rPr>
                      <w:szCs w:val="21"/>
                    </w:rPr>
                    <w:t>废气</w:t>
                  </w:r>
                </w:p>
              </w:tc>
              <w:tc>
                <w:tcPr>
                  <w:tcW w:w="490" w:type="pct"/>
                  <w:vMerge w:val="restart"/>
                  <w:tcBorders>
                    <w:tl2br w:val="nil"/>
                    <w:tr2bl w:val="nil"/>
                  </w:tcBorders>
                  <w:vAlign w:val="center"/>
                </w:tcPr>
                <w:p w14:paraId="0444A0E0">
                  <w:pPr>
                    <w:adjustRightInd w:val="0"/>
                    <w:snapToGrid w:val="0"/>
                    <w:spacing w:line="320" w:lineRule="exact"/>
                    <w:ind w:left="-105" w:leftChars="-50" w:right="-105" w:rightChars="-50"/>
                    <w:jc w:val="center"/>
                    <w:rPr>
                      <w:szCs w:val="21"/>
                    </w:rPr>
                  </w:pPr>
                  <w:r>
                    <w:rPr>
                      <w:szCs w:val="21"/>
                    </w:rPr>
                    <w:t>无组织</w:t>
                  </w:r>
                </w:p>
              </w:tc>
              <w:tc>
                <w:tcPr>
                  <w:tcW w:w="2964" w:type="pct"/>
                  <w:tcBorders>
                    <w:tl2br w:val="nil"/>
                    <w:tr2bl w:val="nil"/>
                  </w:tcBorders>
                  <w:vAlign w:val="center"/>
                </w:tcPr>
                <w:p w14:paraId="4740CDF2">
                  <w:pPr>
                    <w:adjustRightInd w:val="0"/>
                    <w:snapToGrid w:val="0"/>
                    <w:spacing w:line="320" w:lineRule="exact"/>
                    <w:jc w:val="center"/>
                    <w:rPr>
                      <w:szCs w:val="21"/>
                    </w:rPr>
                  </w:pPr>
                  <w:r>
                    <w:rPr>
                      <w:rFonts w:hint="eastAsia"/>
                      <w:szCs w:val="21"/>
                    </w:rPr>
                    <w:t>采场</w:t>
                  </w:r>
                  <w:r>
                    <w:rPr>
                      <w:szCs w:val="21"/>
                    </w:rPr>
                    <w:t>上风向1个参照点，下风向布设4个监测点</w:t>
                  </w:r>
                </w:p>
              </w:tc>
              <w:tc>
                <w:tcPr>
                  <w:tcW w:w="606" w:type="pct"/>
                  <w:tcBorders>
                    <w:tl2br w:val="nil"/>
                    <w:tr2bl w:val="nil"/>
                  </w:tcBorders>
                  <w:vAlign w:val="center"/>
                </w:tcPr>
                <w:p w14:paraId="5485AD67">
                  <w:pPr>
                    <w:adjustRightInd w:val="0"/>
                    <w:snapToGrid w:val="0"/>
                    <w:spacing w:line="320" w:lineRule="exact"/>
                    <w:jc w:val="center"/>
                    <w:rPr>
                      <w:szCs w:val="21"/>
                    </w:rPr>
                  </w:pPr>
                  <w:r>
                    <w:rPr>
                      <w:szCs w:val="21"/>
                    </w:rPr>
                    <w:t>颗粒物</w:t>
                  </w:r>
                </w:p>
              </w:tc>
              <w:tc>
                <w:tcPr>
                  <w:tcW w:w="686" w:type="pct"/>
                  <w:tcBorders>
                    <w:tl2br w:val="nil"/>
                    <w:tr2bl w:val="nil"/>
                  </w:tcBorders>
                  <w:vAlign w:val="center"/>
                </w:tcPr>
                <w:p w14:paraId="4427A6D8">
                  <w:pPr>
                    <w:adjustRightInd w:val="0"/>
                    <w:snapToGrid w:val="0"/>
                    <w:spacing w:line="320" w:lineRule="exact"/>
                    <w:jc w:val="center"/>
                    <w:rPr>
                      <w:szCs w:val="21"/>
                    </w:rPr>
                  </w:pPr>
                  <w:r>
                    <w:rPr>
                      <w:rFonts w:hint="eastAsia"/>
                      <w:szCs w:val="21"/>
                    </w:rPr>
                    <w:t>一次/季度</w:t>
                  </w:r>
                </w:p>
              </w:tc>
            </w:tr>
            <w:tr w14:paraId="62EE9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1" w:type="pct"/>
                  <w:vMerge w:val="continue"/>
                  <w:tcBorders>
                    <w:tl2br w:val="nil"/>
                    <w:tr2bl w:val="nil"/>
                  </w:tcBorders>
                  <w:vAlign w:val="center"/>
                </w:tcPr>
                <w:p w14:paraId="605453F3">
                  <w:pPr>
                    <w:adjustRightInd w:val="0"/>
                    <w:snapToGrid w:val="0"/>
                    <w:spacing w:line="320" w:lineRule="exact"/>
                    <w:jc w:val="center"/>
                    <w:rPr>
                      <w:szCs w:val="21"/>
                    </w:rPr>
                  </w:pPr>
                </w:p>
              </w:tc>
              <w:tc>
                <w:tcPr>
                  <w:tcW w:w="490" w:type="pct"/>
                  <w:vMerge w:val="continue"/>
                  <w:tcBorders>
                    <w:tl2br w:val="nil"/>
                    <w:tr2bl w:val="nil"/>
                  </w:tcBorders>
                  <w:vAlign w:val="center"/>
                </w:tcPr>
                <w:p w14:paraId="23B41B68">
                  <w:pPr>
                    <w:adjustRightInd w:val="0"/>
                    <w:snapToGrid w:val="0"/>
                    <w:spacing w:line="320" w:lineRule="exact"/>
                    <w:jc w:val="center"/>
                    <w:rPr>
                      <w:szCs w:val="21"/>
                    </w:rPr>
                  </w:pPr>
                </w:p>
              </w:tc>
              <w:tc>
                <w:tcPr>
                  <w:tcW w:w="2964" w:type="pct"/>
                  <w:tcBorders>
                    <w:tl2br w:val="nil"/>
                    <w:tr2bl w:val="nil"/>
                  </w:tcBorders>
                  <w:vAlign w:val="center"/>
                </w:tcPr>
                <w:p w14:paraId="00333506">
                  <w:pPr>
                    <w:adjustRightInd w:val="0"/>
                    <w:snapToGrid w:val="0"/>
                    <w:spacing w:line="320" w:lineRule="exact"/>
                    <w:jc w:val="center"/>
                    <w:rPr>
                      <w:szCs w:val="21"/>
                    </w:rPr>
                  </w:pPr>
                  <w:r>
                    <w:rPr>
                      <w:rFonts w:hint="eastAsia"/>
                      <w:szCs w:val="21"/>
                    </w:rPr>
                    <w:t>排土场</w:t>
                  </w:r>
                  <w:r>
                    <w:rPr>
                      <w:szCs w:val="21"/>
                    </w:rPr>
                    <w:t>上风向1个参照点，下风向布设4个监测点</w:t>
                  </w:r>
                </w:p>
              </w:tc>
              <w:tc>
                <w:tcPr>
                  <w:tcW w:w="606" w:type="pct"/>
                  <w:tcBorders>
                    <w:tl2br w:val="nil"/>
                    <w:tr2bl w:val="nil"/>
                  </w:tcBorders>
                  <w:vAlign w:val="center"/>
                </w:tcPr>
                <w:p w14:paraId="19B57215">
                  <w:pPr>
                    <w:adjustRightInd w:val="0"/>
                    <w:snapToGrid w:val="0"/>
                    <w:spacing w:line="320" w:lineRule="exact"/>
                    <w:jc w:val="center"/>
                    <w:rPr>
                      <w:szCs w:val="21"/>
                    </w:rPr>
                  </w:pPr>
                  <w:r>
                    <w:rPr>
                      <w:szCs w:val="21"/>
                    </w:rPr>
                    <w:t>颗粒物</w:t>
                  </w:r>
                </w:p>
              </w:tc>
              <w:tc>
                <w:tcPr>
                  <w:tcW w:w="686" w:type="pct"/>
                  <w:tcBorders>
                    <w:tl2br w:val="nil"/>
                    <w:tr2bl w:val="nil"/>
                  </w:tcBorders>
                  <w:vAlign w:val="center"/>
                </w:tcPr>
                <w:p w14:paraId="20BBA3B5">
                  <w:pPr>
                    <w:adjustRightInd w:val="0"/>
                    <w:snapToGrid w:val="0"/>
                    <w:spacing w:line="320" w:lineRule="exact"/>
                    <w:jc w:val="center"/>
                    <w:rPr>
                      <w:szCs w:val="21"/>
                    </w:rPr>
                  </w:pPr>
                  <w:r>
                    <w:rPr>
                      <w:rFonts w:hint="eastAsia"/>
                      <w:szCs w:val="21"/>
                    </w:rPr>
                    <w:t>一次/季度</w:t>
                  </w:r>
                </w:p>
              </w:tc>
            </w:tr>
          </w:tbl>
          <w:p w14:paraId="1DCAE663">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kern w:val="0"/>
                <w:sz w:val="24"/>
                <w:lang w:bidi="ar"/>
              </w:rPr>
            </w:pPr>
            <w:r>
              <w:rPr>
                <w:rFonts w:hint="eastAsia"/>
                <w:kern w:val="0"/>
                <w:sz w:val="24"/>
                <w:lang w:bidi="ar"/>
              </w:rPr>
              <w:t>（4）大气环境影响结论</w:t>
            </w:r>
          </w:p>
          <w:p w14:paraId="1FB7755C">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kern w:val="0"/>
                <w:sz w:val="24"/>
                <w:lang w:bidi="ar"/>
              </w:rPr>
            </w:pPr>
            <w:r>
              <w:rPr>
                <w:kern w:val="0"/>
                <w:sz w:val="24"/>
                <w:lang w:bidi="ar"/>
              </w:rPr>
              <w:t>项目运行过程中严格落实本项目提出的各项环保措施后，各大气污染物的排放均满足相应排放标准要求，对区域环境空气质量影响较小，综上，只有加强管理，严格落实环保措施，从环境空气影响评价角度出发，本项目的建设是可行的。</w:t>
            </w:r>
          </w:p>
          <w:p w14:paraId="482A7EC5">
            <w:pPr>
              <w:keepNext w:val="0"/>
              <w:keepLines w:val="0"/>
              <w:pageBreakBefore w:val="0"/>
              <w:widowControl/>
              <w:kinsoku/>
              <w:wordWrap/>
              <w:overflowPunct/>
              <w:topLinePunct w:val="0"/>
              <w:autoSpaceDE/>
              <w:autoSpaceDN/>
              <w:bidi w:val="0"/>
              <w:adjustRightInd/>
              <w:snapToGrid/>
              <w:spacing w:line="480" w:lineRule="exact"/>
              <w:ind w:firstLine="482" w:firstLineChars="200"/>
              <w:textAlignment w:val="auto"/>
              <w:rPr>
                <w:b/>
                <w:bCs/>
                <w:kern w:val="0"/>
                <w:sz w:val="24"/>
                <w:lang w:bidi="ar"/>
              </w:rPr>
            </w:pPr>
            <w:r>
              <w:rPr>
                <w:rFonts w:hint="eastAsia"/>
                <w:b/>
                <w:bCs/>
                <w:kern w:val="0"/>
                <w:sz w:val="24"/>
                <w:lang w:bidi="ar"/>
              </w:rPr>
              <w:t>2.</w:t>
            </w:r>
            <w:r>
              <w:rPr>
                <w:b/>
                <w:bCs/>
                <w:kern w:val="0"/>
                <w:sz w:val="24"/>
                <w:lang w:bidi="ar"/>
              </w:rPr>
              <w:t>运营期水环境影响分析</w:t>
            </w:r>
          </w:p>
          <w:p w14:paraId="1CE911F6">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kern w:val="0"/>
                <w:sz w:val="24"/>
                <w:lang w:bidi="ar"/>
              </w:rPr>
            </w:pPr>
            <w:r>
              <w:rPr>
                <w:kern w:val="0"/>
                <w:sz w:val="24"/>
                <w:lang w:bidi="ar"/>
              </w:rPr>
              <w:t>本项目运营期产生的废水主要包括洗车废水、生活污水。</w:t>
            </w:r>
          </w:p>
          <w:p w14:paraId="0DF58EA8">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kern w:val="0"/>
                <w:sz w:val="24"/>
                <w:lang w:bidi="ar"/>
              </w:rPr>
            </w:pPr>
            <w:r>
              <w:rPr>
                <w:rFonts w:hint="eastAsia"/>
                <w:kern w:val="0"/>
                <w:sz w:val="24"/>
                <w:lang w:bidi="ar"/>
              </w:rPr>
              <w:t>（1）洗车废水</w:t>
            </w:r>
          </w:p>
          <w:p w14:paraId="764883D3">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kern w:val="0"/>
                <w:sz w:val="24"/>
                <w:lang w:bidi="ar"/>
              </w:rPr>
            </w:pPr>
            <w:r>
              <w:rPr>
                <w:rFonts w:hint="eastAsia"/>
                <w:kern w:val="0"/>
                <w:sz w:val="24"/>
                <w:lang w:bidi="ar"/>
              </w:rPr>
              <w:t>车辆清洗用水已在本项目配套工业场地环评中评价，本次环评不再描述</w:t>
            </w:r>
            <w:r>
              <w:rPr>
                <w:rFonts w:hint="eastAsia" w:hAnsi="宋体" w:cs="宋体"/>
                <w:color w:val="000000"/>
                <w:sz w:val="24"/>
              </w:rPr>
              <w:t>。</w:t>
            </w:r>
          </w:p>
          <w:p w14:paraId="13E46B20">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kern w:val="0"/>
                <w:sz w:val="24"/>
                <w:lang w:bidi="ar"/>
              </w:rPr>
            </w:pPr>
            <w:r>
              <w:rPr>
                <w:rFonts w:hint="eastAsia"/>
                <w:kern w:val="0"/>
                <w:sz w:val="24"/>
                <w:lang w:bidi="ar"/>
              </w:rPr>
              <w:t>（2）生活污水</w:t>
            </w:r>
          </w:p>
          <w:p w14:paraId="226684A2">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sz w:val="24"/>
              </w:rPr>
            </w:pPr>
            <w:r>
              <w:rPr>
                <w:sz w:val="24"/>
              </w:rPr>
              <w:t>根据前文水平衡分析，本项目生活用水量为6m</w:t>
            </w:r>
            <w:r>
              <w:rPr>
                <w:sz w:val="24"/>
                <w:vertAlign w:val="superscript"/>
              </w:rPr>
              <w:t>3</w:t>
            </w:r>
            <w:r>
              <w:rPr>
                <w:sz w:val="24"/>
              </w:rPr>
              <w:t>/d</w:t>
            </w:r>
            <w:r>
              <w:rPr>
                <w:rFonts w:hint="eastAsia"/>
                <w:sz w:val="24"/>
              </w:rPr>
              <w:t>（含食堂用水）</w:t>
            </w:r>
            <w:r>
              <w:rPr>
                <w:sz w:val="24"/>
              </w:rPr>
              <w:t>，生活污水排放量按照用水量的80%计算，则生活污水的产生量为4.8m</w:t>
            </w:r>
            <w:r>
              <w:rPr>
                <w:sz w:val="24"/>
                <w:vertAlign w:val="superscript"/>
              </w:rPr>
              <w:t>3</w:t>
            </w:r>
            <w:r>
              <w:rPr>
                <w:sz w:val="24"/>
              </w:rPr>
              <w:t>/d。</w:t>
            </w:r>
            <w:r>
              <w:rPr>
                <w:rFonts w:hint="eastAsia"/>
                <w:sz w:val="24"/>
              </w:rPr>
              <w:t>食堂用水量为0.</w:t>
            </w:r>
            <w:r>
              <w:rPr>
                <w:sz w:val="24"/>
              </w:rPr>
              <w:t>75m</w:t>
            </w:r>
            <w:r>
              <w:rPr>
                <w:sz w:val="24"/>
                <w:vertAlign w:val="superscript"/>
              </w:rPr>
              <w:t>3</w:t>
            </w:r>
            <w:r>
              <w:rPr>
                <w:sz w:val="24"/>
              </w:rPr>
              <w:t>/d</w:t>
            </w:r>
            <w:r>
              <w:rPr>
                <w:rFonts w:hint="eastAsia"/>
                <w:sz w:val="24"/>
              </w:rPr>
              <w:t>。</w:t>
            </w:r>
            <w:r>
              <w:rPr>
                <w:sz w:val="24"/>
              </w:rPr>
              <w:t>废水量按</w:t>
            </w:r>
            <w:r>
              <w:rPr>
                <w:rFonts w:hint="eastAsia"/>
                <w:sz w:val="24"/>
              </w:rPr>
              <w:t>80%</w:t>
            </w:r>
            <w:r>
              <w:rPr>
                <w:sz w:val="24"/>
              </w:rPr>
              <w:t>计，</w:t>
            </w:r>
            <w:r>
              <w:rPr>
                <w:rFonts w:hint="eastAsia"/>
                <w:sz w:val="24"/>
              </w:rPr>
              <w:t>则食堂</w:t>
            </w:r>
            <w:r>
              <w:rPr>
                <w:sz w:val="24"/>
              </w:rPr>
              <w:t>污水</w:t>
            </w:r>
            <w:r>
              <w:rPr>
                <w:rFonts w:hint="eastAsia"/>
                <w:sz w:val="24"/>
              </w:rPr>
              <w:t>产生</w:t>
            </w:r>
            <w:r>
              <w:rPr>
                <w:sz w:val="24"/>
              </w:rPr>
              <w:t>量为</w:t>
            </w:r>
            <w:r>
              <w:rPr>
                <w:rFonts w:hint="eastAsia"/>
                <w:sz w:val="24"/>
              </w:rPr>
              <w:t>0.</w:t>
            </w:r>
            <w:r>
              <w:rPr>
                <w:sz w:val="24"/>
              </w:rPr>
              <w:t>6m</w:t>
            </w:r>
            <w:r>
              <w:rPr>
                <w:sz w:val="24"/>
                <w:vertAlign w:val="superscript"/>
              </w:rPr>
              <w:t>3</w:t>
            </w:r>
            <w:r>
              <w:rPr>
                <w:sz w:val="24"/>
              </w:rPr>
              <w:t>/d</w:t>
            </w:r>
            <w:r>
              <w:rPr>
                <w:rFonts w:hint="eastAsia"/>
                <w:sz w:val="24"/>
              </w:rPr>
              <w:t>。</w:t>
            </w:r>
          </w:p>
          <w:p w14:paraId="52F202C2">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sz w:val="24"/>
              </w:rPr>
            </w:pPr>
            <w:r>
              <w:rPr>
                <w:rFonts w:hint="eastAsia"/>
                <w:sz w:val="24"/>
              </w:rPr>
              <w:t>本次环评要求在食堂废水后新增1套油水分离器，经处理后的食堂废水与其余生活污水一并排入化粪池，定期清掏。</w:t>
            </w:r>
          </w:p>
          <w:p w14:paraId="65A976C9">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kern w:val="0"/>
                <w:sz w:val="24"/>
                <w:lang w:bidi="ar"/>
              </w:rPr>
            </w:pPr>
            <w:r>
              <w:rPr>
                <w:rFonts w:hint="eastAsia"/>
                <w:kern w:val="0"/>
                <w:sz w:val="24"/>
                <w:lang w:bidi="ar"/>
              </w:rPr>
              <w:t>综上所述</w:t>
            </w:r>
            <w:r>
              <w:rPr>
                <w:kern w:val="0"/>
                <w:sz w:val="24"/>
                <w:lang w:bidi="ar"/>
              </w:rPr>
              <w:t>，本项目无废水外排，不会对地表水造成</w:t>
            </w:r>
            <w:r>
              <w:rPr>
                <w:rFonts w:hint="eastAsia"/>
                <w:kern w:val="0"/>
                <w:sz w:val="24"/>
                <w:lang w:bidi="ar"/>
              </w:rPr>
              <w:t>明显不利</w:t>
            </w:r>
            <w:r>
              <w:rPr>
                <w:kern w:val="0"/>
                <w:sz w:val="24"/>
                <w:lang w:bidi="ar"/>
              </w:rPr>
              <w:t>影响。</w:t>
            </w:r>
          </w:p>
          <w:p w14:paraId="799CA995">
            <w:pPr>
              <w:keepNext w:val="0"/>
              <w:keepLines w:val="0"/>
              <w:pageBreakBefore w:val="0"/>
              <w:widowControl/>
              <w:kinsoku/>
              <w:wordWrap/>
              <w:overflowPunct/>
              <w:topLinePunct w:val="0"/>
              <w:autoSpaceDE/>
              <w:autoSpaceDN/>
              <w:bidi w:val="0"/>
              <w:adjustRightInd/>
              <w:snapToGrid/>
              <w:spacing w:line="480" w:lineRule="exact"/>
              <w:ind w:firstLine="482" w:firstLineChars="200"/>
              <w:textAlignment w:val="auto"/>
              <w:rPr>
                <w:b/>
                <w:bCs/>
                <w:kern w:val="0"/>
                <w:sz w:val="24"/>
                <w:lang w:bidi="ar"/>
              </w:rPr>
            </w:pPr>
            <w:r>
              <w:rPr>
                <w:rFonts w:hint="eastAsia"/>
                <w:b/>
                <w:bCs/>
                <w:kern w:val="0"/>
                <w:sz w:val="24"/>
                <w:lang w:bidi="ar"/>
              </w:rPr>
              <w:t>3.</w:t>
            </w:r>
            <w:r>
              <w:rPr>
                <w:b/>
                <w:bCs/>
                <w:kern w:val="0"/>
                <w:sz w:val="24"/>
                <w:lang w:bidi="ar"/>
              </w:rPr>
              <w:t>运营期声环境影响分析</w:t>
            </w:r>
          </w:p>
          <w:p w14:paraId="0104B424">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kern w:val="0"/>
                <w:sz w:val="24"/>
                <w:lang w:bidi="ar"/>
              </w:rPr>
            </w:pPr>
            <w:r>
              <w:rPr>
                <w:rFonts w:hint="eastAsia"/>
                <w:kern w:val="0"/>
                <w:sz w:val="24"/>
                <w:lang w:bidi="ar"/>
              </w:rPr>
              <w:t>（1）声源分析</w:t>
            </w:r>
          </w:p>
          <w:p w14:paraId="4ACD68F4">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sz w:val="24"/>
              </w:rPr>
            </w:pPr>
            <w:r>
              <w:rPr>
                <w:sz w:val="24"/>
              </w:rPr>
              <w:t>本工程在运营时将产生一定的噪声污染，噪声主要来自</w:t>
            </w:r>
            <w:r>
              <w:rPr>
                <w:rFonts w:hint="eastAsia"/>
                <w:sz w:val="24"/>
              </w:rPr>
              <w:t>挖掘机（凿岩锤）</w:t>
            </w:r>
            <w:r>
              <w:rPr>
                <w:sz w:val="24"/>
              </w:rPr>
              <w:t>、</w:t>
            </w:r>
            <w:r>
              <w:rPr>
                <w:rFonts w:hint="eastAsia"/>
                <w:sz w:val="24"/>
              </w:rPr>
              <w:t>矿山荒料双刀切石机</w:t>
            </w:r>
            <w:r>
              <w:rPr>
                <w:sz w:val="24"/>
              </w:rPr>
              <w:t>等</w:t>
            </w:r>
            <w:r>
              <w:rPr>
                <w:rFonts w:hint="eastAsia"/>
                <w:sz w:val="24"/>
              </w:rPr>
              <w:t>采矿设备</w:t>
            </w:r>
            <w:r>
              <w:rPr>
                <w:sz w:val="24"/>
              </w:rPr>
              <w:t>产生的噪声，各设备噪声声级在8</w:t>
            </w:r>
            <w:r>
              <w:rPr>
                <w:rFonts w:hint="eastAsia"/>
                <w:sz w:val="24"/>
              </w:rPr>
              <w:t>5</w:t>
            </w:r>
            <w:r>
              <w:rPr>
                <w:sz w:val="24"/>
              </w:rPr>
              <w:t>~</w:t>
            </w:r>
            <w:r>
              <w:rPr>
                <w:rFonts w:hint="eastAsia"/>
                <w:sz w:val="24"/>
              </w:rPr>
              <w:t>90</w:t>
            </w:r>
            <w:r>
              <w:rPr>
                <w:sz w:val="24"/>
              </w:rPr>
              <w:t>dB之间</w:t>
            </w:r>
            <w:r>
              <w:rPr>
                <w:rFonts w:hint="eastAsia"/>
                <w:sz w:val="24"/>
              </w:rPr>
              <w:t>。</w:t>
            </w:r>
          </w:p>
          <w:p w14:paraId="1ADCF483">
            <w:pPr>
              <w:keepNext w:val="0"/>
              <w:keepLines w:val="0"/>
              <w:pageBreakBefore w:val="0"/>
              <w:widowControl/>
              <w:kinsoku/>
              <w:wordWrap/>
              <w:overflowPunct/>
              <w:topLinePunct w:val="0"/>
              <w:autoSpaceDE/>
              <w:autoSpaceDN/>
              <w:bidi w:val="0"/>
              <w:adjustRightInd/>
              <w:snapToGrid/>
              <w:spacing w:line="480" w:lineRule="exact"/>
              <w:jc w:val="center"/>
              <w:textAlignment w:val="auto"/>
              <w:rPr>
                <w:szCs w:val="21"/>
                <w:lang w:bidi="ar"/>
              </w:rPr>
            </w:pPr>
            <w:r>
              <w:rPr>
                <w:rFonts w:hint="eastAsia"/>
                <w:szCs w:val="21"/>
                <w:lang w:bidi="ar"/>
              </w:rPr>
              <w:t>表4-</w:t>
            </w:r>
            <w:r>
              <w:rPr>
                <w:szCs w:val="21"/>
                <w:lang w:bidi="ar"/>
              </w:rPr>
              <w:t>7</w:t>
            </w:r>
            <w:r>
              <w:rPr>
                <w:rFonts w:hint="eastAsia"/>
                <w:szCs w:val="21"/>
                <w:lang w:bidi="ar"/>
              </w:rPr>
              <w:t xml:space="preserve">  运营期主要设备噪声一览表</w:t>
            </w:r>
          </w:p>
          <w:tbl>
            <w:tblPr>
              <w:tblStyle w:val="2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2199"/>
              <w:gridCol w:w="836"/>
              <w:gridCol w:w="897"/>
              <w:gridCol w:w="1057"/>
              <w:gridCol w:w="1133"/>
              <w:gridCol w:w="934"/>
              <w:gridCol w:w="878"/>
            </w:tblGrid>
            <w:tr w14:paraId="48751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4" w:type="pct"/>
                  <w:vMerge w:val="restart"/>
                  <w:vAlign w:val="center"/>
                </w:tcPr>
                <w:p w14:paraId="1F2AB4E3">
                  <w:pPr>
                    <w:widowControl/>
                    <w:adjustRightInd w:val="0"/>
                    <w:snapToGrid w:val="0"/>
                    <w:jc w:val="center"/>
                    <w:rPr>
                      <w:szCs w:val="21"/>
                    </w:rPr>
                  </w:pPr>
                  <w:r>
                    <w:rPr>
                      <w:szCs w:val="21"/>
                    </w:rPr>
                    <w:t>序号</w:t>
                  </w:r>
                </w:p>
              </w:tc>
              <w:tc>
                <w:tcPr>
                  <w:tcW w:w="1315" w:type="pct"/>
                  <w:vMerge w:val="restart"/>
                  <w:vAlign w:val="center"/>
                </w:tcPr>
                <w:p w14:paraId="74AA3A8A">
                  <w:pPr>
                    <w:widowControl/>
                    <w:adjustRightInd w:val="0"/>
                    <w:snapToGrid w:val="0"/>
                    <w:jc w:val="center"/>
                    <w:rPr>
                      <w:szCs w:val="21"/>
                    </w:rPr>
                  </w:pPr>
                  <w:r>
                    <w:rPr>
                      <w:szCs w:val="21"/>
                    </w:rPr>
                    <w:t>噪声源</w:t>
                  </w:r>
                </w:p>
              </w:tc>
              <w:tc>
                <w:tcPr>
                  <w:tcW w:w="500" w:type="pct"/>
                  <w:vMerge w:val="restart"/>
                  <w:vAlign w:val="center"/>
                </w:tcPr>
                <w:p w14:paraId="0AEFC43F">
                  <w:pPr>
                    <w:widowControl/>
                    <w:adjustRightInd w:val="0"/>
                    <w:snapToGrid w:val="0"/>
                    <w:jc w:val="center"/>
                    <w:rPr>
                      <w:szCs w:val="21"/>
                    </w:rPr>
                  </w:pPr>
                  <w:r>
                    <w:rPr>
                      <w:szCs w:val="21"/>
                    </w:rPr>
                    <w:t>声源类型</w:t>
                  </w:r>
                </w:p>
              </w:tc>
              <w:tc>
                <w:tcPr>
                  <w:tcW w:w="536" w:type="pct"/>
                  <w:vMerge w:val="restart"/>
                  <w:vAlign w:val="center"/>
                </w:tcPr>
                <w:p w14:paraId="3C5D30F7">
                  <w:pPr>
                    <w:widowControl/>
                    <w:adjustRightInd w:val="0"/>
                    <w:snapToGrid w:val="0"/>
                    <w:jc w:val="center"/>
                    <w:rPr>
                      <w:szCs w:val="21"/>
                    </w:rPr>
                  </w:pPr>
                  <w:r>
                    <w:rPr>
                      <w:szCs w:val="21"/>
                    </w:rPr>
                    <w:t>产生量dB（A）</w:t>
                  </w:r>
                </w:p>
              </w:tc>
              <w:tc>
                <w:tcPr>
                  <w:tcW w:w="1309" w:type="pct"/>
                  <w:gridSpan w:val="2"/>
                  <w:vAlign w:val="center"/>
                </w:tcPr>
                <w:p w14:paraId="5B95582A">
                  <w:pPr>
                    <w:widowControl/>
                    <w:adjustRightInd w:val="0"/>
                    <w:snapToGrid w:val="0"/>
                    <w:jc w:val="center"/>
                    <w:rPr>
                      <w:szCs w:val="21"/>
                    </w:rPr>
                  </w:pPr>
                  <w:r>
                    <w:rPr>
                      <w:szCs w:val="21"/>
                    </w:rPr>
                    <w:t>降噪措施</w:t>
                  </w:r>
                </w:p>
              </w:tc>
              <w:tc>
                <w:tcPr>
                  <w:tcW w:w="558" w:type="pct"/>
                  <w:vMerge w:val="restart"/>
                  <w:vAlign w:val="center"/>
                </w:tcPr>
                <w:p w14:paraId="1888FE6F">
                  <w:pPr>
                    <w:widowControl/>
                    <w:adjustRightInd w:val="0"/>
                    <w:snapToGrid w:val="0"/>
                    <w:jc w:val="center"/>
                    <w:rPr>
                      <w:szCs w:val="21"/>
                    </w:rPr>
                  </w:pPr>
                  <w:r>
                    <w:rPr>
                      <w:szCs w:val="21"/>
                    </w:rPr>
                    <w:t>排放量dB（A）</w:t>
                  </w:r>
                </w:p>
              </w:tc>
              <w:tc>
                <w:tcPr>
                  <w:tcW w:w="525" w:type="pct"/>
                  <w:vMerge w:val="restart"/>
                  <w:vAlign w:val="center"/>
                </w:tcPr>
                <w:p w14:paraId="594DB67C">
                  <w:pPr>
                    <w:widowControl/>
                    <w:adjustRightInd w:val="0"/>
                    <w:snapToGrid w:val="0"/>
                    <w:jc w:val="center"/>
                    <w:rPr>
                      <w:szCs w:val="21"/>
                    </w:rPr>
                  </w:pPr>
                  <w:r>
                    <w:rPr>
                      <w:szCs w:val="21"/>
                    </w:rPr>
                    <w:t>持续时间h</w:t>
                  </w:r>
                </w:p>
              </w:tc>
            </w:tr>
            <w:tr w14:paraId="2C032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4" w:type="pct"/>
                  <w:vMerge w:val="continue"/>
                  <w:vAlign w:val="center"/>
                </w:tcPr>
                <w:p w14:paraId="5995B79E">
                  <w:pPr>
                    <w:widowControl/>
                    <w:adjustRightInd w:val="0"/>
                    <w:snapToGrid w:val="0"/>
                    <w:jc w:val="center"/>
                    <w:rPr>
                      <w:szCs w:val="21"/>
                    </w:rPr>
                  </w:pPr>
                </w:p>
              </w:tc>
              <w:tc>
                <w:tcPr>
                  <w:tcW w:w="1315" w:type="pct"/>
                  <w:vMerge w:val="continue"/>
                  <w:vAlign w:val="center"/>
                </w:tcPr>
                <w:p w14:paraId="1F761CDD">
                  <w:pPr>
                    <w:widowControl/>
                    <w:adjustRightInd w:val="0"/>
                    <w:snapToGrid w:val="0"/>
                    <w:jc w:val="center"/>
                    <w:rPr>
                      <w:szCs w:val="21"/>
                    </w:rPr>
                  </w:pPr>
                </w:p>
              </w:tc>
              <w:tc>
                <w:tcPr>
                  <w:tcW w:w="500" w:type="pct"/>
                  <w:vMerge w:val="continue"/>
                  <w:vAlign w:val="center"/>
                </w:tcPr>
                <w:p w14:paraId="57E3BE6B">
                  <w:pPr>
                    <w:widowControl/>
                    <w:adjustRightInd w:val="0"/>
                    <w:snapToGrid w:val="0"/>
                    <w:jc w:val="center"/>
                    <w:rPr>
                      <w:szCs w:val="21"/>
                    </w:rPr>
                  </w:pPr>
                </w:p>
              </w:tc>
              <w:tc>
                <w:tcPr>
                  <w:tcW w:w="536" w:type="pct"/>
                  <w:vMerge w:val="continue"/>
                  <w:vAlign w:val="center"/>
                </w:tcPr>
                <w:p w14:paraId="0A99B95A">
                  <w:pPr>
                    <w:widowControl/>
                    <w:adjustRightInd w:val="0"/>
                    <w:snapToGrid w:val="0"/>
                    <w:jc w:val="center"/>
                    <w:rPr>
                      <w:szCs w:val="21"/>
                    </w:rPr>
                  </w:pPr>
                </w:p>
              </w:tc>
              <w:tc>
                <w:tcPr>
                  <w:tcW w:w="632" w:type="pct"/>
                  <w:vAlign w:val="center"/>
                </w:tcPr>
                <w:p w14:paraId="703733FA">
                  <w:pPr>
                    <w:widowControl/>
                    <w:adjustRightInd w:val="0"/>
                    <w:snapToGrid w:val="0"/>
                    <w:jc w:val="center"/>
                    <w:rPr>
                      <w:szCs w:val="21"/>
                    </w:rPr>
                  </w:pPr>
                  <w:r>
                    <w:rPr>
                      <w:szCs w:val="21"/>
                    </w:rPr>
                    <w:t>工艺</w:t>
                  </w:r>
                </w:p>
              </w:tc>
              <w:tc>
                <w:tcPr>
                  <w:tcW w:w="676" w:type="pct"/>
                  <w:vAlign w:val="center"/>
                </w:tcPr>
                <w:p w14:paraId="7BF0421A">
                  <w:pPr>
                    <w:widowControl/>
                    <w:adjustRightInd w:val="0"/>
                    <w:snapToGrid w:val="0"/>
                    <w:jc w:val="center"/>
                    <w:rPr>
                      <w:szCs w:val="21"/>
                    </w:rPr>
                  </w:pPr>
                  <w:r>
                    <w:rPr>
                      <w:szCs w:val="21"/>
                    </w:rPr>
                    <w:t>降噪效果</w:t>
                  </w:r>
                </w:p>
              </w:tc>
              <w:tc>
                <w:tcPr>
                  <w:tcW w:w="558" w:type="pct"/>
                  <w:vMerge w:val="continue"/>
                  <w:vAlign w:val="center"/>
                </w:tcPr>
                <w:p w14:paraId="459E99B5">
                  <w:pPr>
                    <w:widowControl/>
                    <w:adjustRightInd w:val="0"/>
                    <w:snapToGrid w:val="0"/>
                    <w:jc w:val="center"/>
                    <w:rPr>
                      <w:szCs w:val="21"/>
                    </w:rPr>
                  </w:pPr>
                </w:p>
              </w:tc>
              <w:tc>
                <w:tcPr>
                  <w:tcW w:w="525" w:type="pct"/>
                  <w:vMerge w:val="continue"/>
                  <w:vAlign w:val="center"/>
                </w:tcPr>
                <w:p w14:paraId="44F35467">
                  <w:pPr>
                    <w:widowControl/>
                    <w:adjustRightInd w:val="0"/>
                    <w:snapToGrid w:val="0"/>
                    <w:jc w:val="center"/>
                    <w:rPr>
                      <w:szCs w:val="21"/>
                    </w:rPr>
                  </w:pPr>
                </w:p>
              </w:tc>
            </w:tr>
            <w:tr w14:paraId="68E9B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254" w:type="pct"/>
                  <w:vAlign w:val="center"/>
                </w:tcPr>
                <w:p w14:paraId="3B59E6DF">
                  <w:pPr>
                    <w:widowControl/>
                    <w:adjustRightInd w:val="0"/>
                    <w:snapToGrid w:val="0"/>
                    <w:jc w:val="center"/>
                    <w:rPr>
                      <w:szCs w:val="21"/>
                    </w:rPr>
                  </w:pPr>
                  <w:r>
                    <w:rPr>
                      <w:szCs w:val="21"/>
                    </w:rPr>
                    <w:t>1</w:t>
                  </w:r>
                </w:p>
              </w:tc>
              <w:tc>
                <w:tcPr>
                  <w:tcW w:w="1315" w:type="pct"/>
                  <w:vAlign w:val="center"/>
                </w:tcPr>
                <w:p w14:paraId="2CD637FA">
                  <w:pPr>
                    <w:widowControl/>
                    <w:adjustRightInd w:val="0"/>
                    <w:snapToGrid w:val="0"/>
                    <w:jc w:val="center"/>
                    <w:rPr>
                      <w:szCs w:val="21"/>
                    </w:rPr>
                  </w:pPr>
                  <w:r>
                    <w:rPr>
                      <w:szCs w:val="21"/>
                    </w:rPr>
                    <w:t>挖掘机（凿岩锤）</w:t>
                  </w:r>
                </w:p>
              </w:tc>
              <w:tc>
                <w:tcPr>
                  <w:tcW w:w="500" w:type="pct"/>
                  <w:vMerge w:val="restart"/>
                  <w:vAlign w:val="center"/>
                </w:tcPr>
                <w:p w14:paraId="5C0751A7">
                  <w:pPr>
                    <w:widowControl/>
                    <w:adjustRightInd w:val="0"/>
                    <w:snapToGrid w:val="0"/>
                    <w:jc w:val="center"/>
                    <w:rPr>
                      <w:szCs w:val="21"/>
                    </w:rPr>
                  </w:pPr>
                  <w:r>
                    <w:rPr>
                      <w:szCs w:val="21"/>
                    </w:rPr>
                    <w:t>频发</w:t>
                  </w:r>
                </w:p>
              </w:tc>
              <w:tc>
                <w:tcPr>
                  <w:tcW w:w="536" w:type="pct"/>
                  <w:vAlign w:val="center"/>
                </w:tcPr>
                <w:p w14:paraId="05CE8F2B">
                  <w:pPr>
                    <w:widowControl/>
                    <w:adjustRightInd w:val="0"/>
                    <w:snapToGrid w:val="0"/>
                    <w:jc w:val="center"/>
                    <w:rPr>
                      <w:szCs w:val="21"/>
                    </w:rPr>
                  </w:pPr>
                  <w:r>
                    <w:rPr>
                      <w:szCs w:val="21"/>
                    </w:rPr>
                    <w:t>90</w:t>
                  </w:r>
                </w:p>
              </w:tc>
              <w:tc>
                <w:tcPr>
                  <w:tcW w:w="632" w:type="pct"/>
                  <w:vAlign w:val="center"/>
                </w:tcPr>
                <w:p w14:paraId="782E52F8">
                  <w:pPr>
                    <w:widowControl/>
                    <w:adjustRightInd w:val="0"/>
                    <w:snapToGrid w:val="0"/>
                    <w:jc w:val="center"/>
                    <w:rPr>
                      <w:szCs w:val="21"/>
                    </w:rPr>
                  </w:pPr>
                  <w:r>
                    <w:rPr>
                      <w:szCs w:val="21"/>
                    </w:rPr>
                    <w:t>加强维护</w:t>
                  </w:r>
                </w:p>
              </w:tc>
              <w:tc>
                <w:tcPr>
                  <w:tcW w:w="676" w:type="pct"/>
                  <w:vAlign w:val="center"/>
                </w:tcPr>
                <w:p w14:paraId="58A442C0">
                  <w:pPr>
                    <w:widowControl/>
                    <w:adjustRightInd w:val="0"/>
                    <w:snapToGrid w:val="0"/>
                    <w:jc w:val="center"/>
                    <w:rPr>
                      <w:szCs w:val="21"/>
                    </w:rPr>
                  </w:pPr>
                  <w:r>
                    <w:rPr>
                      <w:szCs w:val="21"/>
                    </w:rPr>
                    <w:t>0</w:t>
                  </w:r>
                </w:p>
              </w:tc>
              <w:tc>
                <w:tcPr>
                  <w:tcW w:w="558" w:type="pct"/>
                  <w:vAlign w:val="center"/>
                </w:tcPr>
                <w:p w14:paraId="4EF06A89">
                  <w:pPr>
                    <w:widowControl/>
                    <w:adjustRightInd w:val="0"/>
                    <w:snapToGrid w:val="0"/>
                    <w:jc w:val="center"/>
                    <w:rPr>
                      <w:szCs w:val="21"/>
                    </w:rPr>
                  </w:pPr>
                  <w:r>
                    <w:rPr>
                      <w:szCs w:val="21"/>
                    </w:rPr>
                    <w:t>90</w:t>
                  </w:r>
                </w:p>
              </w:tc>
              <w:tc>
                <w:tcPr>
                  <w:tcW w:w="525" w:type="pct"/>
                  <w:vAlign w:val="center"/>
                </w:tcPr>
                <w:p w14:paraId="3A81B192">
                  <w:pPr>
                    <w:widowControl/>
                    <w:adjustRightInd w:val="0"/>
                    <w:snapToGrid w:val="0"/>
                    <w:jc w:val="center"/>
                    <w:rPr>
                      <w:szCs w:val="21"/>
                    </w:rPr>
                  </w:pPr>
                  <w:r>
                    <w:rPr>
                      <w:szCs w:val="21"/>
                    </w:rPr>
                    <w:t>1600</w:t>
                  </w:r>
                </w:p>
              </w:tc>
            </w:tr>
            <w:tr w14:paraId="4746B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4" w:type="pct"/>
                  <w:vAlign w:val="center"/>
                </w:tcPr>
                <w:p w14:paraId="2C466221">
                  <w:pPr>
                    <w:widowControl/>
                    <w:adjustRightInd w:val="0"/>
                    <w:snapToGrid w:val="0"/>
                    <w:jc w:val="center"/>
                    <w:rPr>
                      <w:szCs w:val="21"/>
                    </w:rPr>
                  </w:pPr>
                  <w:r>
                    <w:rPr>
                      <w:szCs w:val="21"/>
                    </w:rPr>
                    <w:t>2</w:t>
                  </w:r>
                </w:p>
              </w:tc>
              <w:tc>
                <w:tcPr>
                  <w:tcW w:w="1315" w:type="pct"/>
                  <w:vAlign w:val="center"/>
                </w:tcPr>
                <w:p w14:paraId="4D9D3B12">
                  <w:pPr>
                    <w:widowControl/>
                    <w:adjustRightInd w:val="0"/>
                    <w:snapToGrid w:val="0"/>
                    <w:jc w:val="center"/>
                    <w:rPr>
                      <w:szCs w:val="21"/>
                    </w:rPr>
                  </w:pPr>
                  <w:r>
                    <w:rPr>
                      <w:szCs w:val="21"/>
                    </w:rPr>
                    <w:t>矿山荒料双刀切石机</w:t>
                  </w:r>
                </w:p>
              </w:tc>
              <w:tc>
                <w:tcPr>
                  <w:tcW w:w="500" w:type="pct"/>
                  <w:vMerge w:val="continue"/>
                  <w:vAlign w:val="center"/>
                </w:tcPr>
                <w:p w14:paraId="232193F3">
                  <w:pPr>
                    <w:widowControl/>
                    <w:adjustRightInd w:val="0"/>
                    <w:snapToGrid w:val="0"/>
                    <w:jc w:val="center"/>
                    <w:rPr>
                      <w:szCs w:val="21"/>
                    </w:rPr>
                  </w:pPr>
                </w:p>
              </w:tc>
              <w:tc>
                <w:tcPr>
                  <w:tcW w:w="536" w:type="pct"/>
                  <w:vAlign w:val="center"/>
                </w:tcPr>
                <w:p w14:paraId="24A31503">
                  <w:pPr>
                    <w:widowControl/>
                    <w:adjustRightInd w:val="0"/>
                    <w:snapToGrid w:val="0"/>
                    <w:jc w:val="center"/>
                    <w:rPr>
                      <w:szCs w:val="21"/>
                    </w:rPr>
                  </w:pPr>
                  <w:r>
                    <w:rPr>
                      <w:szCs w:val="21"/>
                    </w:rPr>
                    <w:t>90</w:t>
                  </w:r>
                </w:p>
              </w:tc>
              <w:tc>
                <w:tcPr>
                  <w:tcW w:w="632" w:type="pct"/>
                  <w:vAlign w:val="center"/>
                </w:tcPr>
                <w:p w14:paraId="57EB4017">
                  <w:pPr>
                    <w:widowControl/>
                    <w:adjustRightInd w:val="0"/>
                    <w:snapToGrid w:val="0"/>
                    <w:jc w:val="center"/>
                    <w:rPr>
                      <w:szCs w:val="21"/>
                    </w:rPr>
                  </w:pPr>
                  <w:r>
                    <w:rPr>
                      <w:szCs w:val="21"/>
                    </w:rPr>
                    <w:t>加强维护</w:t>
                  </w:r>
                </w:p>
              </w:tc>
              <w:tc>
                <w:tcPr>
                  <w:tcW w:w="676" w:type="pct"/>
                  <w:vAlign w:val="center"/>
                </w:tcPr>
                <w:p w14:paraId="53659EBE">
                  <w:pPr>
                    <w:widowControl/>
                    <w:adjustRightInd w:val="0"/>
                    <w:snapToGrid w:val="0"/>
                    <w:jc w:val="center"/>
                    <w:rPr>
                      <w:szCs w:val="21"/>
                    </w:rPr>
                  </w:pPr>
                  <w:r>
                    <w:rPr>
                      <w:szCs w:val="21"/>
                    </w:rPr>
                    <w:t>0</w:t>
                  </w:r>
                </w:p>
              </w:tc>
              <w:tc>
                <w:tcPr>
                  <w:tcW w:w="558" w:type="pct"/>
                  <w:vAlign w:val="center"/>
                </w:tcPr>
                <w:p w14:paraId="5DF1DF61">
                  <w:pPr>
                    <w:widowControl/>
                    <w:adjustRightInd w:val="0"/>
                    <w:snapToGrid w:val="0"/>
                    <w:jc w:val="center"/>
                    <w:rPr>
                      <w:szCs w:val="21"/>
                    </w:rPr>
                  </w:pPr>
                  <w:r>
                    <w:rPr>
                      <w:szCs w:val="21"/>
                    </w:rPr>
                    <w:t>90</w:t>
                  </w:r>
                </w:p>
              </w:tc>
              <w:tc>
                <w:tcPr>
                  <w:tcW w:w="525" w:type="pct"/>
                  <w:vAlign w:val="center"/>
                </w:tcPr>
                <w:p w14:paraId="7CDF3C94">
                  <w:pPr>
                    <w:widowControl/>
                    <w:adjustRightInd w:val="0"/>
                    <w:snapToGrid w:val="0"/>
                    <w:jc w:val="center"/>
                    <w:rPr>
                      <w:szCs w:val="21"/>
                    </w:rPr>
                  </w:pPr>
                  <w:r>
                    <w:rPr>
                      <w:szCs w:val="21"/>
                    </w:rPr>
                    <w:t>1600</w:t>
                  </w:r>
                </w:p>
              </w:tc>
            </w:tr>
            <w:tr w14:paraId="7820E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4" w:type="pct"/>
                  <w:vAlign w:val="center"/>
                </w:tcPr>
                <w:p w14:paraId="177E255F">
                  <w:pPr>
                    <w:widowControl/>
                    <w:adjustRightInd w:val="0"/>
                    <w:snapToGrid w:val="0"/>
                    <w:jc w:val="center"/>
                    <w:rPr>
                      <w:szCs w:val="21"/>
                    </w:rPr>
                  </w:pPr>
                  <w:r>
                    <w:rPr>
                      <w:szCs w:val="21"/>
                    </w:rPr>
                    <w:t>3</w:t>
                  </w:r>
                </w:p>
              </w:tc>
              <w:tc>
                <w:tcPr>
                  <w:tcW w:w="1315" w:type="pct"/>
                  <w:vAlign w:val="center"/>
                </w:tcPr>
                <w:p w14:paraId="66DABD81">
                  <w:pPr>
                    <w:widowControl/>
                    <w:adjustRightInd w:val="0"/>
                    <w:snapToGrid w:val="0"/>
                    <w:jc w:val="center"/>
                    <w:rPr>
                      <w:szCs w:val="21"/>
                    </w:rPr>
                  </w:pPr>
                  <w:r>
                    <w:rPr>
                      <w:szCs w:val="21"/>
                    </w:rPr>
                    <w:t>金刚石串珠锯</w:t>
                  </w:r>
                </w:p>
              </w:tc>
              <w:tc>
                <w:tcPr>
                  <w:tcW w:w="500" w:type="pct"/>
                  <w:vMerge w:val="continue"/>
                  <w:vAlign w:val="center"/>
                </w:tcPr>
                <w:p w14:paraId="03E74A2C">
                  <w:pPr>
                    <w:widowControl/>
                    <w:adjustRightInd w:val="0"/>
                    <w:snapToGrid w:val="0"/>
                    <w:jc w:val="center"/>
                    <w:rPr>
                      <w:szCs w:val="21"/>
                    </w:rPr>
                  </w:pPr>
                </w:p>
              </w:tc>
              <w:tc>
                <w:tcPr>
                  <w:tcW w:w="536" w:type="pct"/>
                  <w:vAlign w:val="center"/>
                </w:tcPr>
                <w:p w14:paraId="5A7BDE1C">
                  <w:pPr>
                    <w:widowControl/>
                    <w:adjustRightInd w:val="0"/>
                    <w:snapToGrid w:val="0"/>
                    <w:jc w:val="center"/>
                    <w:rPr>
                      <w:szCs w:val="21"/>
                    </w:rPr>
                  </w:pPr>
                  <w:r>
                    <w:rPr>
                      <w:szCs w:val="21"/>
                    </w:rPr>
                    <w:t>95</w:t>
                  </w:r>
                </w:p>
              </w:tc>
              <w:tc>
                <w:tcPr>
                  <w:tcW w:w="632" w:type="pct"/>
                  <w:vAlign w:val="center"/>
                </w:tcPr>
                <w:p w14:paraId="67E4CB01">
                  <w:pPr>
                    <w:widowControl/>
                    <w:adjustRightInd w:val="0"/>
                    <w:snapToGrid w:val="0"/>
                    <w:jc w:val="center"/>
                    <w:rPr>
                      <w:szCs w:val="21"/>
                    </w:rPr>
                  </w:pPr>
                  <w:r>
                    <w:rPr>
                      <w:szCs w:val="21"/>
                    </w:rPr>
                    <w:t>加强维护</w:t>
                  </w:r>
                </w:p>
              </w:tc>
              <w:tc>
                <w:tcPr>
                  <w:tcW w:w="676" w:type="pct"/>
                  <w:vAlign w:val="center"/>
                </w:tcPr>
                <w:p w14:paraId="49628B5D">
                  <w:pPr>
                    <w:widowControl/>
                    <w:adjustRightInd w:val="0"/>
                    <w:snapToGrid w:val="0"/>
                    <w:jc w:val="center"/>
                    <w:rPr>
                      <w:szCs w:val="21"/>
                    </w:rPr>
                  </w:pPr>
                  <w:r>
                    <w:rPr>
                      <w:szCs w:val="21"/>
                    </w:rPr>
                    <w:t>0</w:t>
                  </w:r>
                </w:p>
              </w:tc>
              <w:tc>
                <w:tcPr>
                  <w:tcW w:w="558" w:type="pct"/>
                  <w:vAlign w:val="center"/>
                </w:tcPr>
                <w:p w14:paraId="707B2BE0">
                  <w:pPr>
                    <w:widowControl/>
                    <w:adjustRightInd w:val="0"/>
                    <w:snapToGrid w:val="0"/>
                    <w:jc w:val="center"/>
                    <w:rPr>
                      <w:szCs w:val="21"/>
                    </w:rPr>
                  </w:pPr>
                  <w:r>
                    <w:rPr>
                      <w:szCs w:val="21"/>
                    </w:rPr>
                    <w:t>95</w:t>
                  </w:r>
                </w:p>
              </w:tc>
              <w:tc>
                <w:tcPr>
                  <w:tcW w:w="525" w:type="pct"/>
                  <w:vAlign w:val="center"/>
                </w:tcPr>
                <w:p w14:paraId="5A1FEB9E">
                  <w:pPr>
                    <w:widowControl/>
                    <w:adjustRightInd w:val="0"/>
                    <w:snapToGrid w:val="0"/>
                    <w:jc w:val="center"/>
                    <w:rPr>
                      <w:szCs w:val="21"/>
                    </w:rPr>
                  </w:pPr>
                  <w:r>
                    <w:rPr>
                      <w:szCs w:val="21"/>
                    </w:rPr>
                    <w:t>1600</w:t>
                  </w:r>
                </w:p>
              </w:tc>
            </w:tr>
            <w:tr w14:paraId="103E2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4" w:type="pct"/>
                  <w:vAlign w:val="center"/>
                </w:tcPr>
                <w:p w14:paraId="3DAA03F8">
                  <w:pPr>
                    <w:widowControl/>
                    <w:adjustRightInd w:val="0"/>
                    <w:snapToGrid w:val="0"/>
                    <w:jc w:val="center"/>
                    <w:rPr>
                      <w:szCs w:val="21"/>
                    </w:rPr>
                  </w:pPr>
                  <w:r>
                    <w:rPr>
                      <w:szCs w:val="21"/>
                    </w:rPr>
                    <w:t>4</w:t>
                  </w:r>
                </w:p>
              </w:tc>
              <w:tc>
                <w:tcPr>
                  <w:tcW w:w="1315" w:type="pct"/>
                  <w:vAlign w:val="center"/>
                </w:tcPr>
                <w:p w14:paraId="45791ACB">
                  <w:pPr>
                    <w:widowControl/>
                    <w:adjustRightInd w:val="0"/>
                    <w:snapToGrid w:val="0"/>
                    <w:jc w:val="center"/>
                    <w:rPr>
                      <w:szCs w:val="21"/>
                    </w:rPr>
                  </w:pPr>
                  <w:r>
                    <w:rPr>
                      <w:szCs w:val="21"/>
                    </w:rPr>
                    <w:t>挖掘机</w:t>
                  </w:r>
                </w:p>
              </w:tc>
              <w:tc>
                <w:tcPr>
                  <w:tcW w:w="500" w:type="pct"/>
                  <w:vMerge w:val="continue"/>
                  <w:vAlign w:val="center"/>
                </w:tcPr>
                <w:p w14:paraId="023DC6E2">
                  <w:pPr>
                    <w:widowControl/>
                    <w:adjustRightInd w:val="0"/>
                    <w:snapToGrid w:val="0"/>
                    <w:jc w:val="center"/>
                    <w:rPr>
                      <w:szCs w:val="21"/>
                    </w:rPr>
                  </w:pPr>
                </w:p>
              </w:tc>
              <w:tc>
                <w:tcPr>
                  <w:tcW w:w="536" w:type="pct"/>
                  <w:vAlign w:val="center"/>
                </w:tcPr>
                <w:p w14:paraId="03DCE263">
                  <w:pPr>
                    <w:widowControl/>
                    <w:adjustRightInd w:val="0"/>
                    <w:snapToGrid w:val="0"/>
                    <w:jc w:val="center"/>
                    <w:rPr>
                      <w:szCs w:val="21"/>
                    </w:rPr>
                  </w:pPr>
                  <w:r>
                    <w:rPr>
                      <w:szCs w:val="21"/>
                    </w:rPr>
                    <w:t>90</w:t>
                  </w:r>
                </w:p>
              </w:tc>
              <w:tc>
                <w:tcPr>
                  <w:tcW w:w="632" w:type="pct"/>
                  <w:vAlign w:val="center"/>
                </w:tcPr>
                <w:p w14:paraId="39A7407D">
                  <w:pPr>
                    <w:widowControl/>
                    <w:adjustRightInd w:val="0"/>
                    <w:snapToGrid w:val="0"/>
                    <w:jc w:val="center"/>
                    <w:rPr>
                      <w:szCs w:val="21"/>
                    </w:rPr>
                  </w:pPr>
                  <w:r>
                    <w:rPr>
                      <w:szCs w:val="21"/>
                    </w:rPr>
                    <w:t>加强维护</w:t>
                  </w:r>
                </w:p>
              </w:tc>
              <w:tc>
                <w:tcPr>
                  <w:tcW w:w="676" w:type="pct"/>
                  <w:vAlign w:val="center"/>
                </w:tcPr>
                <w:p w14:paraId="0CF93C80">
                  <w:pPr>
                    <w:widowControl/>
                    <w:adjustRightInd w:val="0"/>
                    <w:snapToGrid w:val="0"/>
                    <w:jc w:val="center"/>
                    <w:rPr>
                      <w:szCs w:val="21"/>
                    </w:rPr>
                  </w:pPr>
                  <w:r>
                    <w:rPr>
                      <w:szCs w:val="21"/>
                    </w:rPr>
                    <w:t>0</w:t>
                  </w:r>
                </w:p>
              </w:tc>
              <w:tc>
                <w:tcPr>
                  <w:tcW w:w="558" w:type="pct"/>
                  <w:vAlign w:val="center"/>
                </w:tcPr>
                <w:p w14:paraId="30C2A1C4">
                  <w:pPr>
                    <w:widowControl/>
                    <w:adjustRightInd w:val="0"/>
                    <w:snapToGrid w:val="0"/>
                    <w:jc w:val="center"/>
                    <w:rPr>
                      <w:szCs w:val="21"/>
                    </w:rPr>
                  </w:pPr>
                  <w:r>
                    <w:rPr>
                      <w:szCs w:val="21"/>
                    </w:rPr>
                    <w:t>90</w:t>
                  </w:r>
                </w:p>
              </w:tc>
              <w:tc>
                <w:tcPr>
                  <w:tcW w:w="525" w:type="pct"/>
                  <w:vAlign w:val="center"/>
                </w:tcPr>
                <w:p w14:paraId="1031A87A">
                  <w:pPr>
                    <w:widowControl/>
                    <w:adjustRightInd w:val="0"/>
                    <w:snapToGrid w:val="0"/>
                    <w:jc w:val="center"/>
                    <w:rPr>
                      <w:szCs w:val="21"/>
                    </w:rPr>
                  </w:pPr>
                  <w:r>
                    <w:rPr>
                      <w:szCs w:val="21"/>
                    </w:rPr>
                    <w:t>1600</w:t>
                  </w:r>
                </w:p>
              </w:tc>
            </w:tr>
            <w:tr w14:paraId="550FC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4" w:type="pct"/>
                  <w:vAlign w:val="center"/>
                </w:tcPr>
                <w:p w14:paraId="36ED71B8">
                  <w:pPr>
                    <w:widowControl/>
                    <w:adjustRightInd w:val="0"/>
                    <w:snapToGrid w:val="0"/>
                    <w:jc w:val="center"/>
                    <w:rPr>
                      <w:szCs w:val="21"/>
                    </w:rPr>
                  </w:pPr>
                  <w:r>
                    <w:rPr>
                      <w:szCs w:val="21"/>
                    </w:rPr>
                    <w:t>5</w:t>
                  </w:r>
                </w:p>
              </w:tc>
              <w:tc>
                <w:tcPr>
                  <w:tcW w:w="1315" w:type="pct"/>
                  <w:vAlign w:val="center"/>
                </w:tcPr>
                <w:p w14:paraId="6C39F900">
                  <w:pPr>
                    <w:widowControl/>
                    <w:adjustRightInd w:val="0"/>
                    <w:snapToGrid w:val="0"/>
                    <w:jc w:val="center"/>
                    <w:rPr>
                      <w:szCs w:val="21"/>
                    </w:rPr>
                  </w:pPr>
                  <w:r>
                    <w:rPr>
                      <w:szCs w:val="21"/>
                    </w:rPr>
                    <w:t>装载机</w:t>
                  </w:r>
                </w:p>
              </w:tc>
              <w:tc>
                <w:tcPr>
                  <w:tcW w:w="500" w:type="pct"/>
                  <w:vMerge w:val="continue"/>
                  <w:vAlign w:val="center"/>
                </w:tcPr>
                <w:p w14:paraId="3FC1F371">
                  <w:pPr>
                    <w:widowControl/>
                    <w:adjustRightInd w:val="0"/>
                    <w:snapToGrid w:val="0"/>
                    <w:jc w:val="center"/>
                    <w:rPr>
                      <w:szCs w:val="21"/>
                    </w:rPr>
                  </w:pPr>
                </w:p>
              </w:tc>
              <w:tc>
                <w:tcPr>
                  <w:tcW w:w="536" w:type="pct"/>
                  <w:vAlign w:val="center"/>
                </w:tcPr>
                <w:p w14:paraId="46932394">
                  <w:pPr>
                    <w:widowControl/>
                    <w:adjustRightInd w:val="0"/>
                    <w:snapToGrid w:val="0"/>
                    <w:jc w:val="center"/>
                    <w:rPr>
                      <w:szCs w:val="21"/>
                    </w:rPr>
                  </w:pPr>
                  <w:r>
                    <w:rPr>
                      <w:szCs w:val="21"/>
                    </w:rPr>
                    <w:t>85</w:t>
                  </w:r>
                </w:p>
              </w:tc>
              <w:tc>
                <w:tcPr>
                  <w:tcW w:w="632" w:type="pct"/>
                  <w:vAlign w:val="center"/>
                </w:tcPr>
                <w:p w14:paraId="6476E7EC">
                  <w:pPr>
                    <w:widowControl/>
                    <w:adjustRightInd w:val="0"/>
                    <w:snapToGrid w:val="0"/>
                    <w:jc w:val="center"/>
                    <w:rPr>
                      <w:szCs w:val="21"/>
                    </w:rPr>
                  </w:pPr>
                  <w:r>
                    <w:rPr>
                      <w:szCs w:val="21"/>
                    </w:rPr>
                    <w:t>加强维护</w:t>
                  </w:r>
                </w:p>
              </w:tc>
              <w:tc>
                <w:tcPr>
                  <w:tcW w:w="676" w:type="pct"/>
                  <w:vAlign w:val="center"/>
                </w:tcPr>
                <w:p w14:paraId="637405BC">
                  <w:pPr>
                    <w:widowControl/>
                    <w:adjustRightInd w:val="0"/>
                    <w:snapToGrid w:val="0"/>
                    <w:jc w:val="center"/>
                    <w:rPr>
                      <w:szCs w:val="21"/>
                    </w:rPr>
                  </w:pPr>
                  <w:r>
                    <w:rPr>
                      <w:szCs w:val="21"/>
                    </w:rPr>
                    <w:t>0</w:t>
                  </w:r>
                </w:p>
              </w:tc>
              <w:tc>
                <w:tcPr>
                  <w:tcW w:w="558" w:type="pct"/>
                  <w:vAlign w:val="center"/>
                </w:tcPr>
                <w:p w14:paraId="11DCA345">
                  <w:pPr>
                    <w:widowControl/>
                    <w:adjustRightInd w:val="0"/>
                    <w:snapToGrid w:val="0"/>
                    <w:jc w:val="center"/>
                    <w:rPr>
                      <w:szCs w:val="21"/>
                    </w:rPr>
                  </w:pPr>
                  <w:r>
                    <w:rPr>
                      <w:szCs w:val="21"/>
                    </w:rPr>
                    <w:t>85</w:t>
                  </w:r>
                </w:p>
              </w:tc>
              <w:tc>
                <w:tcPr>
                  <w:tcW w:w="525" w:type="pct"/>
                  <w:vAlign w:val="center"/>
                </w:tcPr>
                <w:p w14:paraId="4BC7B962">
                  <w:pPr>
                    <w:widowControl/>
                    <w:adjustRightInd w:val="0"/>
                    <w:snapToGrid w:val="0"/>
                    <w:jc w:val="center"/>
                    <w:rPr>
                      <w:szCs w:val="21"/>
                    </w:rPr>
                  </w:pPr>
                  <w:r>
                    <w:rPr>
                      <w:szCs w:val="21"/>
                    </w:rPr>
                    <w:t>1600</w:t>
                  </w:r>
                </w:p>
              </w:tc>
            </w:tr>
          </w:tbl>
          <w:p w14:paraId="771037AB">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kern w:val="0"/>
                <w:sz w:val="24"/>
                <w:lang w:bidi="ar"/>
              </w:rPr>
            </w:pPr>
            <w:r>
              <w:rPr>
                <w:rFonts w:hint="eastAsia"/>
                <w:kern w:val="0"/>
                <w:sz w:val="24"/>
                <w:lang w:bidi="ar"/>
              </w:rPr>
              <w:t>（2）影响分析</w:t>
            </w:r>
          </w:p>
          <w:p w14:paraId="5E3D112D">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kern w:val="0"/>
                <w:sz w:val="24"/>
              </w:rPr>
            </w:pPr>
            <w:r>
              <w:rPr>
                <w:sz w:val="24"/>
              </w:rPr>
              <w:t>按照《环境影响评价技术导则 声环境》（HJ2.4-2021）的技术规定，采 用点源传播衰减模式：</w:t>
            </w:r>
          </w:p>
          <w:p w14:paraId="51C93AC4">
            <w:pPr>
              <w:widowControl/>
              <w:spacing w:line="480" w:lineRule="exact"/>
              <w:ind w:firstLine="480" w:firstLineChars="200"/>
              <w:jc w:val="center"/>
              <w:rPr>
                <w:kern w:val="0"/>
                <w:sz w:val="24"/>
              </w:rPr>
            </w:pPr>
            <w:r>
              <w:rPr>
                <w:sz w:val="24"/>
              </w:rPr>
              <w:drawing>
                <wp:inline distT="0" distB="0" distL="114300" distR="114300">
                  <wp:extent cx="1478280" cy="342900"/>
                  <wp:effectExtent l="0" t="0" r="7620" b="0"/>
                  <wp:docPr id="2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pic:cNvPicPr>
                            <a:picLocks noChangeAspect="1"/>
                          </pic:cNvPicPr>
                        </pic:nvPicPr>
                        <pic:blipFill>
                          <a:blip r:embed="rId18"/>
                          <a:stretch>
                            <a:fillRect/>
                          </a:stretch>
                        </pic:blipFill>
                        <pic:spPr>
                          <a:xfrm>
                            <a:off x="0" y="0"/>
                            <a:ext cx="1478280" cy="342900"/>
                          </a:xfrm>
                          <a:prstGeom prst="rect">
                            <a:avLst/>
                          </a:prstGeom>
                          <a:noFill/>
                          <a:ln>
                            <a:noFill/>
                          </a:ln>
                        </pic:spPr>
                      </pic:pic>
                    </a:graphicData>
                  </a:graphic>
                </wp:inline>
              </w:drawing>
            </w:r>
          </w:p>
          <w:p w14:paraId="42038CA5">
            <w:pPr>
              <w:widowControl/>
              <w:spacing w:line="480" w:lineRule="exact"/>
              <w:ind w:firstLine="480" w:firstLineChars="200"/>
              <w:rPr>
                <w:kern w:val="0"/>
                <w:sz w:val="24"/>
              </w:rPr>
            </w:pPr>
            <w:r>
              <w:rPr>
                <w:sz w:val="24"/>
              </w:rPr>
              <w:t>式中：Lp—距声源r（m）处声压级，dB（A）；</w:t>
            </w:r>
          </w:p>
          <w:p w14:paraId="2C2AE10D">
            <w:pPr>
              <w:widowControl/>
              <w:spacing w:line="480" w:lineRule="exact"/>
              <w:ind w:firstLine="480" w:firstLineChars="200"/>
              <w:rPr>
                <w:kern w:val="0"/>
                <w:sz w:val="24"/>
              </w:rPr>
            </w:pPr>
            <w:r>
              <w:rPr>
                <w:sz w:val="24"/>
              </w:rPr>
              <w:t>Lp</w:t>
            </w:r>
            <w:r>
              <w:rPr>
                <w:sz w:val="24"/>
                <w:vertAlign w:val="subscript"/>
              </w:rPr>
              <w:t>0</w:t>
            </w:r>
            <w:r>
              <w:rPr>
                <w:sz w:val="24"/>
              </w:rPr>
              <w:t>—距声源r</w:t>
            </w:r>
            <w:r>
              <w:rPr>
                <w:sz w:val="24"/>
                <w:vertAlign w:val="subscript"/>
              </w:rPr>
              <w:t>0</w:t>
            </w:r>
            <w:r>
              <w:rPr>
                <w:sz w:val="24"/>
              </w:rPr>
              <w:t>（m）处的声压级，dB（A）；</w:t>
            </w:r>
          </w:p>
          <w:p w14:paraId="4C4F6B22">
            <w:pPr>
              <w:widowControl/>
              <w:spacing w:line="480" w:lineRule="exact"/>
              <w:ind w:firstLine="480" w:firstLineChars="200"/>
              <w:rPr>
                <w:sz w:val="24"/>
              </w:rPr>
            </w:pPr>
            <w:r>
              <w:rPr>
                <w:sz w:val="24"/>
              </w:rPr>
              <w:t>r—距声源的距离，m；</w:t>
            </w:r>
          </w:p>
          <w:p w14:paraId="2E628145">
            <w:pPr>
              <w:widowControl/>
              <w:spacing w:line="480" w:lineRule="exact"/>
              <w:ind w:firstLine="480" w:firstLineChars="200"/>
              <w:rPr>
                <w:kern w:val="0"/>
                <w:sz w:val="24"/>
              </w:rPr>
            </w:pPr>
            <w:r>
              <w:rPr>
                <w:sz w:val="24"/>
              </w:rPr>
              <w:t>r</w:t>
            </w:r>
            <w:r>
              <w:rPr>
                <w:sz w:val="24"/>
                <w:vertAlign w:val="subscript"/>
              </w:rPr>
              <w:t>0</w:t>
            </w:r>
            <w:r>
              <w:rPr>
                <w:sz w:val="24"/>
              </w:rPr>
              <w:t>—距声源1m；</w:t>
            </w:r>
          </w:p>
          <w:p w14:paraId="12AF8FAD">
            <w:pPr>
              <w:widowControl/>
              <w:spacing w:line="480" w:lineRule="exact"/>
              <w:ind w:firstLine="480" w:firstLineChars="200"/>
              <w:rPr>
                <w:kern w:val="0"/>
                <w:sz w:val="24"/>
              </w:rPr>
            </w:pPr>
            <w:r>
              <w:rPr>
                <w:kern w:val="0"/>
                <w:sz w:val="24"/>
              </w:rPr>
              <w:t>项目各噪声源在不同距离处的A声级贡献值计算结果见表4-</w:t>
            </w:r>
            <w:r>
              <w:rPr>
                <w:rFonts w:hint="eastAsia"/>
                <w:kern w:val="0"/>
                <w:sz w:val="24"/>
              </w:rPr>
              <w:t>8</w:t>
            </w:r>
            <w:r>
              <w:rPr>
                <w:kern w:val="0"/>
                <w:sz w:val="24"/>
              </w:rPr>
              <w:t>。</w:t>
            </w:r>
          </w:p>
          <w:p w14:paraId="06A2091C">
            <w:pPr>
              <w:widowControl/>
              <w:spacing w:line="480" w:lineRule="exact"/>
              <w:jc w:val="center"/>
              <w:rPr>
                <w:szCs w:val="21"/>
                <w:lang w:bidi="ar"/>
              </w:rPr>
            </w:pPr>
            <w:r>
              <w:rPr>
                <w:rFonts w:hint="eastAsia"/>
                <w:szCs w:val="21"/>
                <w:lang w:bidi="ar"/>
              </w:rPr>
              <w:t>表4-</w:t>
            </w:r>
            <w:r>
              <w:rPr>
                <w:szCs w:val="21"/>
                <w:lang w:bidi="ar"/>
              </w:rPr>
              <w:t>8</w:t>
            </w:r>
            <w:r>
              <w:rPr>
                <w:rFonts w:hint="eastAsia"/>
                <w:szCs w:val="21"/>
                <w:lang w:bidi="ar"/>
              </w:rPr>
              <w:t xml:space="preserve"> 不同距离处的各噪声等效声级  单位：dB（A）</w:t>
            </w:r>
          </w:p>
          <w:tbl>
            <w:tblPr>
              <w:tblStyle w:val="3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85"/>
              <w:gridCol w:w="758"/>
              <w:gridCol w:w="758"/>
              <w:gridCol w:w="759"/>
              <w:gridCol w:w="759"/>
              <w:gridCol w:w="759"/>
              <w:gridCol w:w="759"/>
              <w:gridCol w:w="759"/>
              <w:gridCol w:w="764"/>
            </w:tblGrid>
            <w:tr w14:paraId="24119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65" w:type="pct"/>
                  <w:vAlign w:val="center"/>
                </w:tcPr>
                <w:p w14:paraId="1C619B96">
                  <w:pPr>
                    <w:widowControl/>
                    <w:snapToGrid w:val="0"/>
                    <w:jc w:val="center"/>
                    <w:rPr>
                      <w:kern w:val="0"/>
                      <w:szCs w:val="21"/>
                    </w:rPr>
                  </w:pPr>
                  <w:r>
                    <w:rPr>
                      <w:kern w:val="0"/>
                      <w:szCs w:val="21"/>
                    </w:rPr>
                    <w:t>噪声源距离（m）</w:t>
                  </w:r>
                </w:p>
              </w:tc>
              <w:tc>
                <w:tcPr>
                  <w:tcW w:w="453" w:type="pct"/>
                  <w:vAlign w:val="center"/>
                </w:tcPr>
                <w:p w14:paraId="6143918C">
                  <w:pPr>
                    <w:widowControl/>
                    <w:jc w:val="center"/>
                    <w:rPr>
                      <w:kern w:val="0"/>
                      <w:szCs w:val="21"/>
                    </w:rPr>
                  </w:pPr>
                  <w:r>
                    <w:rPr>
                      <w:kern w:val="0"/>
                      <w:szCs w:val="21"/>
                    </w:rPr>
                    <w:t>1</w:t>
                  </w:r>
                </w:p>
              </w:tc>
              <w:tc>
                <w:tcPr>
                  <w:tcW w:w="453" w:type="pct"/>
                  <w:vAlign w:val="center"/>
                </w:tcPr>
                <w:p w14:paraId="20082DDB">
                  <w:pPr>
                    <w:widowControl/>
                    <w:jc w:val="center"/>
                    <w:rPr>
                      <w:kern w:val="0"/>
                      <w:szCs w:val="21"/>
                    </w:rPr>
                  </w:pPr>
                  <w:r>
                    <w:rPr>
                      <w:kern w:val="0"/>
                      <w:szCs w:val="21"/>
                    </w:rPr>
                    <w:t>10</w:t>
                  </w:r>
                </w:p>
              </w:tc>
              <w:tc>
                <w:tcPr>
                  <w:tcW w:w="453" w:type="pct"/>
                  <w:vAlign w:val="center"/>
                </w:tcPr>
                <w:p w14:paraId="42D78732">
                  <w:pPr>
                    <w:widowControl/>
                    <w:jc w:val="center"/>
                    <w:rPr>
                      <w:kern w:val="0"/>
                      <w:szCs w:val="21"/>
                    </w:rPr>
                  </w:pPr>
                  <w:r>
                    <w:rPr>
                      <w:kern w:val="0"/>
                      <w:szCs w:val="21"/>
                    </w:rPr>
                    <w:t>20</w:t>
                  </w:r>
                </w:p>
              </w:tc>
              <w:tc>
                <w:tcPr>
                  <w:tcW w:w="453" w:type="pct"/>
                  <w:vAlign w:val="center"/>
                </w:tcPr>
                <w:p w14:paraId="62F85EB8">
                  <w:pPr>
                    <w:widowControl/>
                    <w:jc w:val="center"/>
                    <w:rPr>
                      <w:kern w:val="0"/>
                      <w:szCs w:val="21"/>
                    </w:rPr>
                  </w:pPr>
                  <w:r>
                    <w:rPr>
                      <w:kern w:val="0"/>
                      <w:szCs w:val="21"/>
                    </w:rPr>
                    <w:t>30</w:t>
                  </w:r>
                </w:p>
              </w:tc>
              <w:tc>
                <w:tcPr>
                  <w:tcW w:w="453" w:type="pct"/>
                  <w:vAlign w:val="center"/>
                </w:tcPr>
                <w:p w14:paraId="2A488C45">
                  <w:pPr>
                    <w:widowControl/>
                    <w:jc w:val="center"/>
                    <w:rPr>
                      <w:kern w:val="0"/>
                      <w:szCs w:val="21"/>
                    </w:rPr>
                  </w:pPr>
                  <w:r>
                    <w:rPr>
                      <w:kern w:val="0"/>
                      <w:szCs w:val="21"/>
                    </w:rPr>
                    <w:t>80</w:t>
                  </w:r>
                </w:p>
              </w:tc>
              <w:tc>
                <w:tcPr>
                  <w:tcW w:w="453" w:type="pct"/>
                  <w:vAlign w:val="center"/>
                </w:tcPr>
                <w:p w14:paraId="1B90C66D">
                  <w:pPr>
                    <w:widowControl/>
                    <w:jc w:val="center"/>
                    <w:rPr>
                      <w:kern w:val="0"/>
                      <w:szCs w:val="21"/>
                    </w:rPr>
                  </w:pPr>
                  <w:r>
                    <w:rPr>
                      <w:kern w:val="0"/>
                      <w:szCs w:val="21"/>
                    </w:rPr>
                    <w:t>100</w:t>
                  </w:r>
                </w:p>
              </w:tc>
              <w:tc>
                <w:tcPr>
                  <w:tcW w:w="453" w:type="pct"/>
                  <w:vAlign w:val="center"/>
                </w:tcPr>
                <w:p w14:paraId="179125DF">
                  <w:pPr>
                    <w:widowControl/>
                    <w:jc w:val="center"/>
                    <w:rPr>
                      <w:kern w:val="0"/>
                      <w:szCs w:val="21"/>
                    </w:rPr>
                  </w:pPr>
                  <w:r>
                    <w:rPr>
                      <w:kern w:val="0"/>
                      <w:szCs w:val="21"/>
                    </w:rPr>
                    <w:t>120</w:t>
                  </w:r>
                </w:p>
              </w:tc>
              <w:tc>
                <w:tcPr>
                  <w:tcW w:w="456" w:type="pct"/>
                  <w:vAlign w:val="center"/>
                </w:tcPr>
                <w:p w14:paraId="1A7F6D9B">
                  <w:pPr>
                    <w:widowControl/>
                    <w:jc w:val="center"/>
                    <w:rPr>
                      <w:kern w:val="0"/>
                      <w:szCs w:val="21"/>
                    </w:rPr>
                  </w:pPr>
                  <w:r>
                    <w:rPr>
                      <w:kern w:val="0"/>
                      <w:szCs w:val="21"/>
                    </w:rPr>
                    <w:t>150</w:t>
                  </w:r>
                </w:p>
              </w:tc>
            </w:tr>
            <w:tr w14:paraId="5C4E9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65" w:type="pct"/>
                  <w:vAlign w:val="center"/>
                </w:tcPr>
                <w:p w14:paraId="64350C0E">
                  <w:pPr>
                    <w:widowControl/>
                    <w:jc w:val="center"/>
                    <w:rPr>
                      <w:kern w:val="0"/>
                      <w:szCs w:val="21"/>
                    </w:rPr>
                  </w:pPr>
                  <w:r>
                    <w:rPr>
                      <w:szCs w:val="21"/>
                    </w:rPr>
                    <w:t>挖掘机</w:t>
                  </w:r>
                </w:p>
              </w:tc>
              <w:tc>
                <w:tcPr>
                  <w:tcW w:w="453" w:type="pct"/>
                  <w:vAlign w:val="center"/>
                </w:tcPr>
                <w:p w14:paraId="47CFB119">
                  <w:pPr>
                    <w:widowControl/>
                    <w:jc w:val="center"/>
                    <w:rPr>
                      <w:kern w:val="0"/>
                      <w:szCs w:val="21"/>
                    </w:rPr>
                  </w:pPr>
                  <w:r>
                    <w:rPr>
                      <w:kern w:val="0"/>
                      <w:szCs w:val="21"/>
                    </w:rPr>
                    <w:t>95</w:t>
                  </w:r>
                </w:p>
              </w:tc>
              <w:tc>
                <w:tcPr>
                  <w:tcW w:w="453" w:type="pct"/>
                  <w:vAlign w:val="center"/>
                </w:tcPr>
                <w:p w14:paraId="5B4F607E">
                  <w:pPr>
                    <w:widowControl/>
                    <w:jc w:val="center"/>
                    <w:rPr>
                      <w:kern w:val="0"/>
                      <w:szCs w:val="21"/>
                    </w:rPr>
                  </w:pPr>
                  <w:r>
                    <w:rPr>
                      <w:kern w:val="0"/>
                      <w:szCs w:val="21"/>
                    </w:rPr>
                    <w:t>75</w:t>
                  </w:r>
                </w:p>
              </w:tc>
              <w:tc>
                <w:tcPr>
                  <w:tcW w:w="453" w:type="pct"/>
                  <w:vAlign w:val="center"/>
                </w:tcPr>
                <w:p w14:paraId="10593E77">
                  <w:pPr>
                    <w:widowControl/>
                    <w:jc w:val="center"/>
                    <w:rPr>
                      <w:kern w:val="0"/>
                      <w:szCs w:val="21"/>
                    </w:rPr>
                  </w:pPr>
                  <w:r>
                    <w:rPr>
                      <w:kern w:val="0"/>
                      <w:szCs w:val="21"/>
                    </w:rPr>
                    <w:t>69</w:t>
                  </w:r>
                </w:p>
              </w:tc>
              <w:tc>
                <w:tcPr>
                  <w:tcW w:w="453" w:type="pct"/>
                  <w:vAlign w:val="center"/>
                </w:tcPr>
                <w:p w14:paraId="02662727">
                  <w:pPr>
                    <w:widowControl/>
                    <w:jc w:val="center"/>
                    <w:rPr>
                      <w:kern w:val="0"/>
                      <w:szCs w:val="21"/>
                    </w:rPr>
                  </w:pPr>
                  <w:r>
                    <w:rPr>
                      <w:kern w:val="0"/>
                      <w:szCs w:val="21"/>
                    </w:rPr>
                    <w:t>65.5</w:t>
                  </w:r>
                </w:p>
              </w:tc>
              <w:tc>
                <w:tcPr>
                  <w:tcW w:w="453" w:type="pct"/>
                  <w:vAlign w:val="center"/>
                </w:tcPr>
                <w:p w14:paraId="0B3933B8">
                  <w:pPr>
                    <w:widowControl/>
                    <w:jc w:val="center"/>
                    <w:rPr>
                      <w:kern w:val="0"/>
                      <w:szCs w:val="21"/>
                    </w:rPr>
                  </w:pPr>
                  <w:r>
                    <w:rPr>
                      <w:kern w:val="0"/>
                      <w:szCs w:val="21"/>
                    </w:rPr>
                    <w:t>56.9</w:t>
                  </w:r>
                </w:p>
              </w:tc>
              <w:tc>
                <w:tcPr>
                  <w:tcW w:w="453" w:type="pct"/>
                  <w:vAlign w:val="center"/>
                </w:tcPr>
                <w:p w14:paraId="20A4AE64">
                  <w:pPr>
                    <w:widowControl/>
                    <w:jc w:val="center"/>
                    <w:rPr>
                      <w:kern w:val="0"/>
                      <w:szCs w:val="21"/>
                    </w:rPr>
                  </w:pPr>
                  <w:r>
                    <w:rPr>
                      <w:kern w:val="0"/>
                      <w:szCs w:val="21"/>
                    </w:rPr>
                    <w:t>55</w:t>
                  </w:r>
                </w:p>
              </w:tc>
              <w:tc>
                <w:tcPr>
                  <w:tcW w:w="453" w:type="pct"/>
                  <w:vAlign w:val="center"/>
                </w:tcPr>
                <w:p w14:paraId="6FFC3E26">
                  <w:pPr>
                    <w:widowControl/>
                    <w:jc w:val="center"/>
                    <w:rPr>
                      <w:kern w:val="0"/>
                      <w:szCs w:val="21"/>
                    </w:rPr>
                  </w:pPr>
                  <w:r>
                    <w:rPr>
                      <w:kern w:val="0"/>
                      <w:szCs w:val="21"/>
                    </w:rPr>
                    <w:t>53.4</w:t>
                  </w:r>
                </w:p>
              </w:tc>
              <w:tc>
                <w:tcPr>
                  <w:tcW w:w="456" w:type="pct"/>
                  <w:vAlign w:val="center"/>
                </w:tcPr>
                <w:p w14:paraId="5535F327">
                  <w:pPr>
                    <w:widowControl/>
                    <w:jc w:val="center"/>
                    <w:rPr>
                      <w:kern w:val="0"/>
                      <w:szCs w:val="21"/>
                    </w:rPr>
                  </w:pPr>
                  <w:r>
                    <w:rPr>
                      <w:kern w:val="0"/>
                      <w:szCs w:val="21"/>
                    </w:rPr>
                    <w:t>51.5</w:t>
                  </w:r>
                </w:p>
              </w:tc>
            </w:tr>
            <w:tr w14:paraId="4F548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65" w:type="pct"/>
                  <w:vAlign w:val="center"/>
                </w:tcPr>
                <w:p w14:paraId="535451BF">
                  <w:pPr>
                    <w:widowControl/>
                    <w:jc w:val="center"/>
                    <w:rPr>
                      <w:kern w:val="0"/>
                      <w:szCs w:val="21"/>
                    </w:rPr>
                  </w:pPr>
                  <w:r>
                    <w:rPr>
                      <w:szCs w:val="21"/>
                    </w:rPr>
                    <w:t>矿山荒料双刀切石机</w:t>
                  </w:r>
                </w:p>
              </w:tc>
              <w:tc>
                <w:tcPr>
                  <w:tcW w:w="453" w:type="pct"/>
                  <w:vAlign w:val="center"/>
                </w:tcPr>
                <w:p w14:paraId="2797654D">
                  <w:pPr>
                    <w:widowControl/>
                    <w:jc w:val="center"/>
                    <w:rPr>
                      <w:kern w:val="0"/>
                      <w:szCs w:val="21"/>
                    </w:rPr>
                  </w:pPr>
                  <w:r>
                    <w:rPr>
                      <w:kern w:val="0"/>
                      <w:szCs w:val="21"/>
                    </w:rPr>
                    <w:t>90</w:t>
                  </w:r>
                </w:p>
              </w:tc>
              <w:tc>
                <w:tcPr>
                  <w:tcW w:w="453" w:type="pct"/>
                  <w:vAlign w:val="center"/>
                </w:tcPr>
                <w:p w14:paraId="03769A1C">
                  <w:pPr>
                    <w:widowControl/>
                    <w:jc w:val="center"/>
                    <w:rPr>
                      <w:kern w:val="0"/>
                      <w:szCs w:val="21"/>
                    </w:rPr>
                  </w:pPr>
                  <w:r>
                    <w:rPr>
                      <w:kern w:val="0"/>
                      <w:szCs w:val="21"/>
                    </w:rPr>
                    <w:t>70</w:t>
                  </w:r>
                </w:p>
              </w:tc>
              <w:tc>
                <w:tcPr>
                  <w:tcW w:w="453" w:type="pct"/>
                  <w:vAlign w:val="center"/>
                </w:tcPr>
                <w:p w14:paraId="698A9A99">
                  <w:pPr>
                    <w:widowControl/>
                    <w:jc w:val="center"/>
                    <w:rPr>
                      <w:kern w:val="0"/>
                      <w:szCs w:val="21"/>
                    </w:rPr>
                  </w:pPr>
                  <w:r>
                    <w:rPr>
                      <w:kern w:val="0"/>
                      <w:szCs w:val="21"/>
                    </w:rPr>
                    <w:t>64</w:t>
                  </w:r>
                </w:p>
              </w:tc>
              <w:tc>
                <w:tcPr>
                  <w:tcW w:w="453" w:type="pct"/>
                  <w:vAlign w:val="center"/>
                </w:tcPr>
                <w:p w14:paraId="576CA4C5">
                  <w:pPr>
                    <w:widowControl/>
                    <w:jc w:val="center"/>
                    <w:rPr>
                      <w:kern w:val="0"/>
                      <w:szCs w:val="21"/>
                    </w:rPr>
                  </w:pPr>
                  <w:r>
                    <w:rPr>
                      <w:kern w:val="0"/>
                      <w:szCs w:val="21"/>
                    </w:rPr>
                    <w:t>60.5</w:t>
                  </w:r>
                </w:p>
              </w:tc>
              <w:tc>
                <w:tcPr>
                  <w:tcW w:w="453" w:type="pct"/>
                  <w:vAlign w:val="center"/>
                </w:tcPr>
                <w:p w14:paraId="4FFA9809">
                  <w:pPr>
                    <w:widowControl/>
                    <w:jc w:val="center"/>
                    <w:rPr>
                      <w:kern w:val="0"/>
                      <w:szCs w:val="21"/>
                    </w:rPr>
                  </w:pPr>
                  <w:r>
                    <w:rPr>
                      <w:kern w:val="0"/>
                      <w:szCs w:val="21"/>
                    </w:rPr>
                    <w:t>51.9</w:t>
                  </w:r>
                </w:p>
              </w:tc>
              <w:tc>
                <w:tcPr>
                  <w:tcW w:w="453" w:type="pct"/>
                  <w:vAlign w:val="center"/>
                </w:tcPr>
                <w:p w14:paraId="0920C2B7">
                  <w:pPr>
                    <w:widowControl/>
                    <w:jc w:val="center"/>
                    <w:rPr>
                      <w:kern w:val="0"/>
                      <w:szCs w:val="21"/>
                    </w:rPr>
                  </w:pPr>
                  <w:r>
                    <w:rPr>
                      <w:kern w:val="0"/>
                      <w:szCs w:val="21"/>
                    </w:rPr>
                    <w:t>50</w:t>
                  </w:r>
                </w:p>
              </w:tc>
              <w:tc>
                <w:tcPr>
                  <w:tcW w:w="453" w:type="pct"/>
                  <w:vAlign w:val="center"/>
                </w:tcPr>
                <w:p w14:paraId="447B1757">
                  <w:pPr>
                    <w:widowControl/>
                    <w:jc w:val="center"/>
                    <w:rPr>
                      <w:kern w:val="0"/>
                      <w:szCs w:val="21"/>
                    </w:rPr>
                  </w:pPr>
                  <w:r>
                    <w:rPr>
                      <w:kern w:val="0"/>
                      <w:szCs w:val="21"/>
                    </w:rPr>
                    <w:t>48.4</w:t>
                  </w:r>
                </w:p>
              </w:tc>
              <w:tc>
                <w:tcPr>
                  <w:tcW w:w="456" w:type="pct"/>
                  <w:vAlign w:val="center"/>
                </w:tcPr>
                <w:p w14:paraId="7A6A4A30">
                  <w:pPr>
                    <w:widowControl/>
                    <w:jc w:val="center"/>
                    <w:rPr>
                      <w:kern w:val="0"/>
                      <w:szCs w:val="21"/>
                    </w:rPr>
                  </w:pPr>
                  <w:r>
                    <w:rPr>
                      <w:kern w:val="0"/>
                      <w:szCs w:val="21"/>
                    </w:rPr>
                    <w:t>46.5</w:t>
                  </w:r>
                </w:p>
              </w:tc>
            </w:tr>
            <w:tr w14:paraId="4654D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65" w:type="pct"/>
                  <w:vAlign w:val="center"/>
                </w:tcPr>
                <w:p w14:paraId="4FFEC921">
                  <w:pPr>
                    <w:widowControl/>
                    <w:jc w:val="center"/>
                    <w:rPr>
                      <w:kern w:val="0"/>
                      <w:szCs w:val="21"/>
                    </w:rPr>
                  </w:pPr>
                  <w:r>
                    <w:rPr>
                      <w:szCs w:val="21"/>
                    </w:rPr>
                    <w:t>金刚石串珠锯</w:t>
                  </w:r>
                </w:p>
              </w:tc>
              <w:tc>
                <w:tcPr>
                  <w:tcW w:w="453" w:type="pct"/>
                  <w:vAlign w:val="center"/>
                </w:tcPr>
                <w:p w14:paraId="36B3E246">
                  <w:pPr>
                    <w:widowControl/>
                    <w:jc w:val="center"/>
                    <w:rPr>
                      <w:kern w:val="0"/>
                      <w:szCs w:val="21"/>
                    </w:rPr>
                  </w:pPr>
                  <w:r>
                    <w:rPr>
                      <w:kern w:val="0"/>
                      <w:szCs w:val="21"/>
                    </w:rPr>
                    <w:t>95</w:t>
                  </w:r>
                </w:p>
              </w:tc>
              <w:tc>
                <w:tcPr>
                  <w:tcW w:w="453" w:type="pct"/>
                  <w:vAlign w:val="center"/>
                </w:tcPr>
                <w:p w14:paraId="77791D88">
                  <w:pPr>
                    <w:widowControl/>
                    <w:jc w:val="center"/>
                    <w:rPr>
                      <w:kern w:val="0"/>
                      <w:szCs w:val="21"/>
                    </w:rPr>
                  </w:pPr>
                  <w:r>
                    <w:rPr>
                      <w:kern w:val="0"/>
                      <w:szCs w:val="21"/>
                    </w:rPr>
                    <w:t>75</w:t>
                  </w:r>
                </w:p>
              </w:tc>
              <w:tc>
                <w:tcPr>
                  <w:tcW w:w="453" w:type="pct"/>
                  <w:vAlign w:val="center"/>
                </w:tcPr>
                <w:p w14:paraId="6DF27403">
                  <w:pPr>
                    <w:widowControl/>
                    <w:jc w:val="center"/>
                    <w:rPr>
                      <w:kern w:val="0"/>
                      <w:szCs w:val="21"/>
                    </w:rPr>
                  </w:pPr>
                  <w:r>
                    <w:rPr>
                      <w:kern w:val="0"/>
                      <w:szCs w:val="21"/>
                    </w:rPr>
                    <w:t>69</w:t>
                  </w:r>
                </w:p>
              </w:tc>
              <w:tc>
                <w:tcPr>
                  <w:tcW w:w="453" w:type="pct"/>
                  <w:vAlign w:val="center"/>
                </w:tcPr>
                <w:p w14:paraId="4BCFE8C6">
                  <w:pPr>
                    <w:widowControl/>
                    <w:jc w:val="center"/>
                    <w:rPr>
                      <w:kern w:val="0"/>
                      <w:szCs w:val="21"/>
                    </w:rPr>
                  </w:pPr>
                  <w:r>
                    <w:rPr>
                      <w:kern w:val="0"/>
                      <w:szCs w:val="21"/>
                    </w:rPr>
                    <w:t>65.5</w:t>
                  </w:r>
                </w:p>
              </w:tc>
              <w:tc>
                <w:tcPr>
                  <w:tcW w:w="453" w:type="pct"/>
                  <w:vAlign w:val="center"/>
                </w:tcPr>
                <w:p w14:paraId="284197B0">
                  <w:pPr>
                    <w:widowControl/>
                    <w:jc w:val="center"/>
                    <w:rPr>
                      <w:kern w:val="0"/>
                      <w:szCs w:val="21"/>
                    </w:rPr>
                  </w:pPr>
                  <w:r>
                    <w:rPr>
                      <w:kern w:val="0"/>
                      <w:szCs w:val="21"/>
                    </w:rPr>
                    <w:t>56.9</w:t>
                  </w:r>
                </w:p>
              </w:tc>
              <w:tc>
                <w:tcPr>
                  <w:tcW w:w="453" w:type="pct"/>
                  <w:vAlign w:val="center"/>
                </w:tcPr>
                <w:p w14:paraId="39B87287">
                  <w:pPr>
                    <w:widowControl/>
                    <w:jc w:val="center"/>
                    <w:rPr>
                      <w:kern w:val="0"/>
                      <w:szCs w:val="21"/>
                    </w:rPr>
                  </w:pPr>
                  <w:r>
                    <w:rPr>
                      <w:kern w:val="0"/>
                      <w:szCs w:val="21"/>
                    </w:rPr>
                    <w:t>55</w:t>
                  </w:r>
                </w:p>
              </w:tc>
              <w:tc>
                <w:tcPr>
                  <w:tcW w:w="453" w:type="pct"/>
                  <w:vAlign w:val="center"/>
                </w:tcPr>
                <w:p w14:paraId="2DA37BC8">
                  <w:pPr>
                    <w:widowControl/>
                    <w:jc w:val="center"/>
                    <w:rPr>
                      <w:kern w:val="0"/>
                      <w:szCs w:val="21"/>
                    </w:rPr>
                  </w:pPr>
                  <w:r>
                    <w:rPr>
                      <w:kern w:val="0"/>
                      <w:szCs w:val="21"/>
                    </w:rPr>
                    <w:t>53.4</w:t>
                  </w:r>
                </w:p>
              </w:tc>
              <w:tc>
                <w:tcPr>
                  <w:tcW w:w="456" w:type="pct"/>
                  <w:vAlign w:val="center"/>
                </w:tcPr>
                <w:p w14:paraId="5AB69E7B">
                  <w:pPr>
                    <w:widowControl/>
                    <w:jc w:val="center"/>
                    <w:rPr>
                      <w:kern w:val="0"/>
                      <w:szCs w:val="21"/>
                    </w:rPr>
                  </w:pPr>
                  <w:r>
                    <w:rPr>
                      <w:kern w:val="0"/>
                      <w:szCs w:val="21"/>
                    </w:rPr>
                    <w:t>51.5</w:t>
                  </w:r>
                </w:p>
              </w:tc>
            </w:tr>
            <w:tr w14:paraId="52FDA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65" w:type="pct"/>
                  <w:vAlign w:val="center"/>
                </w:tcPr>
                <w:p w14:paraId="4B3D1765">
                  <w:pPr>
                    <w:widowControl/>
                    <w:jc w:val="center"/>
                    <w:rPr>
                      <w:kern w:val="0"/>
                      <w:szCs w:val="21"/>
                    </w:rPr>
                  </w:pPr>
                  <w:r>
                    <w:rPr>
                      <w:szCs w:val="21"/>
                    </w:rPr>
                    <w:t>挖掘机</w:t>
                  </w:r>
                </w:p>
              </w:tc>
              <w:tc>
                <w:tcPr>
                  <w:tcW w:w="453" w:type="pct"/>
                  <w:vAlign w:val="center"/>
                </w:tcPr>
                <w:p w14:paraId="3FC7FD08">
                  <w:pPr>
                    <w:widowControl/>
                    <w:jc w:val="center"/>
                    <w:rPr>
                      <w:kern w:val="0"/>
                      <w:szCs w:val="21"/>
                    </w:rPr>
                  </w:pPr>
                  <w:r>
                    <w:rPr>
                      <w:kern w:val="0"/>
                      <w:szCs w:val="21"/>
                    </w:rPr>
                    <w:t>90</w:t>
                  </w:r>
                </w:p>
              </w:tc>
              <w:tc>
                <w:tcPr>
                  <w:tcW w:w="453" w:type="pct"/>
                  <w:vAlign w:val="center"/>
                </w:tcPr>
                <w:p w14:paraId="68FFBD57">
                  <w:pPr>
                    <w:widowControl/>
                    <w:jc w:val="center"/>
                    <w:rPr>
                      <w:kern w:val="0"/>
                      <w:szCs w:val="21"/>
                    </w:rPr>
                  </w:pPr>
                  <w:r>
                    <w:rPr>
                      <w:kern w:val="0"/>
                      <w:szCs w:val="21"/>
                    </w:rPr>
                    <w:t>70</w:t>
                  </w:r>
                </w:p>
              </w:tc>
              <w:tc>
                <w:tcPr>
                  <w:tcW w:w="453" w:type="pct"/>
                  <w:vAlign w:val="center"/>
                </w:tcPr>
                <w:p w14:paraId="6FC9F72D">
                  <w:pPr>
                    <w:widowControl/>
                    <w:jc w:val="center"/>
                    <w:rPr>
                      <w:kern w:val="0"/>
                      <w:szCs w:val="21"/>
                    </w:rPr>
                  </w:pPr>
                  <w:r>
                    <w:rPr>
                      <w:kern w:val="0"/>
                      <w:szCs w:val="21"/>
                    </w:rPr>
                    <w:t>64</w:t>
                  </w:r>
                </w:p>
              </w:tc>
              <w:tc>
                <w:tcPr>
                  <w:tcW w:w="453" w:type="pct"/>
                  <w:vAlign w:val="center"/>
                </w:tcPr>
                <w:p w14:paraId="42399F7F">
                  <w:pPr>
                    <w:widowControl/>
                    <w:jc w:val="center"/>
                    <w:rPr>
                      <w:kern w:val="0"/>
                      <w:szCs w:val="21"/>
                    </w:rPr>
                  </w:pPr>
                  <w:r>
                    <w:rPr>
                      <w:kern w:val="0"/>
                      <w:szCs w:val="21"/>
                    </w:rPr>
                    <w:t>60.5</w:t>
                  </w:r>
                </w:p>
              </w:tc>
              <w:tc>
                <w:tcPr>
                  <w:tcW w:w="453" w:type="pct"/>
                  <w:vAlign w:val="center"/>
                </w:tcPr>
                <w:p w14:paraId="765F57A2">
                  <w:pPr>
                    <w:widowControl/>
                    <w:jc w:val="center"/>
                    <w:rPr>
                      <w:kern w:val="0"/>
                      <w:szCs w:val="21"/>
                    </w:rPr>
                  </w:pPr>
                  <w:r>
                    <w:rPr>
                      <w:kern w:val="0"/>
                      <w:szCs w:val="21"/>
                    </w:rPr>
                    <w:t>51.9</w:t>
                  </w:r>
                </w:p>
              </w:tc>
              <w:tc>
                <w:tcPr>
                  <w:tcW w:w="453" w:type="pct"/>
                  <w:vAlign w:val="center"/>
                </w:tcPr>
                <w:p w14:paraId="15620B83">
                  <w:pPr>
                    <w:widowControl/>
                    <w:jc w:val="center"/>
                    <w:rPr>
                      <w:kern w:val="0"/>
                      <w:szCs w:val="21"/>
                    </w:rPr>
                  </w:pPr>
                  <w:r>
                    <w:rPr>
                      <w:kern w:val="0"/>
                      <w:szCs w:val="21"/>
                    </w:rPr>
                    <w:t>50</w:t>
                  </w:r>
                </w:p>
              </w:tc>
              <w:tc>
                <w:tcPr>
                  <w:tcW w:w="453" w:type="pct"/>
                  <w:vAlign w:val="center"/>
                </w:tcPr>
                <w:p w14:paraId="5796C423">
                  <w:pPr>
                    <w:widowControl/>
                    <w:jc w:val="center"/>
                    <w:rPr>
                      <w:kern w:val="0"/>
                      <w:szCs w:val="21"/>
                    </w:rPr>
                  </w:pPr>
                  <w:r>
                    <w:rPr>
                      <w:kern w:val="0"/>
                      <w:szCs w:val="21"/>
                    </w:rPr>
                    <w:t>48.4</w:t>
                  </w:r>
                </w:p>
              </w:tc>
              <w:tc>
                <w:tcPr>
                  <w:tcW w:w="456" w:type="pct"/>
                  <w:vAlign w:val="center"/>
                </w:tcPr>
                <w:p w14:paraId="6FD5D6E2">
                  <w:pPr>
                    <w:widowControl/>
                    <w:jc w:val="center"/>
                    <w:rPr>
                      <w:kern w:val="0"/>
                      <w:szCs w:val="21"/>
                    </w:rPr>
                  </w:pPr>
                  <w:r>
                    <w:rPr>
                      <w:kern w:val="0"/>
                      <w:szCs w:val="21"/>
                    </w:rPr>
                    <w:t>46.5</w:t>
                  </w:r>
                </w:p>
              </w:tc>
            </w:tr>
            <w:tr w14:paraId="47E79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65" w:type="pct"/>
                  <w:vAlign w:val="center"/>
                </w:tcPr>
                <w:p w14:paraId="158DF3EE">
                  <w:pPr>
                    <w:widowControl/>
                    <w:jc w:val="center"/>
                    <w:rPr>
                      <w:kern w:val="0"/>
                      <w:szCs w:val="21"/>
                    </w:rPr>
                  </w:pPr>
                  <w:r>
                    <w:rPr>
                      <w:szCs w:val="21"/>
                    </w:rPr>
                    <w:t>装载机</w:t>
                  </w:r>
                </w:p>
              </w:tc>
              <w:tc>
                <w:tcPr>
                  <w:tcW w:w="453" w:type="pct"/>
                  <w:vAlign w:val="center"/>
                </w:tcPr>
                <w:p w14:paraId="07B92E6C">
                  <w:pPr>
                    <w:widowControl/>
                    <w:jc w:val="center"/>
                    <w:rPr>
                      <w:kern w:val="0"/>
                      <w:szCs w:val="21"/>
                    </w:rPr>
                  </w:pPr>
                  <w:r>
                    <w:rPr>
                      <w:kern w:val="0"/>
                      <w:szCs w:val="21"/>
                    </w:rPr>
                    <w:t>85</w:t>
                  </w:r>
                </w:p>
              </w:tc>
              <w:tc>
                <w:tcPr>
                  <w:tcW w:w="453" w:type="pct"/>
                  <w:vAlign w:val="center"/>
                </w:tcPr>
                <w:p w14:paraId="7C300C70">
                  <w:pPr>
                    <w:widowControl/>
                    <w:jc w:val="center"/>
                    <w:rPr>
                      <w:kern w:val="0"/>
                      <w:szCs w:val="21"/>
                    </w:rPr>
                  </w:pPr>
                  <w:r>
                    <w:rPr>
                      <w:kern w:val="0"/>
                      <w:szCs w:val="21"/>
                    </w:rPr>
                    <w:t>65</w:t>
                  </w:r>
                </w:p>
              </w:tc>
              <w:tc>
                <w:tcPr>
                  <w:tcW w:w="453" w:type="pct"/>
                  <w:vAlign w:val="center"/>
                </w:tcPr>
                <w:p w14:paraId="26D8DD08">
                  <w:pPr>
                    <w:widowControl/>
                    <w:jc w:val="center"/>
                    <w:rPr>
                      <w:kern w:val="0"/>
                      <w:szCs w:val="21"/>
                    </w:rPr>
                  </w:pPr>
                  <w:r>
                    <w:rPr>
                      <w:kern w:val="0"/>
                      <w:szCs w:val="21"/>
                    </w:rPr>
                    <w:t>59</w:t>
                  </w:r>
                </w:p>
              </w:tc>
              <w:tc>
                <w:tcPr>
                  <w:tcW w:w="453" w:type="pct"/>
                  <w:vAlign w:val="center"/>
                </w:tcPr>
                <w:p w14:paraId="6FA7558A">
                  <w:pPr>
                    <w:widowControl/>
                    <w:jc w:val="center"/>
                    <w:rPr>
                      <w:kern w:val="0"/>
                      <w:szCs w:val="21"/>
                    </w:rPr>
                  </w:pPr>
                  <w:r>
                    <w:rPr>
                      <w:kern w:val="0"/>
                      <w:szCs w:val="21"/>
                    </w:rPr>
                    <w:t>55.5</w:t>
                  </w:r>
                </w:p>
              </w:tc>
              <w:tc>
                <w:tcPr>
                  <w:tcW w:w="453" w:type="pct"/>
                  <w:vAlign w:val="center"/>
                </w:tcPr>
                <w:p w14:paraId="5E579713">
                  <w:pPr>
                    <w:widowControl/>
                    <w:jc w:val="center"/>
                    <w:rPr>
                      <w:kern w:val="0"/>
                      <w:szCs w:val="21"/>
                    </w:rPr>
                  </w:pPr>
                  <w:r>
                    <w:rPr>
                      <w:kern w:val="0"/>
                      <w:szCs w:val="21"/>
                    </w:rPr>
                    <w:t>46.9</w:t>
                  </w:r>
                </w:p>
              </w:tc>
              <w:tc>
                <w:tcPr>
                  <w:tcW w:w="453" w:type="pct"/>
                  <w:vAlign w:val="center"/>
                </w:tcPr>
                <w:p w14:paraId="250BE682">
                  <w:pPr>
                    <w:widowControl/>
                    <w:jc w:val="center"/>
                    <w:rPr>
                      <w:kern w:val="0"/>
                      <w:szCs w:val="21"/>
                    </w:rPr>
                  </w:pPr>
                  <w:r>
                    <w:rPr>
                      <w:kern w:val="0"/>
                      <w:szCs w:val="21"/>
                    </w:rPr>
                    <w:t>45</w:t>
                  </w:r>
                </w:p>
              </w:tc>
              <w:tc>
                <w:tcPr>
                  <w:tcW w:w="453" w:type="pct"/>
                  <w:vAlign w:val="center"/>
                </w:tcPr>
                <w:p w14:paraId="66265DDE">
                  <w:pPr>
                    <w:widowControl/>
                    <w:jc w:val="center"/>
                    <w:rPr>
                      <w:kern w:val="0"/>
                      <w:szCs w:val="21"/>
                    </w:rPr>
                  </w:pPr>
                  <w:r>
                    <w:rPr>
                      <w:kern w:val="0"/>
                      <w:szCs w:val="21"/>
                    </w:rPr>
                    <w:t>43.4</w:t>
                  </w:r>
                </w:p>
              </w:tc>
              <w:tc>
                <w:tcPr>
                  <w:tcW w:w="456" w:type="pct"/>
                  <w:vAlign w:val="center"/>
                </w:tcPr>
                <w:p w14:paraId="528DE76F">
                  <w:pPr>
                    <w:widowControl/>
                    <w:jc w:val="center"/>
                    <w:rPr>
                      <w:kern w:val="0"/>
                      <w:szCs w:val="21"/>
                    </w:rPr>
                  </w:pPr>
                  <w:r>
                    <w:rPr>
                      <w:kern w:val="0"/>
                      <w:szCs w:val="21"/>
                    </w:rPr>
                    <w:t>41.5</w:t>
                  </w:r>
                </w:p>
              </w:tc>
            </w:tr>
          </w:tbl>
          <w:p w14:paraId="22D43F14">
            <w:pPr>
              <w:pStyle w:val="15"/>
              <w:keepNext w:val="0"/>
              <w:keepLines w:val="0"/>
              <w:pageBreakBefore w:val="0"/>
              <w:widowControl/>
              <w:kinsoku/>
              <w:wordWrap/>
              <w:overflowPunct/>
              <w:topLinePunct w:val="0"/>
              <w:autoSpaceDE/>
              <w:autoSpaceDN/>
              <w:bidi w:val="0"/>
              <w:adjustRightInd/>
              <w:snapToGrid/>
              <w:spacing w:line="480" w:lineRule="exact"/>
              <w:ind w:firstLine="480" w:firstLineChars="200"/>
              <w:jc w:val="both"/>
              <w:rPr>
                <w:rFonts w:ascii="宋体" w:hAnsi="宋体" w:eastAsia="宋体" w:cs="宋体"/>
                <w:sz w:val="21"/>
                <w:szCs w:val="21"/>
              </w:rPr>
            </w:pPr>
            <w:r>
              <w:rPr>
                <w:rFonts w:hint="eastAsia" w:eastAsia="宋体"/>
              </w:rPr>
              <w:t>由上表预测结果表明，在各生产设备同时运行时间，各生产设备运行噪声在距离设备80m处的贡献值为46.9~56.9dB（A），因此，项目采矿过程矿区、排土场厂界外200m范围外声环境能够满足《声环境质量标准》（GB3096-2008）中的2类标准要求。根据现场踏勘，项目矿体采区周围200m以内无声环境敏感点，项目运营期采矿作业对周围环境产生的影响较小。另外，项目矿石、废石运输车辆会对沿线村民产生影响，环评要求运输车辆经过村庄时限速行驶、严禁鸣笛，严禁夜间运输，经采取以上措施后， 项目运输车辆对周围声环境产生的影响较小。</w:t>
            </w:r>
          </w:p>
          <w:p w14:paraId="2BBA05D9">
            <w:pPr>
              <w:keepNext w:val="0"/>
              <w:keepLines w:val="0"/>
              <w:pageBreakBefore w:val="0"/>
              <w:widowControl/>
              <w:kinsoku/>
              <w:wordWrap/>
              <w:overflowPunct/>
              <w:topLinePunct w:val="0"/>
              <w:autoSpaceDE/>
              <w:autoSpaceDN/>
              <w:bidi w:val="0"/>
              <w:adjustRightInd/>
              <w:snapToGrid/>
              <w:spacing w:line="480" w:lineRule="exact"/>
              <w:ind w:firstLine="480" w:firstLineChars="200"/>
              <w:rPr>
                <w:kern w:val="0"/>
                <w:sz w:val="24"/>
                <w:lang w:bidi="ar"/>
              </w:rPr>
            </w:pPr>
            <w:r>
              <w:rPr>
                <w:rFonts w:hint="eastAsia"/>
                <w:kern w:val="0"/>
                <w:sz w:val="24"/>
                <w:lang w:bidi="ar"/>
              </w:rPr>
              <w:t>（3）噪声污染防治措施</w:t>
            </w:r>
          </w:p>
          <w:p w14:paraId="518D2DCD">
            <w:pPr>
              <w:keepNext w:val="0"/>
              <w:keepLines w:val="0"/>
              <w:pageBreakBefore w:val="0"/>
              <w:widowControl/>
              <w:kinsoku/>
              <w:wordWrap/>
              <w:overflowPunct/>
              <w:topLinePunct w:val="0"/>
              <w:autoSpaceDE/>
              <w:autoSpaceDN/>
              <w:bidi w:val="0"/>
              <w:adjustRightInd/>
              <w:snapToGrid/>
              <w:spacing w:line="480" w:lineRule="exact"/>
              <w:ind w:firstLine="480" w:firstLineChars="200"/>
              <w:rPr>
                <w:kern w:val="0"/>
                <w:sz w:val="24"/>
              </w:rPr>
            </w:pPr>
            <w:r>
              <w:rPr>
                <w:rFonts w:hint="eastAsia"/>
                <w:kern w:val="0"/>
                <w:sz w:val="24"/>
              </w:rPr>
              <w:t>为进一步防止项目生产过程中产生的噪声对周边环境的影响，确保厂界噪声达标排放，本次评价提出如下建议：</w:t>
            </w:r>
          </w:p>
          <w:p w14:paraId="55BA27DB">
            <w:pPr>
              <w:keepNext w:val="0"/>
              <w:keepLines w:val="0"/>
              <w:pageBreakBefore w:val="0"/>
              <w:widowControl/>
              <w:kinsoku/>
              <w:wordWrap/>
              <w:overflowPunct/>
              <w:topLinePunct w:val="0"/>
              <w:autoSpaceDE/>
              <w:autoSpaceDN/>
              <w:bidi w:val="0"/>
              <w:adjustRightInd/>
              <w:snapToGrid/>
              <w:spacing w:line="480" w:lineRule="exact"/>
              <w:ind w:firstLine="480" w:firstLineChars="200"/>
              <w:rPr>
                <w:kern w:val="0"/>
                <w:sz w:val="24"/>
              </w:rPr>
            </w:pPr>
            <w:r>
              <w:rPr>
                <w:rFonts w:hint="eastAsia"/>
                <w:kern w:val="0"/>
                <w:sz w:val="24"/>
              </w:rPr>
              <w:t>1）</w:t>
            </w:r>
            <w:r>
              <w:rPr>
                <w:rFonts w:hint="eastAsia" w:ascii="宋体" w:hAnsi="宋体" w:cs="宋体"/>
                <w:sz w:val="24"/>
              </w:rPr>
              <w:t>采矿铲装、凿岩机、运输汽车等移动性设备，以对司机及个人防护为主，司机室可采用隔声防振，个人防护可佩戴耳罩等</w:t>
            </w:r>
            <w:r>
              <w:rPr>
                <w:rFonts w:ascii="宋体" w:hAnsi="宋体" w:cs="宋体"/>
                <w:sz w:val="24"/>
              </w:rPr>
              <w:t>。</w:t>
            </w:r>
          </w:p>
          <w:p w14:paraId="33F403A7">
            <w:pPr>
              <w:keepNext w:val="0"/>
              <w:keepLines w:val="0"/>
              <w:pageBreakBefore w:val="0"/>
              <w:widowControl/>
              <w:kinsoku/>
              <w:wordWrap/>
              <w:overflowPunct/>
              <w:topLinePunct w:val="0"/>
              <w:autoSpaceDE/>
              <w:autoSpaceDN/>
              <w:bidi w:val="0"/>
              <w:adjustRightInd/>
              <w:snapToGrid/>
              <w:spacing w:line="480" w:lineRule="exact"/>
              <w:ind w:firstLine="480" w:firstLineChars="200"/>
              <w:rPr>
                <w:kern w:val="0"/>
                <w:sz w:val="24"/>
              </w:rPr>
            </w:pPr>
            <w:r>
              <w:rPr>
                <w:rFonts w:hint="eastAsia"/>
                <w:kern w:val="0"/>
                <w:sz w:val="24"/>
              </w:rPr>
              <w:t>2）合理安排作业时间，应尽可能避免大量高噪声设备同时作业，严禁夜间（22:00～6:00）作业。</w:t>
            </w:r>
          </w:p>
          <w:p w14:paraId="225FBF63">
            <w:pPr>
              <w:keepNext w:val="0"/>
              <w:keepLines w:val="0"/>
              <w:pageBreakBefore w:val="0"/>
              <w:widowControl/>
              <w:kinsoku/>
              <w:wordWrap/>
              <w:overflowPunct/>
              <w:topLinePunct w:val="0"/>
              <w:autoSpaceDE/>
              <w:autoSpaceDN/>
              <w:bidi w:val="0"/>
              <w:adjustRightInd/>
              <w:snapToGrid/>
              <w:spacing w:line="480" w:lineRule="exact"/>
              <w:ind w:firstLine="480" w:firstLineChars="200"/>
              <w:rPr>
                <w:kern w:val="0"/>
                <w:sz w:val="24"/>
              </w:rPr>
            </w:pPr>
            <w:r>
              <w:rPr>
                <w:rFonts w:hint="eastAsia"/>
                <w:kern w:val="0"/>
                <w:sz w:val="24"/>
              </w:rPr>
              <w:t>3）对运输交通噪声，禁止使用超过噪声限值的运输车辆，汽车运输机械设备应安装消声器和禁用高音喇叭，机动车辆必须加强维修和保养，保持技术性能良好。</w:t>
            </w:r>
          </w:p>
          <w:p w14:paraId="2D134542">
            <w:pPr>
              <w:keepNext w:val="0"/>
              <w:keepLines w:val="0"/>
              <w:pageBreakBefore w:val="0"/>
              <w:widowControl/>
              <w:kinsoku/>
              <w:wordWrap/>
              <w:overflowPunct/>
              <w:topLinePunct w:val="0"/>
              <w:autoSpaceDE/>
              <w:autoSpaceDN/>
              <w:bidi w:val="0"/>
              <w:adjustRightInd/>
              <w:snapToGrid/>
              <w:spacing w:line="480" w:lineRule="exact"/>
              <w:ind w:firstLine="480" w:firstLineChars="200"/>
              <w:rPr>
                <w:kern w:val="0"/>
                <w:sz w:val="24"/>
              </w:rPr>
            </w:pPr>
            <w:r>
              <w:rPr>
                <w:rFonts w:hint="eastAsia"/>
                <w:kern w:val="0"/>
                <w:sz w:val="24"/>
              </w:rPr>
              <w:t>4）运输车辆在经过宋庄村时，采取禁止鸣笛、限速等措施。</w:t>
            </w:r>
          </w:p>
          <w:p w14:paraId="58D6471F">
            <w:pPr>
              <w:keepNext w:val="0"/>
              <w:keepLines w:val="0"/>
              <w:pageBreakBefore w:val="0"/>
              <w:widowControl/>
              <w:kinsoku/>
              <w:wordWrap/>
              <w:overflowPunct/>
              <w:topLinePunct w:val="0"/>
              <w:autoSpaceDE/>
              <w:autoSpaceDN/>
              <w:bidi w:val="0"/>
              <w:adjustRightInd/>
              <w:snapToGrid/>
              <w:spacing w:line="480" w:lineRule="exact"/>
              <w:ind w:firstLine="480" w:firstLineChars="200"/>
              <w:rPr>
                <w:kern w:val="0"/>
                <w:sz w:val="24"/>
                <w:lang w:bidi="ar"/>
              </w:rPr>
            </w:pPr>
            <w:r>
              <w:rPr>
                <w:rFonts w:hint="eastAsia"/>
                <w:kern w:val="0"/>
                <w:sz w:val="24"/>
                <w:lang w:bidi="ar"/>
              </w:rPr>
              <w:t>（4）监测计划</w:t>
            </w:r>
          </w:p>
          <w:p w14:paraId="52648431">
            <w:pPr>
              <w:pStyle w:val="61"/>
              <w:keepNext w:val="0"/>
              <w:keepLines w:val="0"/>
              <w:pageBreakBefore w:val="0"/>
              <w:kinsoku/>
              <w:wordWrap/>
              <w:overflowPunct/>
              <w:topLinePunct w:val="0"/>
              <w:autoSpaceDE/>
              <w:autoSpaceDN/>
              <w:bidi w:val="0"/>
              <w:adjustRightInd/>
              <w:snapToGrid/>
              <w:spacing w:line="480" w:lineRule="exact"/>
              <w:ind w:firstLine="480"/>
            </w:pPr>
            <w:r>
              <w:rPr>
                <w:rFonts w:hint="eastAsia"/>
              </w:rPr>
              <w:t>根据《排污单位自行监测技术指南  总则》（HJ 819-2017）制定本项目噪声监测计划，详见下表。</w:t>
            </w:r>
          </w:p>
          <w:p w14:paraId="116C93D0">
            <w:pPr>
              <w:pStyle w:val="15"/>
              <w:keepNext w:val="0"/>
              <w:keepLines w:val="0"/>
              <w:pageBreakBefore w:val="0"/>
              <w:widowControl/>
              <w:kinsoku/>
              <w:wordWrap/>
              <w:overflowPunct/>
              <w:topLinePunct w:val="0"/>
              <w:autoSpaceDE/>
              <w:autoSpaceDN/>
              <w:bidi w:val="0"/>
              <w:adjustRightInd/>
              <w:snapToGrid/>
              <w:spacing w:line="480" w:lineRule="exact"/>
              <w:ind w:firstLine="420" w:firstLineChars="200"/>
              <w:rPr>
                <w:rFonts w:ascii="宋体" w:hAnsi="宋体" w:eastAsia="宋体" w:cs="宋体"/>
                <w:sz w:val="21"/>
                <w:szCs w:val="21"/>
              </w:rPr>
            </w:pPr>
            <w:r>
              <w:rPr>
                <w:rFonts w:ascii="宋体" w:hAnsi="宋体" w:eastAsia="宋体" w:cs="宋体"/>
                <w:sz w:val="21"/>
                <w:szCs w:val="21"/>
                <w:lang w:bidi="ar"/>
              </w:rPr>
              <w:t>表</w:t>
            </w:r>
            <w:r>
              <w:rPr>
                <w:rFonts w:eastAsia="宋体"/>
                <w:sz w:val="21"/>
                <w:szCs w:val="21"/>
                <w:lang w:bidi="ar"/>
              </w:rPr>
              <w:t>4-9</w:t>
            </w:r>
            <w:r>
              <w:rPr>
                <w:rFonts w:ascii="宋体" w:hAnsi="宋体" w:eastAsia="宋体" w:cs="宋体"/>
                <w:sz w:val="21"/>
                <w:szCs w:val="21"/>
                <w:lang w:bidi="ar"/>
              </w:rPr>
              <w:t xml:space="preserve">  噪声监测计划一览表</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3"/>
              <w:gridCol w:w="1946"/>
              <w:gridCol w:w="2975"/>
              <w:gridCol w:w="2389"/>
            </w:tblGrid>
            <w:tr w14:paraId="30E79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630" w:type="pct"/>
                  <w:vAlign w:val="center"/>
                </w:tcPr>
                <w:p w14:paraId="2AF5F2DE">
                  <w:pPr>
                    <w:snapToGrid w:val="0"/>
                    <w:spacing w:line="300" w:lineRule="exact"/>
                    <w:jc w:val="center"/>
                    <w:rPr>
                      <w:szCs w:val="21"/>
                    </w:rPr>
                  </w:pPr>
                  <w:r>
                    <w:rPr>
                      <w:szCs w:val="21"/>
                    </w:rPr>
                    <w:t>内容</w:t>
                  </w:r>
                </w:p>
              </w:tc>
              <w:tc>
                <w:tcPr>
                  <w:tcW w:w="1163" w:type="pct"/>
                  <w:vAlign w:val="center"/>
                </w:tcPr>
                <w:p w14:paraId="6109B40B">
                  <w:pPr>
                    <w:snapToGrid w:val="0"/>
                    <w:spacing w:line="300" w:lineRule="exact"/>
                    <w:jc w:val="center"/>
                    <w:rPr>
                      <w:szCs w:val="21"/>
                    </w:rPr>
                  </w:pPr>
                  <w:r>
                    <w:rPr>
                      <w:szCs w:val="21"/>
                    </w:rPr>
                    <w:t>监测点位</w:t>
                  </w:r>
                </w:p>
              </w:tc>
              <w:tc>
                <w:tcPr>
                  <w:tcW w:w="1778" w:type="pct"/>
                  <w:vAlign w:val="center"/>
                </w:tcPr>
                <w:p w14:paraId="13B9341D">
                  <w:pPr>
                    <w:snapToGrid w:val="0"/>
                    <w:spacing w:line="300" w:lineRule="exact"/>
                    <w:jc w:val="center"/>
                    <w:rPr>
                      <w:szCs w:val="21"/>
                    </w:rPr>
                  </w:pPr>
                  <w:r>
                    <w:rPr>
                      <w:szCs w:val="21"/>
                    </w:rPr>
                    <w:t>监测项目</w:t>
                  </w:r>
                </w:p>
              </w:tc>
              <w:tc>
                <w:tcPr>
                  <w:tcW w:w="1428" w:type="pct"/>
                  <w:vAlign w:val="center"/>
                </w:tcPr>
                <w:p w14:paraId="0A72FDD5">
                  <w:pPr>
                    <w:snapToGrid w:val="0"/>
                    <w:spacing w:line="300" w:lineRule="exact"/>
                    <w:jc w:val="center"/>
                    <w:rPr>
                      <w:szCs w:val="21"/>
                    </w:rPr>
                  </w:pPr>
                  <w:r>
                    <w:rPr>
                      <w:szCs w:val="21"/>
                    </w:rPr>
                    <w:t>监测频率</w:t>
                  </w:r>
                </w:p>
              </w:tc>
            </w:tr>
            <w:tr w14:paraId="72DB0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630" w:type="pct"/>
                  <w:vAlign w:val="center"/>
                </w:tcPr>
                <w:p w14:paraId="60B9021A">
                  <w:pPr>
                    <w:pStyle w:val="69"/>
                    <w:spacing w:line="300" w:lineRule="exact"/>
                    <w:rPr>
                      <w:szCs w:val="21"/>
                    </w:rPr>
                  </w:pPr>
                  <w:r>
                    <w:rPr>
                      <w:szCs w:val="21"/>
                    </w:rPr>
                    <w:t>噪声</w:t>
                  </w:r>
                </w:p>
              </w:tc>
              <w:tc>
                <w:tcPr>
                  <w:tcW w:w="1163" w:type="pct"/>
                  <w:vAlign w:val="center"/>
                </w:tcPr>
                <w:p w14:paraId="4722BD22">
                  <w:pPr>
                    <w:snapToGrid w:val="0"/>
                    <w:spacing w:line="300" w:lineRule="exact"/>
                    <w:jc w:val="center"/>
                    <w:rPr>
                      <w:szCs w:val="21"/>
                    </w:rPr>
                  </w:pPr>
                  <w:r>
                    <w:rPr>
                      <w:rFonts w:hint="eastAsia"/>
                      <w:szCs w:val="21"/>
                      <w:lang w:val="en-US" w:eastAsia="zh-CN"/>
                    </w:rPr>
                    <w:t>矿界</w:t>
                  </w:r>
                  <w:r>
                    <w:rPr>
                      <w:rFonts w:hint="eastAsia"/>
                      <w:szCs w:val="21"/>
                    </w:rPr>
                    <w:t>四周</w:t>
                  </w:r>
                </w:p>
              </w:tc>
              <w:tc>
                <w:tcPr>
                  <w:tcW w:w="1778" w:type="pct"/>
                  <w:vAlign w:val="center"/>
                </w:tcPr>
                <w:p w14:paraId="303269ED">
                  <w:pPr>
                    <w:snapToGrid w:val="0"/>
                    <w:spacing w:line="300" w:lineRule="exact"/>
                    <w:jc w:val="center"/>
                    <w:rPr>
                      <w:szCs w:val="21"/>
                    </w:rPr>
                  </w:pPr>
                  <w:r>
                    <w:rPr>
                      <w:rFonts w:eastAsia="等线"/>
                      <w:bCs/>
                      <w:szCs w:val="21"/>
                    </w:rPr>
                    <w:t>Leq(A)、L</w:t>
                  </w:r>
                  <w:r>
                    <w:rPr>
                      <w:rFonts w:eastAsia="等线"/>
                      <w:bCs/>
                      <w:szCs w:val="21"/>
                      <w:vertAlign w:val="subscript"/>
                    </w:rPr>
                    <w:t>10</w:t>
                  </w:r>
                  <w:r>
                    <w:rPr>
                      <w:rFonts w:eastAsia="等线"/>
                      <w:bCs/>
                      <w:szCs w:val="21"/>
                    </w:rPr>
                    <w:t>、L</w:t>
                  </w:r>
                  <w:r>
                    <w:rPr>
                      <w:rFonts w:eastAsia="等线"/>
                      <w:bCs/>
                      <w:szCs w:val="21"/>
                      <w:vertAlign w:val="subscript"/>
                    </w:rPr>
                    <w:t>50</w:t>
                  </w:r>
                  <w:r>
                    <w:rPr>
                      <w:rFonts w:eastAsia="等线"/>
                      <w:bCs/>
                      <w:szCs w:val="21"/>
                    </w:rPr>
                    <w:t>、L</w:t>
                  </w:r>
                  <w:r>
                    <w:rPr>
                      <w:rFonts w:eastAsia="等线"/>
                      <w:bCs/>
                      <w:szCs w:val="21"/>
                      <w:vertAlign w:val="subscript"/>
                    </w:rPr>
                    <w:t>90</w:t>
                  </w:r>
                </w:p>
              </w:tc>
              <w:tc>
                <w:tcPr>
                  <w:tcW w:w="1428" w:type="pct"/>
                  <w:vAlign w:val="center"/>
                </w:tcPr>
                <w:p w14:paraId="0E18671A">
                  <w:pPr>
                    <w:snapToGrid w:val="0"/>
                    <w:spacing w:line="300" w:lineRule="exact"/>
                    <w:jc w:val="center"/>
                    <w:rPr>
                      <w:szCs w:val="21"/>
                    </w:rPr>
                  </w:pPr>
                  <w:r>
                    <w:rPr>
                      <w:rFonts w:hint="eastAsia"/>
                      <w:szCs w:val="21"/>
                    </w:rPr>
                    <w:t>1</w:t>
                  </w:r>
                  <w:r>
                    <w:rPr>
                      <w:szCs w:val="21"/>
                    </w:rPr>
                    <w:t>次/季度</w:t>
                  </w:r>
                </w:p>
              </w:tc>
            </w:tr>
          </w:tbl>
          <w:p w14:paraId="3E043C89">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kern w:val="0"/>
                <w:sz w:val="24"/>
                <w:lang w:bidi="ar"/>
              </w:rPr>
            </w:pPr>
            <w:r>
              <w:rPr>
                <w:rFonts w:hint="eastAsia"/>
                <w:kern w:val="0"/>
                <w:sz w:val="24"/>
                <w:lang w:bidi="ar"/>
              </w:rPr>
              <w:t>（5）声环境影响分析结论</w:t>
            </w:r>
          </w:p>
          <w:p w14:paraId="4506DD13">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b/>
                <w:bCs/>
                <w:kern w:val="0"/>
                <w:sz w:val="24"/>
                <w:lang w:bidi="ar"/>
              </w:rPr>
            </w:pPr>
            <w:r>
              <w:rPr>
                <w:rFonts w:hint="eastAsia"/>
                <w:sz w:val="24"/>
              </w:rPr>
              <w:t>综上，在落实各项噪声污染防治措施的情况下，厂界噪声能够满足《工业企业厂界环境噪声排放标准》（GB12348-2008）2类标准限值要求。</w:t>
            </w:r>
          </w:p>
          <w:p w14:paraId="08DF56FF">
            <w:pPr>
              <w:keepNext w:val="0"/>
              <w:keepLines w:val="0"/>
              <w:pageBreakBefore w:val="0"/>
              <w:widowControl/>
              <w:kinsoku/>
              <w:wordWrap/>
              <w:overflowPunct/>
              <w:topLinePunct w:val="0"/>
              <w:autoSpaceDE/>
              <w:autoSpaceDN/>
              <w:bidi w:val="0"/>
              <w:adjustRightInd/>
              <w:snapToGrid/>
              <w:spacing w:line="480" w:lineRule="exact"/>
              <w:ind w:firstLine="482" w:firstLineChars="200"/>
              <w:textAlignment w:val="auto"/>
              <w:rPr>
                <w:b/>
                <w:bCs/>
                <w:kern w:val="0"/>
                <w:sz w:val="24"/>
                <w:lang w:bidi="ar"/>
              </w:rPr>
            </w:pPr>
            <w:r>
              <w:rPr>
                <w:rFonts w:hint="eastAsia"/>
                <w:b/>
                <w:bCs/>
                <w:kern w:val="0"/>
                <w:sz w:val="24"/>
                <w:lang w:bidi="ar"/>
              </w:rPr>
              <w:t>4.</w:t>
            </w:r>
            <w:r>
              <w:rPr>
                <w:b/>
                <w:bCs/>
                <w:kern w:val="0"/>
                <w:sz w:val="24"/>
                <w:lang w:bidi="ar"/>
              </w:rPr>
              <w:t>运营期固体废物影响分析</w:t>
            </w:r>
          </w:p>
          <w:p w14:paraId="093F3C4F">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kern w:val="0"/>
                <w:sz w:val="24"/>
                <w:lang w:bidi="ar"/>
              </w:rPr>
            </w:pPr>
            <w:r>
              <w:rPr>
                <w:kern w:val="0"/>
                <w:sz w:val="24"/>
                <w:lang w:bidi="ar"/>
              </w:rPr>
              <w:t>本项目运营期产生的固废主要为一般工业固体废物（</w:t>
            </w:r>
            <w:r>
              <w:rPr>
                <w:rFonts w:hint="eastAsia"/>
                <w:kern w:val="0"/>
                <w:sz w:val="24"/>
                <w:lang w:bidi="ar"/>
              </w:rPr>
              <w:t>废石</w:t>
            </w:r>
            <w:r>
              <w:rPr>
                <w:kern w:val="0"/>
                <w:sz w:val="24"/>
                <w:lang w:bidi="ar"/>
              </w:rPr>
              <w:t>、洗车沉淀池污泥、除尘灰</w:t>
            </w:r>
            <w:r>
              <w:rPr>
                <w:rFonts w:hint="eastAsia"/>
                <w:kern w:val="0"/>
                <w:sz w:val="24"/>
                <w:lang w:bidi="ar"/>
              </w:rPr>
              <w:t>等</w:t>
            </w:r>
            <w:r>
              <w:rPr>
                <w:kern w:val="0"/>
                <w:sz w:val="24"/>
                <w:lang w:bidi="ar"/>
              </w:rPr>
              <w:t>）、危险废物（设备维修产生的废机油、废棉纱手套、废油桶）等。</w:t>
            </w:r>
          </w:p>
          <w:p w14:paraId="37933573">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kern w:val="0"/>
                <w:sz w:val="24"/>
                <w:lang w:bidi="ar"/>
              </w:rPr>
            </w:pPr>
            <w:r>
              <w:rPr>
                <w:rFonts w:hint="eastAsia"/>
                <w:kern w:val="0"/>
                <w:sz w:val="24"/>
                <w:lang w:bidi="ar"/>
              </w:rPr>
              <w:t>（1）固废产生量及处置方式</w:t>
            </w:r>
          </w:p>
          <w:p w14:paraId="2194021E">
            <w:pPr>
              <w:keepNext w:val="0"/>
              <w:keepLines w:val="0"/>
              <w:pageBreakBefore w:val="0"/>
              <w:widowControl/>
              <w:kinsoku/>
              <w:wordWrap/>
              <w:overflowPunct/>
              <w:topLinePunct w:val="0"/>
              <w:autoSpaceDE/>
              <w:autoSpaceDN/>
              <w:bidi w:val="0"/>
              <w:adjustRightInd/>
              <w:snapToGrid/>
              <w:spacing w:line="470" w:lineRule="exact"/>
              <w:ind w:firstLine="480" w:firstLineChars="200"/>
              <w:textAlignment w:val="auto"/>
              <w:rPr>
                <w:kern w:val="0"/>
                <w:sz w:val="24"/>
                <w:lang w:bidi="ar"/>
              </w:rPr>
            </w:pPr>
            <w:r>
              <w:rPr>
                <w:rFonts w:hint="eastAsia"/>
                <w:kern w:val="0"/>
                <w:sz w:val="24"/>
                <w:lang w:bidi="ar"/>
              </w:rPr>
              <w:t>1</w:t>
            </w:r>
            <w:r>
              <w:rPr>
                <w:kern w:val="0"/>
                <w:sz w:val="24"/>
                <w:lang w:bidi="ar"/>
              </w:rPr>
              <w:t>）一般工业固体废物</w:t>
            </w:r>
          </w:p>
          <w:p w14:paraId="1B99B2D2">
            <w:pPr>
              <w:keepNext w:val="0"/>
              <w:keepLines w:val="0"/>
              <w:pageBreakBefore w:val="0"/>
              <w:widowControl/>
              <w:kinsoku/>
              <w:wordWrap/>
              <w:overflowPunct/>
              <w:topLinePunct w:val="0"/>
              <w:autoSpaceDE/>
              <w:autoSpaceDN/>
              <w:bidi w:val="0"/>
              <w:adjustRightInd/>
              <w:snapToGrid/>
              <w:spacing w:line="470" w:lineRule="exact"/>
              <w:ind w:firstLine="480" w:firstLineChars="200"/>
              <w:textAlignment w:val="auto"/>
              <w:rPr>
                <w:kern w:val="0"/>
                <w:sz w:val="24"/>
                <w:vertAlign w:val="subscript"/>
                <w:lang w:bidi="ar"/>
              </w:rPr>
            </w:pPr>
            <w:r>
              <w:rPr>
                <w:rFonts w:hint="eastAsia"/>
                <w:kern w:val="0"/>
                <w:sz w:val="24"/>
                <w:lang w:bidi="ar"/>
              </w:rPr>
              <w:t>采矿剥离物</w:t>
            </w:r>
          </w:p>
          <w:p w14:paraId="56C24013">
            <w:pPr>
              <w:keepNext w:val="0"/>
              <w:keepLines w:val="0"/>
              <w:pageBreakBefore w:val="0"/>
              <w:widowControl/>
              <w:kinsoku/>
              <w:wordWrap/>
              <w:overflowPunct/>
              <w:topLinePunct w:val="0"/>
              <w:autoSpaceDE/>
              <w:autoSpaceDN/>
              <w:bidi w:val="0"/>
              <w:adjustRightInd/>
              <w:snapToGrid/>
              <w:spacing w:line="470" w:lineRule="exact"/>
              <w:ind w:firstLine="480" w:firstLineChars="200"/>
              <w:textAlignment w:val="auto"/>
              <w:rPr>
                <w:kern w:val="0"/>
                <w:sz w:val="24"/>
                <w:lang w:bidi="ar"/>
              </w:rPr>
            </w:pPr>
            <w:r>
              <w:rPr>
                <w:rFonts w:hint="eastAsia"/>
                <w:kern w:val="0"/>
                <w:sz w:val="24"/>
                <w:lang w:bidi="ar"/>
              </w:rPr>
              <w:t>根据开发利用方案，外剥采比为</w:t>
            </w:r>
            <w:r>
              <w:rPr>
                <w:sz w:val="24"/>
                <w:szCs w:val="22"/>
              </w:rPr>
              <w:t>10.43：1</w:t>
            </w:r>
            <w:r>
              <w:rPr>
                <w:rFonts w:hint="eastAsia"/>
                <w:kern w:val="0"/>
                <w:sz w:val="24"/>
                <w:lang w:bidi="ar"/>
              </w:rPr>
              <w:t>（m</w:t>
            </w:r>
            <w:r>
              <w:rPr>
                <w:rFonts w:hint="eastAsia"/>
                <w:kern w:val="0"/>
                <w:sz w:val="24"/>
                <w:vertAlign w:val="superscript"/>
                <w:lang w:bidi="ar"/>
              </w:rPr>
              <w:t>3</w:t>
            </w:r>
            <w:r>
              <w:rPr>
                <w:rFonts w:hint="eastAsia"/>
                <w:kern w:val="0"/>
                <w:sz w:val="24"/>
                <w:lang w:bidi="ar"/>
              </w:rPr>
              <w:t>:m</w:t>
            </w:r>
            <w:r>
              <w:rPr>
                <w:rFonts w:hint="eastAsia"/>
                <w:kern w:val="0"/>
                <w:sz w:val="24"/>
                <w:vertAlign w:val="superscript"/>
                <w:lang w:bidi="ar"/>
              </w:rPr>
              <w:t>3</w:t>
            </w:r>
            <w:r>
              <w:rPr>
                <w:rFonts w:hint="eastAsia"/>
                <w:kern w:val="0"/>
                <w:sz w:val="24"/>
                <w:lang w:bidi="ar"/>
              </w:rPr>
              <w:t>），内剥采比为11.34:1（m</w:t>
            </w:r>
            <w:r>
              <w:rPr>
                <w:rFonts w:hint="eastAsia"/>
                <w:kern w:val="0"/>
                <w:sz w:val="24"/>
                <w:vertAlign w:val="superscript"/>
                <w:lang w:bidi="ar"/>
              </w:rPr>
              <w:t>3</w:t>
            </w:r>
            <w:r>
              <w:rPr>
                <w:rFonts w:hint="eastAsia"/>
                <w:kern w:val="0"/>
                <w:sz w:val="24"/>
                <w:lang w:bidi="ar"/>
              </w:rPr>
              <w:t>:m</w:t>
            </w:r>
            <w:r>
              <w:rPr>
                <w:rFonts w:hint="eastAsia"/>
                <w:kern w:val="0"/>
                <w:sz w:val="24"/>
                <w:vertAlign w:val="superscript"/>
                <w:lang w:bidi="ar"/>
              </w:rPr>
              <w:t>3</w:t>
            </w:r>
            <w:r>
              <w:rPr>
                <w:rFonts w:hint="eastAsia"/>
                <w:kern w:val="0"/>
                <w:sz w:val="24"/>
                <w:lang w:bidi="ar"/>
              </w:rPr>
              <w:t>），</w:t>
            </w:r>
          </w:p>
          <w:p w14:paraId="442FBA7A">
            <w:pPr>
              <w:keepNext w:val="0"/>
              <w:keepLines w:val="0"/>
              <w:pageBreakBefore w:val="0"/>
              <w:widowControl/>
              <w:kinsoku/>
              <w:wordWrap/>
              <w:overflowPunct/>
              <w:topLinePunct w:val="0"/>
              <w:autoSpaceDE/>
              <w:autoSpaceDN/>
              <w:bidi w:val="0"/>
              <w:adjustRightInd/>
              <w:snapToGrid/>
              <w:spacing w:line="470" w:lineRule="exact"/>
              <w:ind w:firstLine="480" w:firstLineChars="200"/>
              <w:textAlignment w:val="auto"/>
              <w:rPr>
                <w:rFonts w:hint="eastAsia"/>
                <w:color w:val="auto"/>
                <w:kern w:val="0"/>
                <w:sz w:val="24"/>
                <w:lang w:bidi="ar"/>
              </w:rPr>
            </w:pPr>
            <w:r>
              <w:rPr>
                <w:rFonts w:hint="eastAsia"/>
                <w:color w:val="auto"/>
                <w:kern w:val="0"/>
                <w:sz w:val="24"/>
                <w:lang w:bidi="ar"/>
              </w:rPr>
              <w:t>本矿剥离量共</w:t>
            </w:r>
            <w:r>
              <w:rPr>
                <w:color w:val="auto"/>
                <w:kern w:val="0"/>
                <w:sz w:val="24"/>
                <w:lang w:bidi="ar"/>
              </w:rPr>
              <w:t>620.93</w:t>
            </w:r>
            <w:r>
              <w:rPr>
                <w:rFonts w:hint="eastAsia"/>
                <w:color w:val="auto"/>
                <w:kern w:val="0"/>
                <w:sz w:val="24"/>
                <w:lang w:bidi="ar"/>
              </w:rPr>
              <w:t>万m</w:t>
            </w:r>
            <w:r>
              <w:rPr>
                <w:rFonts w:hint="eastAsia"/>
                <w:color w:val="auto"/>
                <w:kern w:val="0"/>
                <w:sz w:val="24"/>
                <w:vertAlign w:val="superscript"/>
                <w:lang w:bidi="ar"/>
              </w:rPr>
              <w:t>3</w:t>
            </w:r>
            <w:r>
              <w:rPr>
                <w:rFonts w:hint="eastAsia"/>
                <w:color w:val="auto"/>
                <w:kern w:val="0"/>
                <w:sz w:val="24"/>
                <w:lang w:bidi="ar"/>
              </w:rPr>
              <w:t>。其中外剥离量</w:t>
            </w:r>
            <w:r>
              <w:rPr>
                <w:color w:val="auto"/>
                <w:kern w:val="0"/>
                <w:sz w:val="24"/>
                <w:lang w:bidi="ar"/>
              </w:rPr>
              <w:t>307.46</w:t>
            </w:r>
            <w:r>
              <w:rPr>
                <w:rFonts w:hint="eastAsia"/>
                <w:color w:val="auto"/>
                <w:kern w:val="0"/>
                <w:sz w:val="24"/>
                <w:lang w:bidi="ar"/>
              </w:rPr>
              <w:t>万m</w:t>
            </w:r>
            <w:r>
              <w:rPr>
                <w:rFonts w:hint="eastAsia"/>
                <w:color w:val="auto"/>
                <w:kern w:val="0"/>
                <w:sz w:val="24"/>
                <w:vertAlign w:val="superscript"/>
                <w:lang w:bidi="ar"/>
              </w:rPr>
              <w:t>3</w:t>
            </w:r>
            <w:r>
              <w:rPr>
                <w:rFonts w:hint="eastAsia"/>
                <w:color w:val="auto"/>
                <w:kern w:val="0"/>
                <w:sz w:val="24"/>
                <w:lang w:bidi="ar"/>
              </w:rPr>
              <w:t>，内剥离量</w:t>
            </w:r>
            <w:r>
              <w:rPr>
                <w:color w:val="auto"/>
                <w:kern w:val="0"/>
                <w:sz w:val="24"/>
                <w:lang w:bidi="ar"/>
              </w:rPr>
              <w:t>313.47</w:t>
            </w:r>
            <w:r>
              <w:rPr>
                <w:rFonts w:hint="eastAsia"/>
                <w:color w:val="auto"/>
                <w:kern w:val="0"/>
                <w:sz w:val="24"/>
                <w:lang w:bidi="ar"/>
              </w:rPr>
              <w:t>万m</w:t>
            </w:r>
            <w:r>
              <w:rPr>
                <w:rFonts w:hint="eastAsia"/>
                <w:color w:val="auto"/>
                <w:kern w:val="0"/>
                <w:sz w:val="24"/>
                <w:vertAlign w:val="superscript"/>
                <w:lang w:bidi="ar"/>
              </w:rPr>
              <w:t>3</w:t>
            </w:r>
            <w:r>
              <w:rPr>
                <w:rFonts w:hint="eastAsia"/>
                <w:color w:val="auto"/>
                <w:kern w:val="0"/>
                <w:sz w:val="24"/>
                <w:lang w:bidi="ar"/>
              </w:rPr>
              <w:t>。</w:t>
            </w:r>
            <w:r>
              <w:rPr>
                <w:rFonts w:hint="eastAsia"/>
                <w:color w:val="auto"/>
                <w:kern w:val="0"/>
                <w:sz w:val="24"/>
                <w:highlight w:val="none"/>
                <w:lang w:bidi="ar"/>
              </w:rPr>
              <w:t>外剥离产生的废土废石运至排土场堆排；</w:t>
            </w:r>
            <w:r>
              <w:rPr>
                <w:color w:val="auto"/>
                <w:sz w:val="24"/>
                <w:highlight w:val="none"/>
              </w:rPr>
              <w:t>内剥离产生的</w:t>
            </w:r>
            <w:r>
              <w:rPr>
                <w:rFonts w:hint="eastAsia"/>
                <w:color w:val="auto"/>
                <w:sz w:val="24"/>
                <w:highlight w:val="none"/>
                <w:lang w:val="en-US" w:eastAsia="zh-CN"/>
              </w:rPr>
              <w:t>大块</w:t>
            </w:r>
            <w:r>
              <w:rPr>
                <w:color w:val="auto"/>
                <w:sz w:val="24"/>
                <w:highlight w:val="none"/>
              </w:rPr>
              <w:t>碎石</w:t>
            </w:r>
            <w:r>
              <w:rPr>
                <w:rFonts w:hint="eastAsia"/>
                <w:color w:val="auto"/>
                <w:sz w:val="24"/>
                <w:highlight w:val="none"/>
                <w:lang w:eastAsia="zh-CN"/>
              </w:rPr>
              <w:t>（</w:t>
            </w:r>
            <w:r>
              <w:rPr>
                <w:rFonts w:hint="eastAsia"/>
                <w:color w:val="auto"/>
                <w:sz w:val="24"/>
                <w:highlight w:val="none"/>
                <w:lang w:val="en-US" w:eastAsia="zh-CN"/>
              </w:rPr>
              <w:t>约10万吨/年</w:t>
            </w:r>
            <w:r>
              <w:rPr>
                <w:rFonts w:hint="eastAsia"/>
                <w:color w:val="auto"/>
                <w:sz w:val="24"/>
                <w:highlight w:val="none"/>
                <w:lang w:eastAsia="zh-CN"/>
              </w:rPr>
              <w:t>）</w:t>
            </w:r>
            <w:r>
              <w:rPr>
                <w:rFonts w:hint="eastAsia"/>
                <w:color w:val="auto"/>
                <w:sz w:val="24"/>
                <w:highlight w:val="none"/>
              </w:rPr>
              <w:t>运送至本项目配套工业场地</w:t>
            </w:r>
            <w:r>
              <w:rPr>
                <w:color w:val="auto"/>
                <w:sz w:val="24"/>
                <w:highlight w:val="none"/>
              </w:rPr>
              <w:t>破碎成不同粒径的碎石进行销售</w:t>
            </w:r>
            <w:r>
              <w:rPr>
                <w:rFonts w:hint="eastAsia"/>
                <w:color w:val="auto"/>
                <w:sz w:val="24"/>
                <w:highlight w:val="none"/>
                <w:lang w:eastAsia="zh-CN"/>
              </w:rPr>
              <w:t>，</w:t>
            </w:r>
            <w:r>
              <w:rPr>
                <w:rFonts w:hint="eastAsia"/>
                <w:color w:val="auto"/>
                <w:sz w:val="24"/>
                <w:highlight w:val="none"/>
                <w:lang w:val="en-US" w:eastAsia="zh-CN"/>
              </w:rPr>
              <w:t>小块碎石直接外售</w:t>
            </w:r>
            <w:r>
              <w:rPr>
                <w:rFonts w:hint="eastAsia"/>
                <w:color w:val="auto"/>
                <w:kern w:val="0"/>
                <w:sz w:val="24"/>
                <w:highlight w:val="none"/>
                <w:lang w:bidi="ar"/>
              </w:rPr>
              <w:t>。外</w:t>
            </w:r>
            <w:r>
              <w:rPr>
                <w:rFonts w:hint="eastAsia"/>
                <w:color w:val="auto"/>
                <w:kern w:val="0"/>
                <w:sz w:val="24"/>
                <w:lang w:bidi="ar"/>
              </w:rPr>
              <w:t>剥离产生的废石于排土场进行规范化堆存。</w:t>
            </w:r>
          </w:p>
          <w:p w14:paraId="657C5E0F">
            <w:pPr>
              <w:keepNext w:val="0"/>
              <w:keepLines w:val="0"/>
              <w:pageBreakBefore w:val="0"/>
              <w:widowControl w:val="0"/>
              <w:kinsoku/>
              <w:wordWrap/>
              <w:overflowPunct/>
              <w:topLinePunct w:val="0"/>
              <w:autoSpaceDE/>
              <w:autoSpaceDN/>
              <w:bidi w:val="0"/>
              <w:adjustRightInd/>
              <w:snapToGrid/>
              <w:spacing w:line="470" w:lineRule="exact"/>
              <w:ind w:firstLine="480" w:firstLineChars="200"/>
              <w:textAlignment w:val="auto"/>
              <w:rPr>
                <w:color w:val="auto"/>
                <w:sz w:val="24"/>
                <w:highlight w:val="none"/>
                <w:lang w:bidi="ar"/>
              </w:rPr>
            </w:pPr>
            <w:r>
              <w:rPr>
                <w:rFonts w:hint="eastAsia"/>
                <w:color w:val="auto"/>
                <w:sz w:val="24"/>
                <w:highlight w:val="none"/>
              </w:rPr>
              <w:t>本项目</w:t>
            </w:r>
            <w:r>
              <w:rPr>
                <w:color w:val="auto"/>
                <w:sz w:val="24"/>
                <w:highlight w:val="none"/>
              </w:rPr>
              <w:t>外剥离产生的</w:t>
            </w:r>
            <w:r>
              <w:rPr>
                <w:rFonts w:hint="eastAsia"/>
                <w:color w:val="auto"/>
                <w:sz w:val="24"/>
                <w:highlight w:val="none"/>
              </w:rPr>
              <w:t>废土废石</w:t>
            </w:r>
            <w:r>
              <w:rPr>
                <w:color w:val="auto"/>
                <w:sz w:val="24"/>
                <w:highlight w:val="none"/>
              </w:rPr>
              <w:t>运至排土场堆排，内剥离产生的</w:t>
            </w:r>
            <w:r>
              <w:rPr>
                <w:rFonts w:hint="eastAsia"/>
                <w:color w:val="auto"/>
                <w:sz w:val="24"/>
                <w:highlight w:val="none"/>
                <w:lang w:val="en-US" w:eastAsia="zh-CN"/>
              </w:rPr>
              <w:t>大块</w:t>
            </w:r>
            <w:r>
              <w:rPr>
                <w:color w:val="auto"/>
                <w:sz w:val="24"/>
                <w:highlight w:val="none"/>
              </w:rPr>
              <w:t>碎石</w:t>
            </w:r>
            <w:r>
              <w:rPr>
                <w:rFonts w:hint="eastAsia"/>
                <w:color w:val="auto"/>
                <w:sz w:val="24"/>
                <w:highlight w:val="none"/>
                <w:lang w:eastAsia="zh-CN"/>
              </w:rPr>
              <w:t>（</w:t>
            </w:r>
            <w:r>
              <w:rPr>
                <w:rFonts w:hint="eastAsia"/>
                <w:color w:val="auto"/>
                <w:sz w:val="24"/>
                <w:highlight w:val="none"/>
                <w:lang w:val="en-US" w:eastAsia="zh-CN"/>
              </w:rPr>
              <w:t>约10万吨/年</w:t>
            </w:r>
            <w:r>
              <w:rPr>
                <w:rFonts w:hint="eastAsia"/>
                <w:color w:val="auto"/>
                <w:sz w:val="24"/>
                <w:highlight w:val="none"/>
                <w:lang w:eastAsia="zh-CN"/>
              </w:rPr>
              <w:t>）</w:t>
            </w:r>
            <w:r>
              <w:rPr>
                <w:rFonts w:hint="eastAsia"/>
                <w:color w:val="auto"/>
                <w:sz w:val="24"/>
                <w:highlight w:val="none"/>
              </w:rPr>
              <w:t>运送至本项目配套工业场地</w:t>
            </w:r>
            <w:r>
              <w:rPr>
                <w:color w:val="auto"/>
                <w:sz w:val="24"/>
                <w:highlight w:val="none"/>
              </w:rPr>
              <w:t>破碎成不同粒径的碎石进行销售</w:t>
            </w:r>
            <w:r>
              <w:rPr>
                <w:rFonts w:hint="eastAsia"/>
                <w:color w:val="auto"/>
                <w:sz w:val="24"/>
                <w:highlight w:val="none"/>
                <w:lang w:eastAsia="zh-CN"/>
              </w:rPr>
              <w:t>，</w:t>
            </w:r>
            <w:r>
              <w:rPr>
                <w:rFonts w:hint="eastAsia"/>
                <w:color w:val="auto"/>
                <w:sz w:val="24"/>
                <w:highlight w:val="none"/>
                <w:lang w:val="en-US" w:eastAsia="zh-CN"/>
              </w:rPr>
              <w:t>小块碎石直接外售</w:t>
            </w:r>
            <w:r>
              <w:rPr>
                <w:rFonts w:hint="eastAsia"/>
                <w:color w:val="auto"/>
                <w:sz w:val="24"/>
                <w:highlight w:val="none"/>
              </w:rPr>
              <w:t>。排土场</w:t>
            </w:r>
            <w:r>
              <w:rPr>
                <w:color w:val="auto"/>
                <w:sz w:val="24"/>
                <w:highlight w:val="none"/>
              </w:rPr>
              <w:t>已堆排废石408.6万m</w:t>
            </w:r>
            <w:r>
              <w:rPr>
                <w:color w:val="auto"/>
                <w:sz w:val="24"/>
                <w:highlight w:val="none"/>
                <w:vertAlign w:val="superscript"/>
              </w:rPr>
              <w:t>3</w:t>
            </w:r>
            <w:r>
              <w:rPr>
                <w:color w:val="auto"/>
                <w:sz w:val="24"/>
                <w:highlight w:val="none"/>
              </w:rPr>
              <w:t>，排土场剩余容积532.06万m</w:t>
            </w:r>
            <w:r>
              <w:rPr>
                <w:color w:val="auto"/>
                <w:sz w:val="24"/>
                <w:highlight w:val="none"/>
                <w:vertAlign w:val="superscript"/>
              </w:rPr>
              <w:t>3</w:t>
            </w:r>
            <w:r>
              <w:rPr>
                <w:rFonts w:hint="eastAsia"/>
                <w:color w:val="auto"/>
                <w:sz w:val="24"/>
                <w:highlight w:val="none"/>
              </w:rPr>
              <w:t>，</w:t>
            </w:r>
            <w:r>
              <w:rPr>
                <w:color w:val="auto"/>
                <w:sz w:val="24"/>
                <w:highlight w:val="none"/>
              </w:rPr>
              <w:t>满足外剥离量</w:t>
            </w:r>
            <w:r>
              <w:rPr>
                <w:rFonts w:hint="eastAsia"/>
                <w:color w:val="auto"/>
                <w:sz w:val="24"/>
                <w:highlight w:val="none"/>
              </w:rPr>
              <w:t>307.46</w:t>
            </w:r>
            <w:r>
              <w:rPr>
                <w:color w:val="auto"/>
                <w:sz w:val="24"/>
                <w:highlight w:val="none"/>
              </w:rPr>
              <w:t>万m</w:t>
            </w:r>
            <w:r>
              <w:rPr>
                <w:color w:val="auto"/>
                <w:sz w:val="24"/>
                <w:highlight w:val="none"/>
                <w:vertAlign w:val="superscript"/>
              </w:rPr>
              <w:t>3</w:t>
            </w:r>
            <w:r>
              <w:rPr>
                <w:color w:val="auto"/>
                <w:sz w:val="24"/>
                <w:highlight w:val="none"/>
              </w:rPr>
              <w:t>排土需求。</w:t>
            </w:r>
          </w:p>
          <w:p w14:paraId="6E57D454">
            <w:pPr>
              <w:keepNext w:val="0"/>
              <w:keepLines w:val="0"/>
              <w:pageBreakBefore w:val="0"/>
              <w:widowControl/>
              <w:kinsoku/>
              <w:wordWrap/>
              <w:overflowPunct/>
              <w:topLinePunct w:val="0"/>
              <w:autoSpaceDE/>
              <w:autoSpaceDN/>
              <w:bidi w:val="0"/>
              <w:adjustRightInd/>
              <w:snapToGrid/>
              <w:spacing w:line="470" w:lineRule="exact"/>
              <w:ind w:firstLine="480" w:firstLineChars="200"/>
              <w:textAlignment w:val="auto"/>
              <w:rPr>
                <w:kern w:val="0"/>
                <w:sz w:val="24"/>
                <w:lang w:bidi="ar"/>
              </w:rPr>
            </w:pPr>
            <w:r>
              <w:rPr>
                <w:sz w:val="24"/>
              </w:rPr>
              <w:t>A.表土方案：剥离的表土暂存放于排土场，自卸车将剥离的表土运输至堆存区域，卸料后采用推土机推平，做到平整均匀。表土分层堆放，平均堆存厚度达到50cm后进行碾压，压实度不小于90%。临时堆存区四周坡脚采用袋装土加固，坡面采用挖掘机进行削坡稳固，表土堆放好后，在其上覆盖防尘网，以便于日后取土进行</w:t>
            </w:r>
            <w:r>
              <w:rPr>
                <w:kern w:val="0"/>
                <w:sz w:val="24"/>
                <w:lang w:bidi="ar"/>
              </w:rPr>
              <w:t>生态修复。</w:t>
            </w:r>
          </w:p>
          <w:p w14:paraId="78CA121A">
            <w:pPr>
              <w:keepNext w:val="0"/>
              <w:keepLines w:val="0"/>
              <w:pageBreakBefore w:val="0"/>
              <w:widowControl/>
              <w:kinsoku/>
              <w:wordWrap/>
              <w:overflowPunct/>
              <w:topLinePunct w:val="0"/>
              <w:autoSpaceDE/>
              <w:autoSpaceDN/>
              <w:bidi w:val="0"/>
              <w:adjustRightInd/>
              <w:snapToGrid/>
              <w:spacing w:line="470" w:lineRule="exact"/>
              <w:ind w:firstLine="480" w:firstLineChars="200"/>
              <w:textAlignment w:val="auto"/>
              <w:rPr>
                <w:rFonts w:ascii="宋体" w:hAnsi="宋体"/>
                <w:bCs/>
                <w:sz w:val="24"/>
              </w:rPr>
            </w:pPr>
            <w:r>
              <w:rPr>
                <w:rFonts w:hint="eastAsia" w:ascii="宋体" w:hAnsi="宋体"/>
                <w:bCs/>
                <w:sz w:val="24"/>
              </w:rPr>
              <w:t>B.剥离废石堆放方式：</w:t>
            </w:r>
          </w:p>
          <w:p w14:paraId="5B41CCB9">
            <w:pPr>
              <w:keepNext w:val="0"/>
              <w:keepLines w:val="0"/>
              <w:pageBreakBefore w:val="0"/>
              <w:widowControl/>
              <w:kinsoku/>
              <w:wordWrap/>
              <w:overflowPunct/>
              <w:topLinePunct w:val="0"/>
              <w:autoSpaceDE/>
              <w:autoSpaceDN/>
              <w:bidi w:val="0"/>
              <w:adjustRightInd/>
              <w:snapToGrid/>
              <w:spacing w:line="470" w:lineRule="exact"/>
              <w:ind w:firstLine="480" w:firstLineChars="200"/>
              <w:textAlignment w:val="auto"/>
              <w:rPr>
                <w:kern w:val="0"/>
                <w:sz w:val="24"/>
                <w:lang w:bidi="ar"/>
              </w:rPr>
            </w:pPr>
            <w:r>
              <w:rPr>
                <w:rFonts w:hint="eastAsia"/>
                <w:kern w:val="0"/>
                <w:sz w:val="24"/>
                <w:lang w:bidi="ar"/>
              </w:rPr>
              <w:t>废石堆放分为4个步骤进行：</w:t>
            </w:r>
          </w:p>
          <w:p w14:paraId="0624259F">
            <w:pPr>
              <w:keepNext w:val="0"/>
              <w:keepLines w:val="0"/>
              <w:pageBreakBefore w:val="0"/>
              <w:widowControl/>
              <w:kinsoku/>
              <w:wordWrap/>
              <w:overflowPunct/>
              <w:topLinePunct w:val="0"/>
              <w:autoSpaceDE/>
              <w:autoSpaceDN/>
              <w:bidi w:val="0"/>
              <w:adjustRightInd/>
              <w:snapToGrid/>
              <w:spacing w:line="470" w:lineRule="exact"/>
              <w:ind w:firstLine="480" w:firstLineChars="200"/>
              <w:textAlignment w:val="auto"/>
              <w:rPr>
                <w:kern w:val="0"/>
                <w:sz w:val="24"/>
                <w:lang w:bidi="ar"/>
              </w:rPr>
            </w:pPr>
            <w:r>
              <w:rPr>
                <w:kern w:val="0"/>
                <w:sz w:val="24"/>
                <w:lang w:bidi="ar"/>
              </w:rPr>
              <w:t>第一步，</w:t>
            </w:r>
            <w:r>
              <w:rPr>
                <w:rFonts w:hint="eastAsia"/>
                <w:kern w:val="0"/>
                <w:sz w:val="24"/>
                <w:highlight w:val="none"/>
                <w:lang w:val="en-US" w:eastAsia="zh-CN" w:bidi="ar"/>
              </w:rPr>
              <w:t>排土场</w:t>
            </w:r>
            <w:r>
              <w:rPr>
                <w:kern w:val="0"/>
                <w:sz w:val="24"/>
                <w:highlight w:val="none"/>
                <w:lang w:bidi="ar"/>
              </w:rPr>
              <w:t>两侧坡面修筑浆砌石截水沟拦截坡面径流，截洪沟下游设置消力池，进行消能以防止水头对自然沟道的冲刷；拦渣坝马道坡脚一侧布设浆砌石排水沟，将废石坡面径流导入两侧截水沟，防止雨水大量涌入沟内，对废石造成浸泡淋溶污染水体，并将沟体推平压实，对</w:t>
            </w:r>
            <w:r>
              <w:rPr>
                <w:rFonts w:hint="eastAsia"/>
                <w:kern w:val="0"/>
                <w:sz w:val="24"/>
                <w:highlight w:val="none"/>
                <w:lang w:bidi="ar"/>
              </w:rPr>
              <w:t>排土</w:t>
            </w:r>
            <w:r>
              <w:rPr>
                <w:kern w:val="0"/>
                <w:sz w:val="24"/>
                <w:highlight w:val="none"/>
                <w:lang w:bidi="ar"/>
              </w:rPr>
              <w:t>场进行绿化。</w:t>
            </w:r>
          </w:p>
          <w:p w14:paraId="385A511D">
            <w:pPr>
              <w:keepNext w:val="0"/>
              <w:keepLines w:val="0"/>
              <w:pageBreakBefore w:val="0"/>
              <w:widowControl/>
              <w:kinsoku/>
              <w:wordWrap/>
              <w:overflowPunct/>
              <w:topLinePunct w:val="0"/>
              <w:autoSpaceDE/>
              <w:autoSpaceDN/>
              <w:bidi w:val="0"/>
              <w:adjustRightInd/>
              <w:snapToGrid/>
              <w:spacing w:line="470" w:lineRule="exact"/>
              <w:ind w:firstLine="480" w:firstLineChars="200"/>
              <w:textAlignment w:val="auto"/>
              <w:rPr>
                <w:kern w:val="0"/>
                <w:sz w:val="24"/>
                <w:lang w:bidi="ar"/>
              </w:rPr>
            </w:pPr>
            <w:r>
              <w:rPr>
                <w:kern w:val="0"/>
                <w:sz w:val="24"/>
                <w:lang w:bidi="ar"/>
              </w:rPr>
              <w:t>第二步，按阶段进行废石分层</w:t>
            </w:r>
            <w:r>
              <w:rPr>
                <w:rFonts w:hint="eastAsia"/>
                <w:kern w:val="0"/>
                <w:sz w:val="24"/>
                <w:lang w:bidi="ar"/>
              </w:rPr>
              <w:t>堆放</w:t>
            </w:r>
            <w:r>
              <w:rPr>
                <w:kern w:val="0"/>
                <w:sz w:val="24"/>
                <w:lang w:bidi="ar"/>
              </w:rPr>
              <w:t>：废石由汽车运至废石场后，由推土机推平压实，废石应逐层进行堆放，当废石厚度达</w:t>
            </w:r>
            <w:r>
              <w:rPr>
                <w:rFonts w:hint="eastAsia"/>
                <w:kern w:val="0"/>
                <w:sz w:val="24"/>
                <w:lang w:bidi="ar"/>
              </w:rPr>
              <w:t>20</w:t>
            </w:r>
            <w:r>
              <w:rPr>
                <w:kern w:val="0"/>
                <w:sz w:val="24"/>
                <w:lang w:bidi="ar"/>
              </w:rPr>
              <w:t>m后，</w:t>
            </w:r>
            <w:r>
              <w:rPr>
                <w:rFonts w:hint="eastAsia"/>
                <w:kern w:val="0"/>
                <w:sz w:val="24"/>
                <w:lang w:bidi="ar"/>
              </w:rPr>
              <w:t>覆盖</w:t>
            </w:r>
            <w:r>
              <w:rPr>
                <w:kern w:val="0"/>
                <w:sz w:val="24"/>
                <w:lang w:bidi="ar"/>
              </w:rPr>
              <w:t>黄土。</w:t>
            </w:r>
          </w:p>
          <w:p w14:paraId="2AECD59B">
            <w:pPr>
              <w:keepNext w:val="0"/>
              <w:keepLines w:val="0"/>
              <w:pageBreakBefore w:val="0"/>
              <w:widowControl/>
              <w:kinsoku/>
              <w:wordWrap/>
              <w:overflowPunct/>
              <w:topLinePunct w:val="0"/>
              <w:autoSpaceDE/>
              <w:autoSpaceDN/>
              <w:bidi w:val="0"/>
              <w:adjustRightInd/>
              <w:snapToGrid/>
              <w:spacing w:line="470" w:lineRule="exact"/>
              <w:ind w:firstLine="480" w:firstLineChars="200"/>
              <w:textAlignment w:val="auto"/>
              <w:rPr>
                <w:kern w:val="0"/>
                <w:sz w:val="24"/>
                <w:lang w:bidi="ar"/>
              </w:rPr>
            </w:pPr>
            <w:r>
              <w:rPr>
                <w:kern w:val="0"/>
                <w:sz w:val="24"/>
                <w:lang w:bidi="ar"/>
              </w:rPr>
              <w:t>第三步，外边坡整形、覆土和绿化。每个阶段废石堆放完成后，即开始对边坡进行整形，然后覆土并绿化。绿化树种选择适合当地生长的树种，栽种季节宜选择在春季，草种选择耐旱、</w:t>
            </w:r>
            <w:r>
              <w:rPr>
                <w:rFonts w:hint="eastAsia"/>
                <w:kern w:val="0"/>
                <w:sz w:val="24"/>
                <w:lang w:bidi="ar"/>
              </w:rPr>
              <w:t>繁殖力</w:t>
            </w:r>
            <w:r>
              <w:rPr>
                <w:kern w:val="0"/>
                <w:sz w:val="24"/>
                <w:lang w:bidi="ar"/>
              </w:rPr>
              <w:t>强的品种。树木栽种方式采用客土坑栽，客土采用熟土及肥料按比例混合。为了保证绿化和树木成活率，要定时洒水。</w:t>
            </w:r>
          </w:p>
          <w:p w14:paraId="79CBF321">
            <w:pPr>
              <w:keepNext w:val="0"/>
              <w:keepLines w:val="0"/>
              <w:pageBreakBefore w:val="0"/>
              <w:widowControl/>
              <w:kinsoku/>
              <w:wordWrap/>
              <w:overflowPunct/>
              <w:topLinePunct w:val="0"/>
              <w:autoSpaceDE/>
              <w:autoSpaceDN/>
              <w:bidi w:val="0"/>
              <w:adjustRightInd/>
              <w:snapToGrid/>
              <w:spacing w:line="470" w:lineRule="exact"/>
              <w:ind w:firstLine="480" w:firstLineChars="200"/>
              <w:textAlignment w:val="auto"/>
              <w:rPr>
                <w:kern w:val="0"/>
                <w:sz w:val="24"/>
                <w:highlight w:val="red"/>
                <w:lang w:bidi="ar"/>
              </w:rPr>
            </w:pPr>
            <w:r>
              <w:rPr>
                <w:kern w:val="0"/>
                <w:sz w:val="24"/>
                <w:lang w:bidi="ar"/>
              </w:rPr>
              <w:t>第四步，堆顶覆土及植树绿化：当废石堆放达到顶部时，及时进行平整，平整后表面全部覆土，覆土厚度为0.</w:t>
            </w:r>
            <w:r>
              <w:rPr>
                <w:rFonts w:hint="eastAsia"/>
                <w:kern w:val="0"/>
                <w:sz w:val="24"/>
                <w:lang w:bidi="ar"/>
              </w:rPr>
              <w:t>5—</w:t>
            </w:r>
            <w:r>
              <w:rPr>
                <w:kern w:val="0"/>
                <w:sz w:val="24"/>
                <w:lang w:bidi="ar"/>
              </w:rPr>
              <w:t>1.0m，然后种植适合当地生长的树种，栽种季节宜选择在春季，草种选择耐旱、</w:t>
            </w:r>
            <w:r>
              <w:rPr>
                <w:rFonts w:hint="eastAsia"/>
                <w:kern w:val="0"/>
                <w:sz w:val="24"/>
                <w:lang w:bidi="ar"/>
              </w:rPr>
              <w:t>繁殖</w:t>
            </w:r>
            <w:r>
              <w:rPr>
                <w:kern w:val="0"/>
                <w:sz w:val="24"/>
                <w:lang w:bidi="ar"/>
              </w:rPr>
              <w:t>力强的品种，此后</w:t>
            </w:r>
            <w:r>
              <w:rPr>
                <w:rFonts w:hint="eastAsia"/>
                <w:kern w:val="0"/>
                <w:sz w:val="24"/>
                <w:lang w:bidi="ar"/>
              </w:rPr>
              <w:t>做好</w:t>
            </w:r>
            <w:r>
              <w:rPr>
                <w:kern w:val="0"/>
                <w:sz w:val="24"/>
                <w:lang w:bidi="ar"/>
              </w:rPr>
              <w:t>苗期管理定期浇水。</w:t>
            </w:r>
          </w:p>
          <w:p w14:paraId="180B12F1">
            <w:pPr>
              <w:keepNext w:val="0"/>
              <w:keepLines w:val="0"/>
              <w:pageBreakBefore w:val="0"/>
              <w:widowControl/>
              <w:kinsoku/>
              <w:wordWrap/>
              <w:overflowPunct/>
              <w:topLinePunct w:val="0"/>
              <w:autoSpaceDE/>
              <w:autoSpaceDN/>
              <w:bidi w:val="0"/>
              <w:adjustRightInd/>
              <w:snapToGrid/>
              <w:spacing w:line="470" w:lineRule="exact"/>
              <w:ind w:firstLine="480" w:firstLineChars="200"/>
              <w:textAlignment w:val="auto"/>
              <w:rPr>
                <w:kern w:val="0"/>
                <w:sz w:val="24"/>
                <w:highlight w:val="none"/>
                <w:lang w:bidi="ar"/>
              </w:rPr>
            </w:pPr>
            <w:r>
              <w:rPr>
                <w:rFonts w:hint="eastAsia"/>
                <w:kern w:val="0"/>
                <w:sz w:val="24"/>
                <w:highlight w:val="none"/>
                <w:lang w:bidi="ar"/>
              </w:rPr>
              <w:t>C.排土场工程设置方案</w:t>
            </w:r>
          </w:p>
          <w:p w14:paraId="1BC9D9B1">
            <w:pPr>
              <w:keepNext w:val="0"/>
              <w:keepLines w:val="0"/>
              <w:pageBreakBefore w:val="0"/>
              <w:widowControl/>
              <w:kinsoku/>
              <w:wordWrap/>
              <w:overflowPunct/>
              <w:topLinePunct w:val="0"/>
              <w:autoSpaceDE/>
              <w:autoSpaceDN/>
              <w:bidi w:val="0"/>
              <w:adjustRightInd/>
              <w:snapToGrid/>
              <w:spacing w:line="470" w:lineRule="exact"/>
              <w:ind w:firstLine="480" w:firstLineChars="200"/>
              <w:textAlignment w:val="auto"/>
              <w:rPr>
                <w:rFonts w:hint="default" w:eastAsia="宋体"/>
                <w:kern w:val="0"/>
                <w:sz w:val="24"/>
                <w:highlight w:val="none"/>
                <w:lang w:val="en-US" w:eastAsia="zh-CN" w:bidi="ar"/>
              </w:rPr>
            </w:pPr>
            <w:r>
              <w:rPr>
                <w:rFonts w:hint="eastAsia"/>
                <w:kern w:val="0"/>
                <w:sz w:val="24"/>
                <w:highlight w:val="none"/>
                <w:lang w:val="en-US" w:eastAsia="zh-CN" w:bidi="ar"/>
              </w:rPr>
              <w:t>排土场已建设拦渣坝，需建设排水设施：</w:t>
            </w:r>
            <w:r>
              <w:rPr>
                <w:rFonts w:hint="eastAsia"/>
                <w:kern w:val="0"/>
                <w:sz w:val="24"/>
                <w:highlight w:val="none"/>
                <w:lang w:bidi="ar"/>
              </w:rPr>
              <w:t>截水沟</w:t>
            </w:r>
            <w:r>
              <w:rPr>
                <w:rFonts w:hint="eastAsia"/>
                <w:kern w:val="0"/>
                <w:sz w:val="24"/>
                <w:highlight w:val="none"/>
                <w:lang w:eastAsia="zh-CN" w:bidi="ar"/>
              </w:rPr>
              <w:t>、</w:t>
            </w:r>
            <w:r>
              <w:rPr>
                <w:rFonts w:hint="eastAsia"/>
                <w:kern w:val="0"/>
                <w:sz w:val="24"/>
                <w:highlight w:val="none"/>
                <w:lang w:bidi="ar"/>
              </w:rPr>
              <w:t>马道排水沟</w:t>
            </w:r>
            <w:r>
              <w:rPr>
                <w:rFonts w:hint="eastAsia"/>
                <w:kern w:val="0"/>
                <w:sz w:val="24"/>
                <w:highlight w:val="none"/>
                <w:lang w:eastAsia="zh-CN" w:bidi="ar"/>
              </w:rPr>
              <w:t>、</w:t>
            </w:r>
            <w:r>
              <w:rPr>
                <w:rFonts w:hint="eastAsia"/>
                <w:kern w:val="0"/>
                <w:sz w:val="24"/>
                <w:highlight w:val="none"/>
                <w:lang w:bidi="ar"/>
              </w:rPr>
              <w:t>消力池</w:t>
            </w:r>
            <w:r>
              <w:rPr>
                <w:rFonts w:hint="eastAsia"/>
                <w:kern w:val="0"/>
                <w:sz w:val="24"/>
                <w:highlight w:val="none"/>
                <w:lang w:val="en-US" w:eastAsia="zh-CN" w:bidi="ar"/>
              </w:rPr>
              <w:t>。</w:t>
            </w:r>
          </w:p>
          <w:p w14:paraId="79320A8A">
            <w:pPr>
              <w:keepNext w:val="0"/>
              <w:keepLines w:val="0"/>
              <w:pageBreakBefore w:val="0"/>
              <w:widowControl/>
              <w:kinsoku/>
              <w:wordWrap/>
              <w:overflowPunct/>
              <w:topLinePunct w:val="0"/>
              <w:autoSpaceDE/>
              <w:autoSpaceDN/>
              <w:bidi w:val="0"/>
              <w:adjustRightInd/>
              <w:snapToGrid/>
              <w:spacing w:line="470" w:lineRule="exact"/>
              <w:ind w:firstLine="480" w:firstLineChars="200"/>
              <w:textAlignment w:val="auto"/>
              <w:rPr>
                <w:kern w:val="0"/>
                <w:sz w:val="24"/>
                <w:highlight w:val="none"/>
                <w:lang w:bidi="ar"/>
              </w:rPr>
            </w:pPr>
            <w:r>
              <w:rPr>
                <w:rFonts w:hint="eastAsia"/>
                <w:kern w:val="0"/>
                <w:sz w:val="24"/>
                <w:highlight w:val="none"/>
                <w:lang w:bidi="ar"/>
              </w:rPr>
              <w:t>截水沟：在排土场周边布设截水沟，采用浆砌石矩形断面形式，规格：0.</w:t>
            </w:r>
            <w:r>
              <w:rPr>
                <w:kern w:val="0"/>
                <w:sz w:val="24"/>
                <w:highlight w:val="none"/>
                <w:lang w:bidi="ar"/>
              </w:rPr>
              <w:t>5</w:t>
            </w:r>
            <w:r>
              <w:rPr>
                <w:rFonts w:hint="eastAsia"/>
                <w:kern w:val="0"/>
                <w:sz w:val="24"/>
                <w:highlight w:val="none"/>
                <w:lang w:bidi="ar"/>
              </w:rPr>
              <w:t>m（上宽）×0.4m（下宽）×0.</w:t>
            </w:r>
            <w:r>
              <w:rPr>
                <w:kern w:val="0"/>
                <w:sz w:val="24"/>
                <w:highlight w:val="none"/>
                <w:lang w:bidi="ar"/>
              </w:rPr>
              <w:t>4</w:t>
            </w:r>
            <w:r>
              <w:rPr>
                <w:rFonts w:hint="eastAsia"/>
                <w:kern w:val="0"/>
                <w:sz w:val="24"/>
                <w:highlight w:val="none"/>
                <w:lang w:bidi="ar"/>
              </w:rPr>
              <w:t>m（深度），最终汇入消力池。</w:t>
            </w:r>
          </w:p>
          <w:p w14:paraId="7B03D1B2">
            <w:pPr>
              <w:pStyle w:val="2"/>
              <w:keepNext w:val="0"/>
              <w:keepLines w:val="0"/>
              <w:pageBreakBefore w:val="0"/>
              <w:kinsoku/>
              <w:wordWrap/>
              <w:overflowPunct/>
              <w:topLinePunct w:val="0"/>
              <w:autoSpaceDE/>
              <w:autoSpaceDN/>
              <w:bidi w:val="0"/>
              <w:adjustRightInd/>
              <w:snapToGrid/>
              <w:spacing w:after="0" w:line="470" w:lineRule="exact"/>
              <w:ind w:left="0" w:leftChars="0" w:firstLine="480" w:firstLineChars="200"/>
              <w:textAlignment w:val="auto"/>
              <w:rPr>
                <w:highlight w:val="none"/>
              </w:rPr>
            </w:pPr>
            <w:r>
              <w:rPr>
                <w:rFonts w:hint="eastAsia"/>
                <w:kern w:val="0"/>
                <w:sz w:val="24"/>
                <w:highlight w:val="none"/>
                <w:lang w:bidi="ar"/>
              </w:rPr>
              <w:t>马道排水沟：在台阶平台靠近边坡一侧设置马道排水沟</w:t>
            </w:r>
            <w:r>
              <w:rPr>
                <w:rFonts w:hint="eastAsia"/>
                <w:kern w:val="0"/>
                <w:sz w:val="24"/>
                <w:highlight w:val="none"/>
                <w:lang w:eastAsia="zh-CN" w:bidi="ar"/>
              </w:rPr>
              <w:t>（</w:t>
            </w:r>
            <w:r>
              <w:rPr>
                <w:rFonts w:hint="eastAsia"/>
                <w:kern w:val="0"/>
                <w:sz w:val="24"/>
                <w:highlight w:val="none"/>
                <w:lang w:bidi="ar"/>
              </w:rPr>
              <w:t>0.</w:t>
            </w:r>
            <w:r>
              <w:rPr>
                <w:kern w:val="0"/>
                <w:sz w:val="24"/>
                <w:highlight w:val="none"/>
                <w:lang w:bidi="ar"/>
              </w:rPr>
              <w:t>5</w:t>
            </w:r>
            <w:r>
              <w:rPr>
                <w:rFonts w:hint="eastAsia"/>
                <w:kern w:val="0"/>
                <w:sz w:val="24"/>
                <w:highlight w:val="none"/>
                <w:lang w:bidi="ar"/>
              </w:rPr>
              <w:t>m（上宽）×0.4m（下宽）×0.</w:t>
            </w:r>
            <w:r>
              <w:rPr>
                <w:kern w:val="0"/>
                <w:sz w:val="24"/>
                <w:highlight w:val="none"/>
                <w:lang w:bidi="ar"/>
              </w:rPr>
              <w:t>4</w:t>
            </w:r>
            <w:r>
              <w:rPr>
                <w:rFonts w:hint="eastAsia"/>
                <w:kern w:val="0"/>
                <w:sz w:val="24"/>
                <w:highlight w:val="none"/>
                <w:lang w:bidi="ar"/>
              </w:rPr>
              <w:t>m（深度）</w:t>
            </w:r>
            <w:r>
              <w:rPr>
                <w:rFonts w:hint="eastAsia"/>
                <w:kern w:val="0"/>
                <w:sz w:val="24"/>
                <w:highlight w:val="none"/>
                <w:lang w:eastAsia="zh-CN" w:bidi="ar"/>
              </w:rPr>
              <w:t>）</w:t>
            </w:r>
            <w:r>
              <w:rPr>
                <w:rFonts w:hint="eastAsia"/>
                <w:kern w:val="0"/>
                <w:sz w:val="24"/>
                <w:highlight w:val="none"/>
                <w:lang w:bidi="ar"/>
              </w:rPr>
              <w:t>。沟壁与护坡联合设置，沟壁坡度1:1.5，底宽0.3m，净高0.3m，采用浆砌石结构。雨水漫流汇入马道排水沟后接入</w:t>
            </w:r>
            <w:r>
              <w:rPr>
                <w:rFonts w:hint="eastAsia"/>
                <w:kern w:val="0"/>
                <w:sz w:val="24"/>
                <w:highlight w:val="none"/>
                <w:lang w:val="en-US" w:eastAsia="zh-CN" w:bidi="ar"/>
              </w:rPr>
              <w:t>排土场</w:t>
            </w:r>
            <w:r>
              <w:rPr>
                <w:rFonts w:hint="eastAsia"/>
                <w:kern w:val="0"/>
                <w:sz w:val="24"/>
                <w:highlight w:val="none"/>
                <w:lang w:bidi="ar"/>
              </w:rPr>
              <w:t>外围截水沟内。</w:t>
            </w:r>
          </w:p>
          <w:p w14:paraId="6DBE1C5F">
            <w:pPr>
              <w:keepNext w:val="0"/>
              <w:keepLines w:val="0"/>
              <w:pageBreakBefore w:val="0"/>
              <w:widowControl/>
              <w:kinsoku/>
              <w:wordWrap/>
              <w:overflowPunct/>
              <w:topLinePunct w:val="0"/>
              <w:autoSpaceDE/>
              <w:autoSpaceDN/>
              <w:bidi w:val="0"/>
              <w:adjustRightInd/>
              <w:snapToGrid/>
              <w:spacing w:line="470" w:lineRule="exact"/>
              <w:ind w:firstLine="480" w:firstLineChars="200"/>
              <w:textAlignment w:val="auto"/>
              <w:rPr>
                <w:kern w:val="0"/>
                <w:sz w:val="24"/>
                <w:highlight w:val="red"/>
                <w:lang w:bidi="ar"/>
              </w:rPr>
            </w:pPr>
            <w:r>
              <w:rPr>
                <w:rFonts w:hint="eastAsia"/>
                <w:kern w:val="0"/>
                <w:sz w:val="24"/>
                <w:highlight w:val="none"/>
                <w:lang w:bidi="ar"/>
              </w:rPr>
              <w:t>消力池：采用钢筋砼结构，长3m，宽3m，深2m。</w:t>
            </w:r>
          </w:p>
          <w:p w14:paraId="5C691141">
            <w:pPr>
              <w:keepNext w:val="0"/>
              <w:keepLines w:val="0"/>
              <w:pageBreakBefore w:val="0"/>
              <w:widowControl/>
              <w:kinsoku/>
              <w:wordWrap/>
              <w:overflowPunct/>
              <w:topLinePunct w:val="0"/>
              <w:autoSpaceDE/>
              <w:autoSpaceDN/>
              <w:bidi w:val="0"/>
              <w:adjustRightInd/>
              <w:snapToGrid/>
              <w:spacing w:line="470" w:lineRule="exact"/>
              <w:ind w:firstLine="480" w:firstLineChars="200"/>
              <w:textAlignment w:val="auto"/>
              <w:rPr>
                <w:kern w:val="0"/>
                <w:sz w:val="24"/>
                <w:lang w:bidi="ar"/>
              </w:rPr>
            </w:pPr>
            <w:r>
              <w:rPr>
                <w:rFonts w:hint="eastAsia"/>
                <w:kern w:val="0"/>
                <w:sz w:val="24"/>
                <w:lang w:bidi="ar"/>
              </w:rPr>
              <w:t>2</w:t>
            </w:r>
            <w:r>
              <w:rPr>
                <w:kern w:val="0"/>
                <w:sz w:val="24"/>
                <w:lang w:bidi="ar"/>
              </w:rPr>
              <w:t>）生活垃圾</w:t>
            </w:r>
          </w:p>
          <w:p w14:paraId="7298E537">
            <w:pPr>
              <w:keepNext w:val="0"/>
              <w:keepLines w:val="0"/>
              <w:pageBreakBefore w:val="0"/>
              <w:widowControl/>
              <w:kinsoku/>
              <w:wordWrap/>
              <w:overflowPunct/>
              <w:topLinePunct w:val="0"/>
              <w:autoSpaceDE/>
              <w:autoSpaceDN/>
              <w:bidi w:val="0"/>
              <w:adjustRightInd/>
              <w:snapToGrid/>
              <w:spacing w:line="470" w:lineRule="exact"/>
              <w:ind w:firstLine="480" w:firstLineChars="200"/>
              <w:textAlignment w:val="auto"/>
              <w:rPr>
                <w:kern w:val="0"/>
                <w:sz w:val="24"/>
                <w:lang w:bidi="ar"/>
              </w:rPr>
            </w:pPr>
            <w:r>
              <w:rPr>
                <w:kern w:val="0"/>
                <w:sz w:val="24"/>
                <w:lang w:bidi="ar"/>
              </w:rPr>
              <w:t>本项目劳动定员5</w:t>
            </w:r>
            <w:r>
              <w:rPr>
                <w:rFonts w:hint="eastAsia"/>
                <w:kern w:val="0"/>
                <w:sz w:val="24"/>
                <w:lang w:bidi="ar"/>
              </w:rPr>
              <w:t>0</w:t>
            </w:r>
            <w:r>
              <w:rPr>
                <w:kern w:val="0"/>
                <w:sz w:val="24"/>
                <w:lang w:bidi="ar"/>
              </w:rPr>
              <w:t>人，生活垃圾产生量按0.5kg/（人▪d）计算，则本项目生活垃圾产生量为</w:t>
            </w:r>
            <w:r>
              <w:rPr>
                <w:rFonts w:hint="eastAsia"/>
                <w:kern w:val="0"/>
                <w:sz w:val="24"/>
                <w:lang w:bidi="ar"/>
              </w:rPr>
              <w:t>5</w:t>
            </w:r>
            <w:r>
              <w:rPr>
                <w:kern w:val="0"/>
                <w:sz w:val="24"/>
                <w:lang w:bidi="ar"/>
              </w:rPr>
              <w:t>t/a，</w:t>
            </w:r>
            <w:r>
              <w:rPr>
                <w:rFonts w:hint="eastAsia"/>
                <w:kern w:val="0"/>
                <w:sz w:val="24"/>
                <w:lang w:bidi="ar"/>
              </w:rPr>
              <w:t>矿</w:t>
            </w:r>
            <w:r>
              <w:rPr>
                <w:kern w:val="0"/>
                <w:sz w:val="24"/>
                <w:lang w:bidi="ar"/>
              </w:rPr>
              <w:t>区</w:t>
            </w:r>
            <w:r>
              <w:rPr>
                <w:rFonts w:hint="eastAsia"/>
                <w:kern w:val="0"/>
                <w:sz w:val="24"/>
                <w:lang w:bidi="ar"/>
              </w:rPr>
              <w:t>生活</w:t>
            </w:r>
            <w:r>
              <w:rPr>
                <w:kern w:val="0"/>
                <w:sz w:val="24"/>
                <w:lang w:bidi="ar"/>
              </w:rPr>
              <w:t>内设置垃圾箱，经统一收集后送环卫部门指定地点进行处置。</w:t>
            </w:r>
          </w:p>
          <w:p w14:paraId="1872B55E">
            <w:pPr>
              <w:keepNext w:val="0"/>
              <w:keepLines w:val="0"/>
              <w:pageBreakBefore w:val="0"/>
              <w:widowControl/>
              <w:kinsoku/>
              <w:wordWrap/>
              <w:overflowPunct/>
              <w:topLinePunct w:val="0"/>
              <w:autoSpaceDE/>
              <w:autoSpaceDN/>
              <w:bidi w:val="0"/>
              <w:adjustRightInd/>
              <w:snapToGrid/>
              <w:spacing w:line="470" w:lineRule="exact"/>
              <w:ind w:firstLine="480" w:firstLineChars="200"/>
              <w:textAlignment w:val="auto"/>
              <w:rPr>
                <w:kern w:val="0"/>
                <w:sz w:val="24"/>
                <w:lang w:bidi="ar"/>
              </w:rPr>
            </w:pPr>
            <w:r>
              <w:rPr>
                <w:kern w:val="0"/>
                <w:sz w:val="24"/>
                <w:lang w:bidi="ar"/>
              </w:rPr>
              <w:t>3）危险废物</w:t>
            </w:r>
          </w:p>
          <w:p w14:paraId="60E35EF5">
            <w:pPr>
              <w:keepNext w:val="0"/>
              <w:keepLines w:val="0"/>
              <w:pageBreakBefore w:val="0"/>
              <w:widowControl/>
              <w:kinsoku/>
              <w:wordWrap/>
              <w:overflowPunct/>
              <w:topLinePunct w:val="0"/>
              <w:autoSpaceDE/>
              <w:autoSpaceDN/>
              <w:bidi w:val="0"/>
              <w:adjustRightInd/>
              <w:snapToGrid/>
              <w:spacing w:line="470" w:lineRule="exact"/>
              <w:ind w:firstLine="480" w:firstLineChars="200"/>
              <w:textAlignment w:val="auto"/>
              <w:rPr>
                <w:kern w:val="0"/>
                <w:sz w:val="24"/>
                <w:lang w:bidi="ar"/>
              </w:rPr>
            </w:pPr>
            <w:r>
              <w:rPr>
                <w:kern w:val="0"/>
                <w:sz w:val="24"/>
                <w:lang w:bidi="ar"/>
              </w:rPr>
              <w:t>①废矿物油</w:t>
            </w:r>
          </w:p>
          <w:p w14:paraId="020850A4">
            <w:pPr>
              <w:keepNext w:val="0"/>
              <w:keepLines w:val="0"/>
              <w:pageBreakBefore w:val="0"/>
              <w:widowControl/>
              <w:kinsoku/>
              <w:wordWrap/>
              <w:overflowPunct/>
              <w:topLinePunct w:val="0"/>
              <w:autoSpaceDE/>
              <w:autoSpaceDN/>
              <w:bidi w:val="0"/>
              <w:adjustRightInd/>
              <w:snapToGrid/>
              <w:spacing w:line="470" w:lineRule="exact"/>
              <w:ind w:firstLine="480" w:firstLineChars="200"/>
              <w:textAlignment w:val="auto"/>
              <w:rPr>
                <w:kern w:val="0"/>
                <w:sz w:val="24"/>
                <w:lang w:bidi="ar"/>
              </w:rPr>
            </w:pPr>
            <w:r>
              <w:rPr>
                <w:kern w:val="0"/>
                <w:sz w:val="24"/>
                <w:lang w:bidi="ar"/>
              </w:rPr>
              <w:t>本项目</w:t>
            </w:r>
            <w:r>
              <w:rPr>
                <w:rFonts w:hint="eastAsia"/>
                <w:kern w:val="0"/>
                <w:sz w:val="24"/>
                <w:lang w:bidi="ar"/>
              </w:rPr>
              <w:t>生产设备维护需要使用机油，</w:t>
            </w:r>
            <w:r>
              <w:rPr>
                <w:kern w:val="0"/>
                <w:sz w:val="24"/>
                <w:lang w:bidi="ar"/>
              </w:rPr>
              <w:t>消耗量</w:t>
            </w:r>
            <w:r>
              <w:rPr>
                <w:rFonts w:hint="eastAsia"/>
                <w:kern w:val="0"/>
                <w:sz w:val="24"/>
                <w:lang w:bidi="ar"/>
              </w:rPr>
              <w:t>约</w:t>
            </w:r>
            <w:r>
              <w:rPr>
                <w:kern w:val="0"/>
                <w:sz w:val="24"/>
                <w:lang w:bidi="ar"/>
              </w:rPr>
              <w:t>为</w:t>
            </w:r>
            <w:r>
              <w:rPr>
                <w:rFonts w:hint="eastAsia"/>
                <w:kern w:val="0"/>
                <w:sz w:val="24"/>
                <w:lang w:bidi="ar"/>
              </w:rPr>
              <w:t>1</w:t>
            </w:r>
            <w:r>
              <w:rPr>
                <w:kern w:val="0"/>
                <w:sz w:val="24"/>
                <w:lang w:bidi="ar"/>
              </w:rPr>
              <w:t>t/a，则会产生废</w:t>
            </w:r>
            <w:r>
              <w:rPr>
                <w:rFonts w:hint="eastAsia"/>
                <w:kern w:val="0"/>
                <w:sz w:val="24"/>
                <w:lang w:bidi="ar"/>
              </w:rPr>
              <w:t>机</w:t>
            </w:r>
            <w:r>
              <w:rPr>
                <w:kern w:val="0"/>
                <w:sz w:val="24"/>
                <w:lang w:bidi="ar"/>
              </w:rPr>
              <w:t>油约</w:t>
            </w:r>
            <w:r>
              <w:rPr>
                <w:rFonts w:hint="eastAsia"/>
                <w:kern w:val="0"/>
                <w:sz w:val="24"/>
                <w:lang w:bidi="ar"/>
              </w:rPr>
              <w:t>0.8</w:t>
            </w:r>
            <w:r>
              <w:rPr>
                <w:kern w:val="0"/>
                <w:sz w:val="24"/>
                <w:lang w:bidi="ar"/>
              </w:rPr>
              <w:t>t/a，属于危险废物，根据《国家危险废物名录》（2021年版），废机油废物类别为HW08废矿物油与含矿物油废物，废物代码为900-214-08（车辆、轮船及其它机械维修过程中产生的废发动机油、制动器油、自动变速器油、齿轮油等废润滑油），危险特性T，I。</w:t>
            </w:r>
          </w:p>
          <w:p w14:paraId="1741BED2">
            <w:pPr>
              <w:keepNext w:val="0"/>
              <w:keepLines w:val="0"/>
              <w:pageBreakBefore w:val="0"/>
              <w:widowControl/>
              <w:kinsoku/>
              <w:wordWrap/>
              <w:overflowPunct/>
              <w:topLinePunct w:val="0"/>
              <w:autoSpaceDE/>
              <w:autoSpaceDN/>
              <w:bidi w:val="0"/>
              <w:adjustRightInd/>
              <w:snapToGrid/>
              <w:spacing w:line="470" w:lineRule="exact"/>
              <w:ind w:firstLine="480" w:firstLineChars="200"/>
              <w:textAlignment w:val="auto"/>
              <w:rPr>
                <w:kern w:val="0"/>
                <w:sz w:val="24"/>
                <w:lang w:bidi="ar"/>
              </w:rPr>
            </w:pPr>
            <w:r>
              <w:rPr>
                <w:kern w:val="0"/>
                <w:sz w:val="24"/>
                <w:lang w:bidi="ar"/>
              </w:rPr>
              <w:t>②废棉纱、手套</w:t>
            </w:r>
          </w:p>
          <w:p w14:paraId="4BC9E8CC">
            <w:pPr>
              <w:keepNext w:val="0"/>
              <w:keepLines w:val="0"/>
              <w:pageBreakBefore w:val="0"/>
              <w:widowControl/>
              <w:kinsoku/>
              <w:wordWrap/>
              <w:overflowPunct/>
              <w:topLinePunct w:val="0"/>
              <w:autoSpaceDE/>
              <w:autoSpaceDN/>
              <w:bidi w:val="0"/>
              <w:adjustRightInd/>
              <w:snapToGrid/>
              <w:spacing w:line="470" w:lineRule="exact"/>
              <w:ind w:firstLine="480" w:firstLineChars="200"/>
              <w:textAlignment w:val="auto"/>
              <w:rPr>
                <w:kern w:val="0"/>
                <w:sz w:val="24"/>
                <w:lang w:bidi="ar"/>
              </w:rPr>
            </w:pPr>
            <w:r>
              <w:rPr>
                <w:kern w:val="0"/>
                <w:sz w:val="24"/>
                <w:lang w:bidi="ar"/>
              </w:rPr>
              <w:t>项目</w:t>
            </w:r>
            <w:r>
              <w:rPr>
                <w:rFonts w:hint="eastAsia"/>
                <w:kern w:val="0"/>
                <w:sz w:val="24"/>
                <w:lang w:bidi="ar"/>
              </w:rPr>
              <w:t>生产设备维护</w:t>
            </w:r>
            <w:r>
              <w:rPr>
                <w:kern w:val="0"/>
                <w:sz w:val="24"/>
                <w:lang w:bidi="ar"/>
              </w:rPr>
              <w:t>等过程中产生的废棉纱、废手套等，根据《国家危险废物名录》（2021年版），其废物类别为HW08废矿物油与含矿物油废物，废物代码为900-249-08，其生产、销售、使用过程中产生的废矿物油及沾染矿物油的废弃包装物，产生量约0.1t/a，危险特性为T，I。</w:t>
            </w:r>
          </w:p>
          <w:p w14:paraId="007EFBE8">
            <w:pPr>
              <w:keepNext w:val="0"/>
              <w:keepLines w:val="0"/>
              <w:pageBreakBefore w:val="0"/>
              <w:widowControl/>
              <w:kinsoku/>
              <w:wordWrap/>
              <w:overflowPunct/>
              <w:topLinePunct w:val="0"/>
              <w:autoSpaceDE/>
              <w:autoSpaceDN/>
              <w:bidi w:val="0"/>
              <w:adjustRightInd/>
              <w:snapToGrid/>
              <w:spacing w:line="470" w:lineRule="exact"/>
              <w:ind w:firstLine="480" w:firstLineChars="200"/>
              <w:textAlignment w:val="auto"/>
              <w:rPr>
                <w:kern w:val="0"/>
                <w:sz w:val="24"/>
                <w:lang w:bidi="ar"/>
              </w:rPr>
            </w:pPr>
            <w:r>
              <w:rPr>
                <w:kern w:val="0"/>
                <w:sz w:val="24"/>
                <w:lang w:bidi="ar"/>
              </w:rPr>
              <w:t>③废油桶</w:t>
            </w:r>
          </w:p>
          <w:p w14:paraId="5585A931">
            <w:pPr>
              <w:keepNext w:val="0"/>
              <w:keepLines w:val="0"/>
              <w:pageBreakBefore w:val="0"/>
              <w:widowControl/>
              <w:kinsoku/>
              <w:wordWrap/>
              <w:overflowPunct/>
              <w:topLinePunct w:val="0"/>
              <w:autoSpaceDE/>
              <w:autoSpaceDN/>
              <w:bidi w:val="0"/>
              <w:adjustRightInd/>
              <w:snapToGrid/>
              <w:spacing w:line="470" w:lineRule="exact"/>
              <w:ind w:firstLine="480" w:firstLineChars="200"/>
              <w:textAlignment w:val="auto"/>
              <w:rPr>
                <w:kern w:val="0"/>
                <w:sz w:val="24"/>
                <w:lang w:bidi="ar"/>
              </w:rPr>
            </w:pPr>
            <w:r>
              <w:rPr>
                <w:kern w:val="0"/>
                <w:sz w:val="24"/>
                <w:lang w:bidi="ar"/>
              </w:rPr>
              <w:t>项目</w:t>
            </w:r>
            <w:r>
              <w:rPr>
                <w:rFonts w:hint="eastAsia"/>
                <w:kern w:val="0"/>
                <w:sz w:val="24"/>
                <w:lang w:bidi="ar"/>
              </w:rPr>
              <w:t>生产设备维护</w:t>
            </w:r>
            <w:r>
              <w:rPr>
                <w:kern w:val="0"/>
                <w:sz w:val="24"/>
                <w:lang w:bidi="ar"/>
              </w:rPr>
              <w:t>等过程中产生的废油桶，根据《国家危险废物名录》（2021年版），其废物类别为HW49其他废物，废物代码：900-041-49，含有或沾染毒性、感染性危险废物的废弃包装物、容器、过滤吸附介质，</w:t>
            </w:r>
            <w:r>
              <w:rPr>
                <w:rFonts w:hint="eastAsia"/>
                <w:sz w:val="24"/>
              </w:rPr>
              <w:t>废油桶6个/年（19kg/个，0.114t/a）</w:t>
            </w:r>
            <w:r>
              <w:rPr>
                <w:kern w:val="0"/>
                <w:sz w:val="24"/>
                <w:lang w:bidi="ar"/>
              </w:rPr>
              <w:t>，危险特性为T/In。</w:t>
            </w:r>
          </w:p>
          <w:p w14:paraId="672044A7">
            <w:pPr>
              <w:keepNext w:val="0"/>
              <w:keepLines w:val="0"/>
              <w:pageBreakBefore w:val="0"/>
              <w:widowControl/>
              <w:kinsoku/>
              <w:wordWrap/>
              <w:overflowPunct/>
              <w:topLinePunct w:val="0"/>
              <w:autoSpaceDE/>
              <w:autoSpaceDN/>
              <w:bidi w:val="0"/>
              <w:spacing w:line="480" w:lineRule="exact"/>
              <w:ind w:firstLine="480" w:firstLineChars="200"/>
              <w:textAlignment w:val="auto"/>
              <w:rPr>
                <w:kern w:val="0"/>
                <w:sz w:val="24"/>
                <w:lang w:bidi="ar"/>
              </w:rPr>
            </w:pPr>
            <w:r>
              <w:rPr>
                <w:rFonts w:hint="eastAsia"/>
                <w:kern w:val="0"/>
                <w:sz w:val="24"/>
                <w:lang w:bidi="ar"/>
              </w:rPr>
              <w:t>全矿危险废物共计1.014</w:t>
            </w:r>
            <w:r>
              <w:rPr>
                <w:kern w:val="0"/>
                <w:sz w:val="24"/>
                <w:lang w:bidi="ar"/>
              </w:rPr>
              <w:t>t/a</w:t>
            </w:r>
            <w:r>
              <w:rPr>
                <w:rFonts w:hint="eastAsia"/>
                <w:kern w:val="0"/>
                <w:sz w:val="24"/>
                <w:lang w:bidi="ar"/>
              </w:rPr>
              <w:t>，暂存于本项目配套工业场地新建危废贮存点，定期交资质单位处置。统计结果见</w:t>
            </w:r>
            <w:r>
              <w:rPr>
                <w:rFonts w:hint="eastAsia"/>
                <w:kern w:val="0"/>
                <w:sz w:val="24"/>
              </w:rPr>
              <w:t>表4-1</w:t>
            </w:r>
            <w:r>
              <w:rPr>
                <w:kern w:val="0"/>
                <w:sz w:val="24"/>
              </w:rPr>
              <w:t>0</w:t>
            </w:r>
            <w:r>
              <w:rPr>
                <w:rFonts w:hint="eastAsia"/>
              </w:rPr>
              <w:t>。</w:t>
            </w:r>
          </w:p>
          <w:p w14:paraId="5240CA05">
            <w:pPr>
              <w:pStyle w:val="6"/>
              <w:keepNext w:val="0"/>
              <w:keepLines w:val="0"/>
              <w:pageBreakBefore w:val="0"/>
              <w:kinsoku/>
              <w:wordWrap/>
              <w:overflowPunct/>
              <w:topLinePunct w:val="0"/>
              <w:autoSpaceDE/>
              <w:autoSpaceDN/>
              <w:bidi w:val="0"/>
              <w:adjustRightInd w:val="0"/>
              <w:snapToGrid w:val="0"/>
              <w:spacing w:line="480" w:lineRule="exact"/>
              <w:jc w:val="center"/>
              <w:textAlignment w:val="auto"/>
              <w:rPr>
                <w:rFonts w:ascii="宋体" w:hAnsi="宋体" w:cs="宋体"/>
                <w:kern w:val="2"/>
                <w:sz w:val="21"/>
                <w:szCs w:val="21"/>
                <w:lang w:bidi="ar"/>
              </w:rPr>
            </w:pPr>
            <w:r>
              <w:rPr>
                <w:rFonts w:hint="eastAsia" w:ascii="宋体" w:hAnsi="宋体" w:cs="宋体"/>
                <w:kern w:val="2"/>
                <w:sz w:val="21"/>
                <w:szCs w:val="21"/>
                <w:lang w:bidi="ar"/>
              </w:rPr>
              <w:t>表</w:t>
            </w:r>
            <w:r>
              <w:rPr>
                <w:kern w:val="2"/>
                <w:sz w:val="21"/>
                <w:szCs w:val="21"/>
                <w:lang w:bidi="ar"/>
              </w:rPr>
              <w:t>4-10</w:t>
            </w:r>
            <w:r>
              <w:rPr>
                <w:rFonts w:ascii="宋体" w:hAnsi="宋体" w:cs="宋体"/>
                <w:kern w:val="2"/>
                <w:sz w:val="21"/>
                <w:szCs w:val="21"/>
                <w:lang w:bidi="ar"/>
              </w:rPr>
              <w:t xml:space="preserve"> 危险废物汇总一览表</w:t>
            </w:r>
          </w:p>
          <w:tbl>
            <w:tblPr>
              <w:tblStyle w:val="29"/>
              <w:tblW w:w="5000" w:type="pct"/>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8"/>
              <w:gridCol w:w="796"/>
              <w:gridCol w:w="1236"/>
              <w:gridCol w:w="848"/>
              <w:gridCol w:w="714"/>
              <w:gridCol w:w="569"/>
              <w:gridCol w:w="567"/>
              <w:gridCol w:w="569"/>
              <w:gridCol w:w="569"/>
              <w:gridCol w:w="567"/>
              <w:gridCol w:w="1280"/>
            </w:tblGrid>
            <w:tr w14:paraId="596EB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8" w:type="pct"/>
                  <w:tcBorders>
                    <w:tl2br w:val="nil"/>
                    <w:tr2bl w:val="nil"/>
                  </w:tcBorders>
                  <w:vAlign w:val="center"/>
                </w:tcPr>
                <w:p w14:paraId="4846102D">
                  <w:pPr>
                    <w:snapToGrid w:val="0"/>
                    <w:ind w:left="-105" w:leftChars="-50" w:right="-105" w:rightChars="-50"/>
                    <w:jc w:val="center"/>
                    <w:rPr>
                      <w:szCs w:val="21"/>
                    </w:rPr>
                  </w:pPr>
                  <w:r>
                    <w:rPr>
                      <w:szCs w:val="21"/>
                    </w:rPr>
                    <w:t>危险废物名称</w:t>
                  </w:r>
                </w:p>
              </w:tc>
              <w:tc>
                <w:tcPr>
                  <w:tcW w:w="476" w:type="pct"/>
                  <w:tcBorders>
                    <w:tl2br w:val="nil"/>
                    <w:tr2bl w:val="nil"/>
                  </w:tcBorders>
                  <w:vAlign w:val="center"/>
                </w:tcPr>
                <w:p w14:paraId="572DD16B">
                  <w:pPr>
                    <w:snapToGrid w:val="0"/>
                    <w:ind w:left="-105" w:leftChars="-50" w:right="-105" w:rightChars="-50"/>
                    <w:jc w:val="center"/>
                    <w:rPr>
                      <w:szCs w:val="21"/>
                    </w:rPr>
                  </w:pPr>
                  <w:r>
                    <w:rPr>
                      <w:szCs w:val="21"/>
                    </w:rPr>
                    <w:t>危险废物类别</w:t>
                  </w:r>
                </w:p>
              </w:tc>
              <w:tc>
                <w:tcPr>
                  <w:tcW w:w="739" w:type="pct"/>
                  <w:tcBorders>
                    <w:tl2br w:val="nil"/>
                    <w:tr2bl w:val="nil"/>
                  </w:tcBorders>
                  <w:vAlign w:val="center"/>
                </w:tcPr>
                <w:p w14:paraId="4D428113">
                  <w:pPr>
                    <w:snapToGrid w:val="0"/>
                    <w:ind w:left="-105" w:leftChars="-50" w:right="-105" w:rightChars="-50"/>
                    <w:jc w:val="center"/>
                    <w:rPr>
                      <w:szCs w:val="21"/>
                    </w:rPr>
                  </w:pPr>
                  <w:r>
                    <w:rPr>
                      <w:szCs w:val="21"/>
                    </w:rPr>
                    <w:t>危险废物代码</w:t>
                  </w:r>
                </w:p>
              </w:tc>
              <w:tc>
                <w:tcPr>
                  <w:tcW w:w="507" w:type="pct"/>
                  <w:tcBorders>
                    <w:tl2br w:val="nil"/>
                    <w:tr2bl w:val="nil"/>
                  </w:tcBorders>
                  <w:vAlign w:val="center"/>
                </w:tcPr>
                <w:p w14:paraId="0C7AA5B0">
                  <w:pPr>
                    <w:snapToGrid w:val="0"/>
                    <w:ind w:left="-105" w:leftChars="-50" w:right="-105" w:rightChars="-50"/>
                    <w:jc w:val="center"/>
                    <w:rPr>
                      <w:szCs w:val="21"/>
                    </w:rPr>
                  </w:pPr>
                  <w:r>
                    <w:rPr>
                      <w:szCs w:val="21"/>
                    </w:rPr>
                    <w:t>产生量（t/a）</w:t>
                  </w:r>
                </w:p>
              </w:tc>
              <w:tc>
                <w:tcPr>
                  <w:tcW w:w="427" w:type="pct"/>
                  <w:tcBorders>
                    <w:tl2br w:val="nil"/>
                    <w:tr2bl w:val="nil"/>
                  </w:tcBorders>
                  <w:vAlign w:val="center"/>
                </w:tcPr>
                <w:p w14:paraId="61DC54FE">
                  <w:pPr>
                    <w:snapToGrid w:val="0"/>
                    <w:ind w:left="-105" w:leftChars="-50" w:right="-105" w:rightChars="-50"/>
                    <w:jc w:val="center"/>
                    <w:rPr>
                      <w:szCs w:val="21"/>
                    </w:rPr>
                  </w:pPr>
                  <w:r>
                    <w:rPr>
                      <w:szCs w:val="21"/>
                    </w:rPr>
                    <w:t>产生工序及装置</w:t>
                  </w:r>
                </w:p>
              </w:tc>
              <w:tc>
                <w:tcPr>
                  <w:tcW w:w="340" w:type="pct"/>
                  <w:tcBorders>
                    <w:tl2br w:val="nil"/>
                    <w:tr2bl w:val="nil"/>
                  </w:tcBorders>
                  <w:vAlign w:val="center"/>
                </w:tcPr>
                <w:p w14:paraId="48D8A9E3">
                  <w:pPr>
                    <w:snapToGrid w:val="0"/>
                    <w:ind w:left="-105" w:leftChars="-50" w:right="-105" w:rightChars="-50"/>
                    <w:jc w:val="center"/>
                    <w:rPr>
                      <w:szCs w:val="21"/>
                    </w:rPr>
                  </w:pPr>
                  <w:r>
                    <w:rPr>
                      <w:szCs w:val="21"/>
                    </w:rPr>
                    <w:t>形态</w:t>
                  </w:r>
                </w:p>
              </w:tc>
              <w:tc>
                <w:tcPr>
                  <w:tcW w:w="339" w:type="pct"/>
                  <w:tcBorders>
                    <w:tl2br w:val="nil"/>
                    <w:tr2bl w:val="nil"/>
                  </w:tcBorders>
                </w:tcPr>
                <w:p w14:paraId="058484C9">
                  <w:pPr>
                    <w:snapToGrid w:val="0"/>
                    <w:ind w:left="-105" w:leftChars="-50" w:right="-105" w:rightChars="-50"/>
                    <w:jc w:val="center"/>
                    <w:rPr>
                      <w:szCs w:val="21"/>
                    </w:rPr>
                  </w:pPr>
                  <w:r>
                    <w:rPr>
                      <w:szCs w:val="21"/>
                    </w:rPr>
                    <w:t>主要成分</w:t>
                  </w:r>
                </w:p>
              </w:tc>
              <w:tc>
                <w:tcPr>
                  <w:tcW w:w="340" w:type="pct"/>
                  <w:tcBorders>
                    <w:tl2br w:val="nil"/>
                    <w:tr2bl w:val="nil"/>
                  </w:tcBorders>
                  <w:vAlign w:val="center"/>
                </w:tcPr>
                <w:p w14:paraId="7A07DB45">
                  <w:pPr>
                    <w:snapToGrid w:val="0"/>
                    <w:ind w:left="-105" w:leftChars="-50" w:right="-105" w:rightChars="-50"/>
                    <w:jc w:val="center"/>
                    <w:rPr>
                      <w:szCs w:val="21"/>
                    </w:rPr>
                  </w:pPr>
                  <w:r>
                    <w:rPr>
                      <w:szCs w:val="21"/>
                    </w:rPr>
                    <w:t>有害成分</w:t>
                  </w:r>
                </w:p>
              </w:tc>
              <w:tc>
                <w:tcPr>
                  <w:tcW w:w="340" w:type="pct"/>
                  <w:tcBorders>
                    <w:tl2br w:val="nil"/>
                    <w:tr2bl w:val="nil"/>
                  </w:tcBorders>
                  <w:vAlign w:val="center"/>
                </w:tcPr>
                <w:p w14:paraId="163F3F54">
                  <w:pPr>
                    <w:snapToGrid w:val="0"/>
                    <w:ind w:left="-105" w:leftChars="-50" w:right="-105" w:rightChars="-50"/>
                    <w:jc w:val="center"/>
                    <w:rPr>
                      <w:szCs w:val="21"/>
                    </w:rPr>
                  </w:pPr>
                  <w:r>
                    <w:rPr>
                      <w:szCs w:val="21"/>
                    </w:rPr>
                    <w:t>产废周期</w:t>
                  </w:r>
                </w:p>
              </w:tc>
              <w:tc>
                <w:tcPr>
                  <w:tcW w:w="339" w:type="pct"/>
                  <w:tcBorders>
                    <w:tl2br w:val="nil"/>
                    <w:tr2bl w:val="nil"/>
                  </w:tcBorders>
                  <w:vAlign w:val="center"/>
                </w:tcPr>
                <w:p w14:paraId="593FAF6E">
                  <w:pPr>
                    <w:snapToGrid w:val="0"/>
                    <w:ind w:left="-105" w:leftChars="-50" w:right="-105" w:rightChars="-50"/>
                    <w:jc w:val="center"/>
                    <w:rPr>
                      <w:szCs w:val="21"/>
                    </w:rPr>
                  </w:pPr>
                  <w:r>
                    <w:rPr>
                      <w:szCs w:val="21"/>
                    </w:rPr>
                    <w:t>危废特性</w:t>
                  </w:r>
                </w:p>
              </w:tc>
              <w:tc>
                <w:tcPr>
                  <w:tcW w:w="765" w:type="pct"/>
                  <w:tcBorders>
                    <w:tl2br w:val="nil"/>
                    <w:tr2bl w:val="nil"/>
                  </w:tcBorders>
                  <w:vAlign w:val="center"/>
                </w:tcPr>
                <w:p w14:paraId="746FE10A">
                  <w:pPr>
                    <w:snapToGrid w:val="0"/>
                    <w:ind w:left="-105" w:leftChars="-50" w:right="-105" w:rightChars="-50"/>
                    <w:jc w:val="center"/>
                    <w:rPr>
                      <w:szCs w:val="21"/>
                    </w:rPr>
                  </w:pPr>
                  <w:r>
                    <w:rPr>
                      <w:szCs w:val="21"/>
                    </w:rPr>
                    <w:t>污染防治措施</w:t>
                  </w:r>
                </w:p>
              </w:tc>
            </w:tr>
            <w:tr w14:paraId="0BB50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8" w:type="pct"/>
                  <w:tcBorders>
                    <w:tl2br w:val="nil"/>
                    <w:tr2bl w:val="nil"/>
                  </w:tcBorders>
                  <w:vAlign w:val="center"/>
                </w:tcPr>
                <w:p w14:paraId="4D6EC5FA">
                  <w:pPr>
                    <w:snapToGrid w:val="0"/>
                    <w:ind w:left="-105" w:leftChars="-50" w:right="-105" w:rightChars="-50"/>
                    <w:jc w:val="center"/>
                    <w:rPr>
                      <w:szCs w:val="21"/>
                    </w:rPr>
                  </w:pPr>
                  <w:r>
                    <w:rPr>
                      <w:szCs w:val="21"/>
                    </w:rPr>
                    <w:t>废矿</w:t>
                  </w:r>
                </w:p>
                <w:p w14:paraId="7448D803">
                  <w:pPr>
                    <w:snapToGrid w:val="0"/>
                    <w:ind w:left="-105" w:leftChars="-50" w:right="-105" w:rightChars="-50"/>
                    <w:jc w:val="center"/>
                    <w:rPr>
                      <w:szCs w:val="21"/>
                    </w:rPr>
                  </w:pPr>
                  <w:r>
                    <w:rPr>
                      <w:szCs w:val="21"/>
                    </w:rPr>
                    <w:t>物油</w:t>
                  </w:r>
                </w:p>
              </w:tc>
              <w:tc>
                <w:tcPr>
                  <w:tcW w:w="476" w:type="pct"/>
                  <w:tcBorders>
                    <w:tl2br w:val="nil"/>
                    <w:tr2bl w:val="nil"/>
                  </w:tcBorders>
                  <w:vAlign w:val="center"/>
                </w:tcPr>
                <w:p w14:paraId="58E88059">
                  <w:pPr>
                    <w:snapToGrid w:val="0"/>
                    <w:ind w:left="-105" w:leftChars="-50" w:right="-105" w:rightChars="-50"/>
                    <w:jc w:val="center"/>
                    <w:rPr>
                      <w:szCs w:val="21"/>
                    </w:rPr>
                  </w:pPr>
                  <w:r>
                    <w:rPr>
                      <w:szCs w:val="21"/>
                    </w:rPr>
                    <w:t>HW08</w:t>
                  </w:r>
                </w:p>
              </w:tc>
              <w:tc>
                <w:tcPr>
                  <w:tcW w:w="739" w:type="pct"/>
                  <w:tcBorders>
                    <w:tl2br w:val="nil"/>
                    <w:tr2bl w:val="nil"/>
                  </w:tcBorders>
                  <w:vAlign w:val="center"/>
                </w:tcPr>
                <w:p w14:paraId="465E67B7">
                  <w:pPr>
                    <w:snapToGrid w:val="0"/>
                    <w:ind w:left="-105" w:leftChars="-50" w:right="-105" w:rightChars="-50"/>
                    <w:jc w:val="center"/>
                    <w:rPr>
                      <w:szCs w:val="21"/>
                    </w:rPr>
                  </w:pPr>
                  <w:r>
                    <w:rPr>
                      <w:szCs w:val="21"/>
                    </w:rPr>
                    <w:t>900-214-08</w:t>
                  </w:r>
                </w:p>
              </w:tc>
              <w:tc>
                <w:tcPr>
                  <w:tcW w:w="507" w:type="pct"/>
                  <w:tcBorders>
                    <w:tl2br w:val="nil"/>
                    <w:tr2bl w:val="nil"/>
                  </w:tcBorders>
                  <w:vAlign w:val="center"/>
                </w:tcPr>
                <w:p w14:paraId="65302EFA">
                  <w:pPr>
                    <w:snapToGrid w:val="0"/>
                    <w:ind w:left="-105" w:leftChars="-50" w:right="-105" w:rightChars="-50"/>
                    <w:jc w:val="center"/>
                    <w:rPr>
                      <w:szCs w:val="21"/>
                    </w:rPr>
                  </w:pPr>
                  <w:r>
                    <w:rPr>
                      <w:rFonts w:hint="eastAsia"/>
                      <w:szCs w:val="21"/>
                    </w:rPr>
                    <w:t>0.8</w:t>
                  </w:r>
                </w:p>
              </w:tc>
              <w:tc>
                <w:tcPr>
                  <w:tcW w:w="427" w:type="pct"/>
                  <w:vMerge w:val="restart"/>
                  <w:tcBorders>
                    <w:tl2br w:val="nil"/>
                    <w:tr2bl w:val="nil"/>
                  </w:tcBorders>
                  <w:vAlign w:val="center"/>
                </w:tcPr>
                <w:p w14:paraId="35F1D1D0">
                  <w:pPr>
                    <w:snapToGrid w:val="0"/>
                    <w:ind w:left="-105" w:leftChars="-50" w:right="-105" w:rightChars="-50"/>
                    <w:jc w:val="center"/>
                    <w:rPr>
                      <w:szCs w:val="21"/>
                    </w:rPr>
                  </w:pPr>
                  <w:r>
                    <w:rPr>
                      <w:szCs w:val="21"/>
                    </w:rPr>
                    <w:t>生产设施设备日常维护保养</w:t>
                  </w:r>
                </w:p>
              </w:tc>
              <w:tc>
                <w:tcPr>
                  <w:tcW w:w="340" w:type="pct"/>
                  <w:tcBorders>
                    <w:tl2br w:val="nil"/>
                    <w:tr2bl w:val="nil"/>
                  </w:tcBorders>
                  <w:vAlign w:val="center"/>
                </w:tcPr>
                <w:p w14:paraId="2866013C">
                  <w:pPr>
                    <w:snapToGrid w:val="0"/>
                    <w:ind w:left="-105" w:leftChars="-50" w:right="-105" w:rightChars="-50"/>
                    <w:jc w:val="center"/>
                    <w:rPr>
                      <w:szCs w:val="21"/>
                    </w:rPr>
                  </w:pPr>
                  <w:r>
                    <w:rPr>
                      <w:szCs w:val="21"/>
                    </w:rPr>
                    <w:t>液态</w:t>
                  </w:r>
                </w:p>
              </w:tc>
              <w:tc>
                <w:tcPr>
                  <w:tcW w:w="339" w:type="pct"/>
                  <w:tcBorders>
                    <w:tl2br w:val="nil"/>
                    <w:tr2bl w:val="nil"/>
                  </w:tcBorders>
                  <w:vAlign w:val="center"/>
                </w:tcPr>
                <w:p w14:paraId="11AE3F30">
                  <w:pPr>
                    <w:snapToGrid w:val="0"/>
                    <w:ind w:left="-105" w:leftChars="-50" w:right="-105" w:rightChars="-50"/>
                    <w:jc w:val="center"/>
                    <w:rPr>
                      <w:szCs w:val="21"/>
                    </w:rPr>
                  </w:pPr>
                  <w:r>
                    <w:rPr>
                      <w:szCs w:val="21"/>
                    </w:rPr>
                    <w:t>矿物油</w:t>
                  </w:r>
                </w:p>
              </w:tc>
              <w:tc>
                <w:tcPr>
                  <w:tcW w:w="340" w:type="pct"/>
                  <w:tcBorders>
                    <w:tl2br w:val="nil"/>
                    <w:tr2bl w:val="nil"/>
                  </w:tcBorders>
                  <w:vAlign w:val="center"/>
                </w:tcPr>
                <w:p w14:paraId="6D05C68F">
                  <w:pPr>
                    <w:snapToGrid w:val="0"/>
                    <w:ind w:left="-105" w:leftChars="-50" w:right="-105" w:rightChars="-50"/>
                    <w:jc w:val="center"/>
                    <w:rPr>
                      <w:szCs w:val="21"/>
                    </w:rPr>
                  </w:pPr>
                  <w:r>
                    <w:rPr>
                      <w:rFonts w:hint="eastAsia"/>
                      <w:szCs w:val="21"/>
                    </w:rPr>
                    <w:t>烃类</w:t>
                  </w:r>
                </w:p>
              </w:tc>
              <w:tc>
                <w:tcPr>
                  <w:tcW w:w="340" w:type="pct"/>
                  <w:tcBorders>
                    <w:tl2br w:val="nil"/>
                    <w:tr2bl w:val="nil"/>
                  </w:tcBorders>
                  <w:vAlign w:val="center"/>
                </w:tcPr>
                <w:p w14:paraId="614120B7">
                  <w:pPr>
                    <w:snapToGrid w:val="0"/>
                    <w:ind w:left="-105" w:leftChars="-50" w:right="-105" w:rightChars="-50"/>
                    <w:jc w:val="center"/>
                    <w:rPr>
                      <w:szCs w:val="21"/>
                    </w:rPr>
                  </w:pPr>
                  <w:r>
                    <w:rPr>
                      <w:rFonts w:hint="eastAsia"/>
                      <w:szCs w:val="21"/>
                    </w:rPr>
                    <w:t>3</w:t>
                  </w:r>
                  <w:r>
                    <w:rPr>
                      <w:szCs w:val="21"/>
                    </w:rPr>
                    <w:t>月</w:t>
                  </w:r>
                </w:p>
              </w:tc>
              <w:tc>
                <w:tcPr>
                  <w:tcW w:w="339" w:type="pct"/>
                  <w:tcBorders>
                    <w:tl2br w:val="nil"/>
                    <w:tr2bl w:val="nil"/>
                  </w:tcBorders>
                  <w:vAlign w:val="center"/>
                </w:tcPr>
                <w:p w14:paraId="76E468E8">
                  <w:pPr>
                    <w:snapToGrid w:val="0"/>
                    <w:ind w:left="-105" w:leftChars="-50" w:right="-105" w:rightChars="-50"/>
                    <w:jc w:val="center"/>
                    <w:rPr>
                      <w:szCs w:val="21"/>
                    </w:rPr>
                  </w:pPr>
                  <w:r>
                    <w:t>T</w:t>
                  </w:r>
                  <w:r>
                    <w:rPr>
                      <w:rFonts w:hint="eastAsia"/>
                    </w:rPr>
                    <w:t xml:space="preserve">, </w:t>
                  </w:r>
                  <w:r>
                    <w:t>I</w:t>
                  </w:r>
                </w:p>
              </w:tc>
              <w:tc>
                <w:tcPr>
                  <w:tcW w:w="765" w:type="pct"/>
                  <w:vMerge w:val="restart"/>
                  <w:tcBorders>
                    <w:tl2br w:val="nil"/>
                    <w:tr2bl w:val="nil"/>
                  </w:tcBorders>
                  <w:vAlign w:val="center"/>
                </w:tcPr>
                <w:p w14:paraId="3AD26824">
                  <w:pPr>
                    <w:snapToGrid w:val="0"/>
                    <w:ind w:left="-105" w:leftChars="-50" w:right="-105" w:rightChars="-50"/>
                    <w:jc w:val="center"/>
                    <w:rPr>
                      <w:szCs w:val="21"/>
                    </w:rPr>
                  </w:pPr>
                  <w:r>
                    <w:rPr>
                      <w:szCs w:val="21"/>
                    </w:rPr>
                    <w:t>暂存</w:t>
                  </w:r>
                  <w:r>
                    <w:rPr>
                      <w:rFonts w:hint="eastAsia"/>
                      <w:szCs w:val="21"/>
                    </w:rPr>
                    <w:t>于危废贮存点</w:t>
                  </w:r>
                  <w:r>
                    <w:rPr>
                      <w:szCs w:val="21"/>
                    </w:rPr>
                    <w:t>，</w:t>
                  </w:r>
                  <w:r>
                    <w:rPr>
                      <w:rFonts w:hint="eastAsia"/>
                      <w:szCs w:val="21"/>
                    </w:rPr>
                    <w:t>面积20m</w:t>
                  </w:r>
                  <w:r>
                    <w:rPr>
                      <w:rFonts w:hint="eastAsia"/>
                      <w:szCs w:val="21"/>
                      <w:vertAlign w:val="superscript"/>
                    </w:rPr>
                    <w:t>2</w:t>
                  </w:r>
                  <w:r>
                    <w:rPr>
                      <w:rFonts w:hint="eastAsia"/>
                      <w:szCs w:val="21"/>
                    </w:rPr>
                    <w:t>，定期</w:t>
                  </w:r>
                  <w:r>
                    <w:rPr>
                      <w:szCs w:val="21"/>
                    </w:rPr>
                    <w:t>委托资质单位处置</w:t>
                  </w:r>
                </w:p>
              </w:tc>
            </w:tr>
            <w:tr w14:paraId="6E776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8" w:type="pct"/>
                  <w:tcBorders>
                    <w:tl2br w:val="nil"/>
                    <w:tr2bl w:val="nil"/>
                  </w:tcBorders>
                  <w:vAlign w:val="center"/>
                </w:tcPr>
                <w:p w14:paraId="5CDB28A1">
                  <w:pPr>
                    <w:snapToGrid w:val="0"/>
                    <w:ind w:left="-105" w:leftChars="-50" w:right="-105" w:rightChars="-50"/>
                    <w:jc w:val="center"/>
                    <w:rPr>
                      <w:szCs w:val="21"/>
                    </w:rPr>
                  </w:pPr>
                  <w:r>
                    <w:rPr>
                      <w:szCs w:val="21"/>
                    </w:rPr>
                    <w:t>废棉纱、手套</w:t>
                  </w:r>
                </w:p>
              </w:tc>
              <w:tc>
                <w:tcPr>
                  <w:tcW w:w="476" w:type="pct"/>
                  <w:tcBorders>
                    <w:tl2br w:val="nil"/>
                    <w:tr2bl w:val="nil"/>
                  </w:tcBorders>
                  <w:vAlign w:val="center"/>
                </w:tcPr>
                <w:p w14:paraId="7B5536AA">
                  <w:pPr>
                    <w:snapToGrid w:val="0"/>
                    <w:ind w:left="-105" w:leftChars="-50" w:right="-105" w:rightChars="-50"/>
                    <w:jc w:val="center"/>
                    <w:rPr>
                      <w:szCs w:val="21"/>
                    </w:rPr>
                  </w:pPr>
                  <w:r>
                    <w:rPr>
                      <w:szCs w:val="21"/>
                    </w:rPr>
                    <w:t>HW08</w:t>
                  </w:r>
                </w:p>
              </w:tc>
              <w:tc>
                <w:tcPr>
                  <w:tcW w:w="739" w:type="pct"/>
                  <w:tcBorders>
                    <w:tl2br w:val="nil"/>
                    <w:tr2bl w:val="nil"/>
                  </w:tcBorders>
                  <w:vAlign w:val="center"/>
                </w:tcPr>
                <w:p w14:paraId="7AEE0947">
                  <w:pPr>
                    <w:snapToGrid w:val="0"/>
                    <w:ind w:left="-105" w:leftChars="-50" w:right="-105" w:rightChars="-50"/>
                    <w:jc w:val="center"/>
                    <w:rPr>
                      <w:szCs w:val="21"/>
                    </w:rPr>
                  </w:pPr>
                  <w:r>
                    <w:rPr>
                      <w:szCs w:val="21"/>
                    </w:rPr>
                    <w:t>900-249-08</w:t>
                  </w:r>
                </w:p>
              </w:tc>
              <w:tc>
                <w:tcPr>
                  <w:tcW w:w="507" w:type="pct"/>
                  <w:tcBorders>
                    <w:tl2br w:val="nil"/>
                    <w:tr2bl w:val="nil"/>
                  </w:tcBorders>
                  <w:vAlign w:val="center"/>
                </w:tcPr>
                <w:p w14:paraId="35A1213A">
                  <w:pPr>
                    <w:snapToGrid w:val="0"/>
                    <w:ind w:left="-105" w:leftChars="-50" w:right="-105" w:rightChars="-50"/>
                    <w:jc w:val="center"/>
                    <w:rPr>
                      <w:szCs w:val="21"/>
                    </w:rPr>
                  </w:pPr>
                  <w:r>
                    <w:rPr>
                      <w:szCs w:val="21"/>
                    </w:rPr>
                    <w:t>0.1</w:t>
                  </w:r>
                </w:p>
              </w:tc>
              <w:tc>
                <w:tcPr>
                  <w:tcW w:w="427" w:type="pct"/>
                  <w:vMerge w:val="continue"/>
                  <w:tcBorders>
                    <w:tl2br w:val="nil"/>
                    <w:tr2bl w:val="nil"/>
                  </w:tcBorders>
                  <w:vAlign w:val="center"/>
                </w:tcPr>
                <w:p w14:paraId="554F472F">
                  <w:pPr>
                    <w:snapToGrid w:val="0"/>
                    <w:ind w:left="-105" w:leftChars="-50" w:right="-105" w:rightChars="-50"/>
                    <w:jc w:val="center"/>
                    <w:rPr>
                      <w:szCs w:val="21"/>
                    </w:rPr>
                  </w:pPr>
                </w:p>
              </w:tc>
              <w:tc>
                <w:tcPr>
                  <w:tcW w:w="340" w:type="pct"/>
                  <w:tcBorders>
                    <w:tl2br w:val="nil"/>
                    <w:tr2bl w:val="nil"/>
                  </w:tcBorders>
                  <w:vAlign w:val="center"/>
                </w:tcPr>
                <w:p w14:paraId="18D26078">
                  <w:pPr>
                    <w:snapToGrid w:val="0"/>
                    <w:ind w:left="-105" w:leftChars="-50" w:right="-105" w:rightChars="-50"/>
                    <w:jc w:val="center"/>
                    <w:rPr>
                      <w:szCs w:val="21"/>
                    </w:rPr>
                  </w:pPr>
                  <w:r>
                    <w:rPr>
                      <w:szCs w:val="21"/>
                    </w:rPr>
                    <w:t>固态</w:t>
                  </w:r>
                </w:p>
              </w:tc>
              <w:tc>
                <w:tcPr>
                  <w:tcW w:w="339" w:type="pct"/>
                  <w:tcBorders>
                    <w:tl2br w:val="nil"/>
                    <w:tr2bl w:val="nil"/>
                  </w:tcBorders>
                  <w:vAlign w:val="center"/>
                </w:tcPr>
                <w:p w14:paraId="5C02D640">
                  <w:pPr>
                    <w:snapToGrid w:val="0"/>
                    <w:ind w:left="-105" w:leftChars="-50" w:right="-105" w:rightChars="-50"/>
                    <w:jc w:val="center"/>
                    <w:rPr>
                      <w:szCs w:val="21"/>
                    </w:rPr>
                  </w:pPr>
                  <w:r>
                    <w:rPr>
                      <w:szCs w:val="21"/>
                    </w:rPr>
                    <w:t>矿物油</w:t>
                  </w:r>
                </w:p>
              </w:tc>
              <w:tc>
                <w:tcPr>
                  <w:tcW w:w="340" w:type="pct"/>
                  <w:tcBorders>
                    <w:tl2br w:val="nil"/>
                    <w:tr2bl w:val="nil"/>
                  </w:tcBorders>
                  <w:vAlign w:val="center"/>
                </w:tcPr>
                <w:p w14:paraId="64B0C6BD">
                  <w:pPr>
                    <w:snapToGrid w:val="0"/>
                    <w:ind w:left="-105" w:leftChars="-50" w:right="-105" w:rightChars="-50"/>
                    <w:jc w:val="center"/>
                    <w:rPr>
                      <w:szCs w:val="21"/>
                    </w:rPr>
                  </w:pPr>
                  <w:r>
                    <w:rPr>
                      <w:rFonts w:hint="eastAsia"/>
                      <w:szCs w:val="21"/>
                    </w:rPr>
                    <w:t>烃类</w:t>
                  </w:r>
                </w:p>
              </w:tc>
              <w:tc>
                <w:tcPr>
                  <w:tcW w:w="340" w:type="pct"/>
                  <w:tcBorders>
                    <w:tl2br w:val="nil"/>
                    <w:tr2bl w:val="nil"/>
                  </w:tcBorders>
                  <w:vAlign w:val="center"/>
                </w:tcPr>
                <w:p w14:paraId="46037F2D">
                  <w:pPr>
                    <w:snapToGrid w:val="0"/>
                    <w:ind w:left="-105" w:leftChars="-50" w:right="-105" w:rightChars="-50"/>
                    <w:jc w:val="center"/>
                    <w:rPr>
                      <w:szCs w:val="21"/>
                    </w:rPr>
                  </w:pPr>
                  <w:r>
                    <w:rPr>
                      <w:rFonts w:hint="eastAsia"/>
                      <w:szCs w:val="21"/>
                    </w:rPr>
                    <w:t>3</w:t>
                  </w:r>
                  <w:r>
                    <w:rPr>
                      <w:szCs w:val="21"/>
                    </w:rPr>
                    <w:t>月</w:t>
                  </w:r>
                </w:p>
              </w:tc>
              <w:tc>
                <w:tcPr>
                  <w:tcW w:w="339" w:type="pct"/>
                  <w:tcBorders>
                    <w:tl2br w:val="nil"/>
                    <w:tr2bl w:val="nil"/>
                  </w:tcBorders>
                  <w:vAlign w:val="center"/>
                </w:tcPr>
                <w:p w14:paraId="05AD658A">
                  <w:pPr>
                    <w:snapToGrid w:val="0"/>
                    <w:ind w:left="-105" w:leftChars="-50" w:right="-105" w:rightChars="-50"/>
                    <w:jc w:val="center"/>
                    <w:rPr>
                      <w:szCs w:val="21"/>
                    </w:rPr>
                  </w:pPr>
                  <w:r>
                    <w:t>T</w:t>
                  </w:r>
                  <w:r>
                    <w:rPr>
                      <w:rFonts w:hint="eastAsia"/>
                    </w:rPr>
                    <w:t xml:space="preserve">, </w:t>
                  </w:r>
                  <w:r>
                    <w:t>I</w:t>
                  </w:r>
                </w:p>
              </w:tc>
              <w:tc>
                <w:tcPr>
                  <w:tcW w:w="765" w:type="pct"/>
                  <w:vMerge w:val="continue"/>
                  <w:tcBorders>
                    <w:tl2br w:val="nil"/>
                    <w:tr2bl w:val="nil"/>
                  </w:tcBorders>
                  <w:vAlign w:val="center"/>
                </w:tcPr>
                <w:p w14:paraId="5EE73CBB">
                  <w:pPr>
                    <w:snapToGrid w:val="0"/>
                    <w:ind w:left="-105" w:leftChars="-50" w:right="-105" w:rightChars="-50"/>
                    <w:jc w:val="center"/>
                    <w:rPr>
                      <w:szCs w:val="21"/>
                    </w:rPr>
                  </w:pPr>
                </w:p>
              </w:tc>
            </w:tr>
            <w:tr w14:paraId="711F0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8" w:type="pct"/>
                  <w:tcBorders>
                    <w:tl2br w:val="nil"/>
                    <w:tr2bl w:val="nil"/>
                  </w:tcBorders>
                  <w:vAlign w:val="center"/>
                </w:tcPr>
                <w:p w14:paraId="34AB21E8">
                  <w:pPr>
                    <w:snapToGrid w:val="0"/>
                    <w:ind w:left="-105" w:leftChars="-50" w:right="-105" w:rightChars="-50"/>
                    <w:jc w:val="center"/>
                    <w:rPr>
                      <w:szCs w:val="21"/>
                    </w:rPr>
                  </w:pPr>
                  <w:r>
                    <w:rPr>
                      <w:szCs w:val="21"/>
                    </w:rPr>
                    <w:t>废油桶</w:t>
                  </w:r>
                </w:p>
              </w:tc>
              <w:tc>
                <w:tcPr>
                  <w:tcW w:w="476" w:type="pct"/>
                  <w:tcBorders>
                    <w:tl2br w:val="nil"/>
                    <w:tr2bl w:val="nil"/>
                  </w:tcBorders>
                  <w:vAlign w:val="center"/>
                </w:tcPr>
                <w:p w14:paraId="05B6F769">
                  <w:pPr>
                    <w:snapToGrid w:val="0"/>
                    <w:ind w:left="-105" w:leftChars="-50" w:right="-105" w:rightChars="-50"/>
                    <w:jc w:val="center"/>
                    <w:rPr>
                      <w:szCs w:val="21"/>
                    </w:rPr>
                  </w:pPr>
                  <w:r>
                    <w:rPr>
                      <w:szCs w:val="21"/>
                    </w:rPr>
                    <w:t>HW49</w:t>
                  </w:r>
                </w:p>
              </w:tc>
              <w:tc>
                <w:tcPr>
                  <w:tcW w:w="739" w:type="pct"/>
                  <w:tcBorders>
                    <w:tl2br w:val="nil"/>
                    <w:tr2bl w:val="nil"/>
                  </w:tcBorders>
                  <w:vAlign w:val="center"/>
                </w:tcPr>
                <w:p w14:paraId="2FBE7EDC">
                  <w:pPr>
                    <w:snapToGrid w:val="0"/>
                    <w:ind w:left="-105" w:leftChars="-50" w:right="-105" w:rightChars="-50"/>
                    <w:jc w:val="center"/>
                    <w:rPr>
                      <w:szCs w:val="21"/>
                    </w:rPr>
                  </w:pPr>
                  <w:r>
                    <w:rPr>
                      <w:szCs w:val="21"/>
                    </w:rPr>
                    <w:t>900-041-49</w:t>
                  </w:r>
                </w:p>
              </w:tc>
              <w:tc>
                <w:tcPr>
                  <w:tcW w:w="507" w:type="pct"/>
                  <w:tcBorders>
                    <w:tl2br w:val="nil"/>
                    <w:tr2bl w:val="nil"/>
                  </w:tcBorders>
                  <w:vAlign w:val="center"/>
                </w:tcPr>
                <w:p w14:paraId="2B358B76">
                  <w:pPr>
                    <w:snapToGrid w:val="0"/>
                    <w:ind w:left="-105" w:leftChars="-50" w:right="-105" w:rightChars="-50"/>
                    <w:jc w:val="center"/>
                    <w:rPr>
                      <w:szCs w:val="21"/>
                    </w:rPr>
                  </w:pPr>
                  <w:r>
                    <w:rPr>
                      <w:rFonts w:hint="eastAsia"/>
                      <w:szCs w:val="21"/>
                    </w:rPr>
                    <w:t>0.114</w:t>
                  </w:r>
                </w:p>
              </w:tc>
              <w:tc>
                <w:tcPr>
                  <w:tcW w:w="427" w:type="pct"/>
                  <w:vMerge w:val="continue"/>
                  <w:tcBorders>
                    <w:tl2br w:val="nil"/>
                    <w:tr2bl w:val="nil"/>
                  </w:tcBorders>
                  <w:vAlign w:val="center"/>
                </w:tcPr>
                <w:p w14:paraId="5316067D">
                  <w:pPr>
                    <w:snapToGrid w:val="0"/>
                    <w:ind w:left="-105" w:leftChars="-50" w:right="-105" w:rightChars="-50"/>
                    <w:jc w:val="center"/>
                    <w:rPr>
                      <w:szCs w:val="21"/>
                    </w:rPr>
                  </w:pPr>
                </w:p>
              </w:tc>
              <w:tc>
                <w:tcPr>
                  <w:tcW w:w="340" w:type="pct"/>
                  <w:tcBorders>
                    <w:tl2br w:val="nil"/>
                    <w:tr2bl w:val="nil"/>
                  </w:tcBorders>
                  <w:vAlign w:val="center"/>
                </w:tcPr>
                <w:p w14:paraId="3513E166">
                  <w:pPr>
                    <w:snapToGrid w:val="0"/>
                    <w:ind w:left="-105" w:leftChars="-50" w:right="-105" w:rightChars="-50"/>
                    <w:jc w:val="center"/>
                    <w:rPr>
                      <w:szCs w:val="21"/>
                    </w:rPr>
                  </w:pPr>
                  <w:r>
                    <w:rPr>
                      <w:szCs w:val="21"/>
                    </w:rPr>
                    <w:t>固态</w:t>
                  </w:r>
                </w:p>
              </w:tc>
              <w:tc>
                <w:tcPr>
                  <w:tcW w:w="339" w:type="pct"/>
                  <w:tcBorders>
                    <w:tl2br w:val="nil"/>
                    <w:tr2bl w:val="nil"/>
                  </w:tcBorders>
                  <w:vAlign w:val="center"/>
                </w:tcPr>
                <w:p w14:paraId="53CA7F78">
                  <w:pPr>
                    <w:snapToGrid w:val="0"/>
                    <w:ind w:left="-105" w:leftChars="-50" w:right="-105" w:rightChars="-50"/>
                    <w:jc w:val="center"/>
                    <w:rPr>
                      <w:szCs w:val="21"/>
                    </w:rPr>
                  </w:pPr>
                  <w:r>
                    <w:rPr>
                      <w:szCs w:val="21"/>
                    </w:rPr>
                    <w:t>矿物油</w:t>
                  </w:r>
                </w:p>
              </w:tc>
              <w:tc>
                <w:tcPr>
                  <w:tcW w:w="340" w:type="pct"/>
                  <w:tcBorders>
                    <w:tl2br w:val="nil"/>
                    <w:tr2bl w:val="nil"/>
                  </w:tcBorders>
                  <w:vAlign w:val="center"/>
                </w:tcPr>
                <w:p w14:paraId="4E9E653C">
                  <w:pPr>
                    <w:snapToGrid w:val="0"/>
                    <w:ind w:left="-105" w:leftChars="-50" w:right="-105" w:rightChars="-50"/>
                    <w:jc w:val="center"/>
                    <w:rPr>
                      <w:szCs w:val="21"/>
                    </w:rPr>
                  </w:pPr>
                  <w:r>
                    <w:rPr>
                      <w:rFonts w:hint="eastAsia"/>
                      <w:szCs w:val="21"/>
                    </w:rPr>
                    <w:t>烃类</w:t>
                  </w:r>
                </w:p>
              </w:tc>
              <w:tc>
                <w:tcPr>
                  <w:tcW w:w="340" w:type="pct"/>
                  <w:tcBorders>
                    <w:tl2br w:val="nil"/>
                    <w:tr2bl w:val="nil"/>
                  </w:tcBorders>
                  <w:vAlign w:val="center"/>
                </w:tcPr>
                <w:p w14:paraId="081C36F7">
                  <w:pPr>
                    <w:snapToGrid w:val="0"/>
                    <w:ind w:left="-105" w:leftChars="-50" w:right="-105" w:rightChars="-50"/>
                    <w:jc w:val="center"/>
                    <w:rPr>
                      <w:szCs w:val="21"/>
                    </w:rPr>
                  </w:pPr>
                  <w:r>
                    <w:rPr>
                      <w:rFonts w:hint="eastAsia"/>
                      <w:szCs w:val="21"/>
                    </w:rPr>
                    <w:t>3</w:t>
                  </w:r>
                  <w:r>
                    <w:rPr>
                      <w:szCs w:val="21"/>
                    </w:rPr>
                    <w:t>月</w:t>
                  </w:r>
                </w:p>
              </w:tc>
              <w:tc>
                <w:tcPr>
                  <w:tcW w:w="339" w:type="pct"/>
                  <w:tcBorders>
                    <w:tl2br w:val="nil"/>
                    <w:tr2bl w:val="nil"/>
                  </w:tcBorders>
                  <w:vAlign w:val="center"/>
                </w:tcPr>
                <w:p w14:paraId="4BF7BA64">
                  <w:pPr>
                    <w:snapToGrid w:val="0"/>
                    <w:ind w:left="-105" w:leftChars="-50" w:right="-105" w:rightChars="-50"/>
                    <w:jc w:val="center"/>
                    <w:rPr>
                      <w:szCs w:val="21"/>
                    </w:rPr>
                  </w:pPr>
                  <w:r>
                    <w:t>T/In</w:t>
                  </w:r>
                </w:p>
              </w:tc>
              <w:tc>
                <w:tcPr>
                  <w:tcW w:w="765" w:type="pct"/>
                  <w:vMerge w:val="continue"/>
                  <w:tcBorders>
                    <w:tl2br w:val="nil"/>
                    <w:tr2bl w:val="nil"/>
                  </w:tcBorders>
                  <w:vAlign w:val="center"/>
                </w:tcPr>
                <w:p w14:paraId="53D0E5BA">
                  <w:pPr>
                    <w:snapToGrid w:val="0"/>
                    <w:ind w:left="-105" w:leftChars="-50" w:right="-105" w:rightChars="-50"/>
                    <w:jc w:val="center"/>
                    <w:rPr>
                      <w:szCs w:val="21"/>
                    </w:rPr>
                  </w:pPr>
                </w:p>
              </w:tc>
            </w:tr>
          </w:tbl>
          <w:p w14:paraId="13D7D521">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kern w:val="0"/>
                <w:sz w:val="24"/>
                <w:lang w:bidi="ar"/>
              </w:rPr>
            </w:pPr>
            <w:r>
              <w:rPr>
                <w:rFonts w:hint="eastAsia"/>
                <w:kern w:val="0"/>
                <w:sz w:val="24"/>
                <w:lang w:bidi="ar"/>
              </w:rPr>
              <w:t>（2）影响分析</w:t>
            </w:r>
          </w:p>
          <w:p w14:paraId="702AC513">
            <w:pPr>
              <w:keepNext w:val="0"/>
              <w:keepLines w:val="0"/>
              <w:pageBreakBefore w:val="0"/>
              <w:kinsoku/>
              <w:wordWrap/>
              <w:overflowPunct/>
              <w:topLinePunct w:val="0"/>
              <w:autoSpaceDE/>
              <w:autoSpaceDN/>
              <w:bidi w:val="0"/>
              <w:adjustRightInd/>
              <w:snapToGrid/>
              <w:spacing w:line="480" w:lineRule="exact"/>
              <w:ind w:firstLine="480" w:firstLineChars="200"/>
              <w:textAlignment w:val="auto"/>
              <w:rPr>
                <w:b/>
                <w:bCs/>
                <w:color w:val="FF0000"/>
                <w:kern w:val="0"/>
                <w:sz w:val="24"/>
                <w:lang w:bidi="ar"/>
              </w:rPr>
            </w:pPr>
            <w:r>
              <w:rPr>
                <w:rFonts w:hint="eastAsia"/>
                <w:kern w:val="0"/>
                <w:sz w:val="24"/>
                <w:lang w:bidi="ar"/>
              </w:rPr>
              <w:t>项目产生的固体废物均得到合理处置，对环境影响可接受。</w:t>
            </w:r>
          </w:p>
          <w:p w14:paraId="74DB0B47">
            <w:pPr>
              <w:pStyle w:val="2"/>
              <w:ind w:left="0" w:leftChars="0" w:firstLine="0" w:firstLineChars="0"/>
            </w:pPr>
          </w:p>
          <w:p w14:paraId="1210213F">
            <w:pPr>
              <w:pStyle w:val="4"/>
            </w:pPr>
          </w:p>
        </w:tc>
      </w:tr>
    </w:tbl>
    <w:p w14:paraId="5292CE6C">
      <w:pPr>
        <w:pStyle w:val="21"/>
        <w:jc w:val="center"/>
        <w:rPr>
          <w:rFonts w:ascii="黑体" w:hAnsi="黑体" w:eastAsia="黑体"/>
          <w:snapToGrid w:val="0"/>
          <w:sz w:val="36"/>
          <w:szCs w:val="36"/>
        </w:rPr>
        <w:sectPr>
          <w:pgSz w:w="11906" w:h="16838"/>
          <w:pgMar w:top="1440" w:right="1800" w:bottom="1440" w:left="1800" w:header="851" w:footer="1077" w:gutter="0"/>
          <w:cols w:space="720" w:num="1"/>
          <w:docGrid w:linePitch="312" w:charSpace="0"/>
        </w:sectPr>
      </w:pPr>
    </w:p>
    <w:tbl>
      <w:tblPr>
        <w:tblStyle w:val="30"/>
        <w:tblW w:w="9627" w:type="dxa"/>
        <w:tblInd w:w="-5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4"/>
        <w:gridCol w:w="8563"/>
      </w:tblGrid>
      <w:tr w14:paraId="5B83C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4" w:type="dxa"/>
            <w:vAlign w:val="center"/>
          </w:tcPr>
          <w:p w14:paraId="1B2B94EE">
            <w:pPr>
              <w:pStyle w:val="13"/>
              <w:spacing w:line="240" w:lineRule="auto"/>
              <w:ind w:left="0" w:right="0" w:rightChars="0" w:firstLine="0" w:firstLineChars="0"/>
              <w:jc w:val="center"/>
            </w:pPr>
            <w:r>
              <w:rPr>
                <w:rFonts w:hint="eastAsia" w:ascii="宋体" w:hAnsi="宋体" w:cs="宋体"/>
                <w:spacing w:val="10"/>
              </w:rPr>
              <w:t>运营期生态环境影响分析</w:t>
            </w:r>
          </w:p>
        </w:tc>
        <w:tc>
          <w:tcPr>
            <w:tcW w:w="8563" w:type="dxa"/>
          </w:tcPr>
          <w:p w14:paraId="396E03DA">
            <w:pPr>
              <w:keepNext w:val="0"/>
              <w:keepLines w:val="0"/>
              <w:pageBreakBefore w:val="0"/>
              <w:widowControl/>
              <w:kinsoku/>
              <w:wordWrap/>
              <w:overflowPunct/>
              <w:topLinePunct w:val="0"/>
              <w:autoSpaceDE/>
              <w:autoSpaceDN/>
              <w:bidi w:val="0"/>
              <w:adjustRightInd/>
              <w:snapToGrid/>
              <w:spacing w:line="480" w:lineRule="exact"/>
              <w:ind w:firstLine="482" w:firstLineChars="200"/>
              <w:textAlignment w:val="auto"/>
              <w:rPr>
                <w:b/>
                <w:bCs/>
                <w:kern w:val="0"/>
                <w:sz w:val="24"/>
                <w:lang w:bidi="ar"/>
              </w:rPr>
            </w:pPr>
            <w:r>
              <w:rPr>
                <w:rFonts w:hint="eastAsia"/>
                <w:b/>
                <w:bCs/>
                <w:kern w:val="0"/>
                <w:sz w:val="24"/>
                <w:lang w:bidi="ar"/>
              </w:rPr>
              <w:t>5.环境风险影响分析</w:t>
            </w:r>
          </w:p>
          <w:p w14:paraId="32FF4CEB">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kern w:val="0"/>
                <w:sz w:val="24"/>
                <w:lang w:bidi="ar"/>
              </w:rPr>
            </w:pPr>
            <w:r>
              <w:rPr>
                <w:rFonts w:hint="eastAsia"/>
                <w:kern w:val="0"/>
                <w:sz w:val="24"/>
                <w:lang w:bidi="ar"/>
              </w:rPr>
              <w:t>矿山开采生产工艺过程中可能地表和岩石移动，同时排土场运行中也存在一定环境风险，风险类型为工程诱发的崩塌、滑坡、泥石流及洪水等因素造成的溃坝形成人工泥石流的地质灾害等。</w:t>
            </w:r>
          </w:p>
          <w:p w14:paraId="34BB3E5F">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kern w:val="0"/>
                <w:sz w:val="24"/>
                <w:lang w:bidi="ar"/>
              </w:rPr>
            </w:pPr>
            <w:r>
              <w:rPr>
                <w:rFonts w:hint="eastAsia"/>
                <w:kern w:val="0"/>
                <w:sz w:val="24"/>
                <w:lang w:bidi="ar"/>
              </w:rPr>
              <w:t>1）风险分析</w:t>
            </w:r>
          </w:p>
          <w:p w14:paraId="070B9E9A">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kern w:val="0"/>
                <w:sz w:val="24"/>
                <w:lang w:bidi="ar"/>
              </w:rPr>
            </w:pPr>
            <w:r>
              <w:rPr>
                <w:rFonts w:hint="eastAsia"/>
                <w:kern w:val="0"/>
                <w:sz w:val="24"/>
                <w:lang w:bidi="ar"/>
              </w:rPr>
              <w:t>①采场边坡失稳事故影响</w:t>
            </w:r>
          </w:p>
          <w:p w14:paraId="7D825E99">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kern w:val="0"/>
                <w:sz w:val="24"/>
                <w:lang w:bidi="ar"/>
              </w:rPr>
            </w:pPr>
            <w:r>
              <w:rPr>
                <w:rFonts w:hint="eastAsia"/>
                <w:kern w:val="0"/>
                <w:sz w:val="24"/>
                <w:lang w:bidi="ar"/>
              </w:rPr>
              <w:t>矿山设计采用自上而下分台阶进行开采，矿体岩致密坚硬，稳定性好。同时在生产过程中边坡上岩体在自重应力、施工机械振动等因素作用下，可能会产生一些新的临空面、裂面，破裂面的产生使岩体被再次切割，变得相对破碎，加上边坡表层风化影响，局部可能成为危岩，边坡的稳定受到影响。</w:t>
            </w:r>
          </w:p>
          <w:p w14:paraId="50C60FCF">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kern w:val="0"/>
                <w:sz w:val="24"/>
                <w:lang w:bidi="ar"/>
              </w:rPr>
            </w:pPr>
            <w:r>
              <w:rPr>
                <w:rFonts w:hint="eastAsia"/>
                <w:kern w:val="0"/>
                <w:sz w:val="24"/>
                <w:lang w:bidi="ar"/>
              </w:rPr>
              <w:t>在降雨冲刷、浸润作用下，雨水渗入裂面会降低岩体的抗剪强度，削弱边坡的稳定性，从而引起和加剧边坡失稳，导致自然山坡发生崩塌、滑坡地质灾害。</w:t>
            </w:r>
          </w:p>
          <w:p w14:paraId="2747B134">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kern w:val="0"/>
                <w:sz w:val="24"/>
                <w:lang w:bidi="ar"/>
              </w:rPr>
            </w:pPr>
            <w:r>
              <w:rPr>
                <w:rFonts w:hint="eastAsia"/>
                <w:kern w:val="0"/>
                <w:sz w:val="24"/>
                <w:lang w:bidi="ar"/>
              </w:rPr>
              <w:t>②排土场出现坍塌的事故影响</w:t>
            </w:r>
          </w:p>
          <w:p w14:paraId="44468F5C">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kern w:val="0"/>
                <w:sz w:val="24"/>
                <w:lang w:bidi="ar"/>
              </w:rPr>
            </w:pPr>
            <w:r>
              <w:rPr>
                <w:rFonts w:hint="eastAsia"/>
                <w:kern w:val="0"/>
                <w:sz w:val="24"/>
                <w:lang w:bidi="ar"/>
              </w:rPr>
              <w:t>排土场对环境产生的</w:t>
            </w:r>
            <w:r>
              <w:rPr>
                <w:rFonts w:hint="eastAsia"/>
                <w:kern w:val="0"/>
                <w:sz w:val="24"/>
                <w:lang w:eastAsia="zh-CN" w:bidi="ar"/>
              </w:rPr>
              <w:t>风险</w:t>
            </w:r>
            <w:r>
              <w:rPr>
                <w:rFonts w:hint="eastAsia"/>
                <w:kern w:val="0"/>
                <w:sz w:val="24"/>
                <w:lang w:bidi="ar"/>
              </w:rPr>
              <w:t>影响主要来源于堆存的废石垮塌后对下游生态环境带来的风险影响，造成坍塌的原因主要有基础不稳、施工质量差导致的自然坍塌，暴雨季节排土场周围截水沟失效后大量山洪进入堆场导致垮塌。</w:t>
            </w:r>
          </w:p>
          <w:p w14:paraId="523DBBDE">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kern w:val="0"/>
                <w:sz w:val="24"/>
                <w:lang w:bidi="ar"/>
              </w:rPr>
            </w:pPr>
            <w:r>
              <w:rPr>
                <w:rFonts w:hint="eastAsia"/>
                <w:kern w:val="0"/>
                <w:sz w:val="24"/>
                <w:lang w:bidi="ar"/>
              </w:rPr>
              <w:t>2）风险防范措施</w:t>
            </w:r>
          </w:p>
          <w:p w14:paraId="3B18B5FB">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kern w:val="0"/>
                <w:sz w:val="24"/>
                <w:lang w:bidi="ar"/>
              </w:rPr>
            </w:pPr>
            <w:r>
              <w:rPr>
                <w:kern w:val="0"/>
                <w:sz w:val="24"/>
                <w:lang w:bidi="ar"/>
              </w:rPr>
              <w:t>①</w:t>
            </w:r>
            <w:r>
              <w:rPr>
                <w:rFonts w:hint="eastAsia"/>
                <w:kern w:val="0"/>
                <w:sz w:val="24"/>
                <w:lang w:bidi="ar"/>
              </w:rPr>
              <w:t>采场风险防范措施</w:t>
            </w:r>
          </w:p>
          <w:p w14:paraId="2502EED8">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kern w:val="0"/>
                <w:sz w:val="24"/>
                <w:lang w:bidi="ar"/>
              </w:rPr>
            </w:pPr>
            <w:r>
              <w:rPr>
                <w:rFonts w:hint="eastAsia"/>
                <w:kern w:val="0"/>
                <w:sz w:val="24"/>
                <w:lang w:bidi="ar"/>
              </w:rPr>
              <w:t>◆合理布置开采平台，建立长期的边坡观测网，对不良地段、软弱夹层进行定时，定点观测，发现异常及时进行处理；</w:t>
            </w:r>
          </w:p>
          <w:p w14:paraId="4310B310">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kern w:val="0"/>
                <w:sz w:val="24"/>
                <w:lang w:bidi="ar"/>
              </w:rPr>
            </w:pPr>
            <w:r>
              <w:rPr>
                <w:rFonts w:hint="eastAsia"/>
                <w:kern w:val="0"/>
                <w:sz w:val="24"/>
                <w:lang w:bidi="ar"/>
              </w:rPr>
              <w:t>◆</w:t>
            </w:r>
            <w:r>
              <w:rPr>
                <w:kern w:val="0"/>
                <w:sz w:val="24"/>
                <w:lang w:bidi="ar"/>
              </w:rPr>
              <w:t>开采过程中的顺层坡矿体底板切坡时，应保持底面的平整，局部应视其需要采取适当的加固措施（如挡墙），对软弱边坡、坚硬岩层上的破碎带上的破碎、岩块松动部位，应进行水泥护面、洞隙灌浆予以加固，必要时应削坡；</w:t>
            </w:r>
          </w:p>
          <w:p w14:paraId="2ACA8FD1">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kern w:val="0"/>
                <w:sz w:val="24"/>
                <w:lang w:bidi="ar"/>
              </w:rPr>
            </w:pPr>
            <w:r>
              <w:rPr>
                <w:rFonts w:hint="eastAsia"/>
                <w:kern w:val="0"/>
                <w:sz w:val="24"/>
                <w:lang w:bidi="ar"/>
              </w:rPr>
              <w:t>◆</w:t>
            </w:r>
            <w:r>
              <w:rPr>
                <w:kern w:val="0"/>
                <w:sz w:val="24"/>
                <w:lang w:bidi="ar"/>
              </w:rPr>
              <w:t>对开采过程中形成的坑地，应利用废弃土、石料回填平整，并在表层覆土，对整治后的土地加以改造利用，乔、灌、草合理配置，以尽快恢复植被，保持水土；</w:t>
            </w:r>
          </w:p>
          <w:p w14:paraId="53333277">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kern w:val="0"/>
                <w:sz w:val="24"/>
                <w:lang w:bidi="ar"/>
              </w:rPr>
            </w:pPr>
            <w:r>
              <w:rPr>
                <w:rFonts w:hint="eastAsia"/>
                <w:kern w:val="0"/>
                <w:sz w:val="24"/>
                <w:lang w:bidi="ar"/>
              </w:rPr>
              <w:t>◆</w:t>
            </w:r>
            <w:r>
              <w:rPr>
                <w:kern w:val="0"/>
                <w:sz w:val="24"/>
                <w:lang w:bidi="ar"/>
              </w:rPr>
              <w:t>对采矿区不能开采或矿石已采竭的裸露地表，应尽快恢复植被，减轻采矿区的水土流失；</w:t>
            </w:r>
          </w:p>
          <w:p w14:paraId="5AF184F7">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kern w:val="0"/>
                <w:sz w:val="24"/>
                <w:lang w:bidi="ar"/>
              </w:rPr>
            </w:pPr>
            <w:r>
              <w:rPr>
                <w:rFonts w:hint="eastAsia"/>
                <w:kern w:val="0"/>
                <w:sz w:val="24"/>
                <w:lang w:bidi="ar"/>
              </w:rPr>
              <w:t>◆</w:t>
            </w:r>
            <w:r>
              <w:rPr>
                <w:kern w:val="0"/>
                <w:sz w:val="24"/>
                <w:lang w:bidi="ar"/>
              </w:rPr>
              <w:t>在</w:t>
            </w:r>
            <w:r>
              <w:rPr>
                <w:rFonts w:hint="eastAsia"/>
                <w:kern w:val="0"/>
                <w:sz w:val="24"/>
                <w:lang w:bidi="ar"/>
              </w:rPr>
              <w:t>采场</w:t>
            </w:r>
            <w:r>
              <w:rPr>
                <w:kern w:val="0"/>
                <w:sz w:val="24"/>
                <w:lang w:bidi="ar"/>
              </w:rPr>
              <w:t>周边修建截洪沟，将雨水排离</w:t>
            </w:r>
            <w:r>
              <w:rPr>
                <w:rFonts w:hint="eastAsia"/>
                <w:kern w:val="0"/>
                <w:sz w:val="24"/>
                <w:lang w:bidi="ar"/>
              </w:rPr>
              <w:t>采场</w:t>
            </w:r>
            <w:r>
              <w:rPr>
                <w:kern w:val="0"/>
                <w:sz w:val="24"/>
                <w:lang w:bidi="ar"/>
              </w:rPr>
              <w:t>以防止雨水渗透、冲刷边坡，减少暴雨对采坑的</w:t>
            </w:r>
            <w:r>
              <w:rPr>
                <w:rFonts w:hint="eastAsia"/>
                <w:kern w:val="0"/>
                <w:sz w:val="24"/>
                <w:lang w:bidi="ar"/>
              </w:rPr>
              <w:t>冲蚀</w:t>
            </w:r>
            <w:r>
              <w:rPr>
                <w:kern w:val="0"/>
                <w:sz w:val="24"/>
                <w:lang w:bidi="ar"/>
              </w:rPr>
              <w:t>强度；</w:t>
            </w:r>
          </w:p>
          <w:p w14:paraId="20759E83">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kern w:val="0"/>
                <w:sz w:val="24"/>
                <w:lang w:bidi="ar"/>
              </w:rPr>
            </w:pPr>
            <w:r>
              <w:rPr>
                <w:rFonts w:hint="eastAsia"/>
                <w:kern w:val="0"/>
                <w:sz w:val="24"/>
                <w:lang w:bidi="ar"/>
              </w:rPr>
              <w:t>◆</w:t>
            </w:r>
            <w:r>
              <w:rPr>
                <w:kern w:val="0"/>
                <w:sz w:val="24"/>
                <w:lang w:bidi="ar"/>
              </w:rPr>
              <w:t>在闭矿时，覆土种植适宜树种，以尽快恢复当地生态环境。</w:t>
            </w:r>
          </w:p>
          <w:p w14:paraId="231F2F28">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kern w:val="0"/>
                <w:sz w:val="24"/>
                <w:lang w:bidi="ar"/>
              </w:rPr>
            </w:pPr>
            <w:r>
              <w:rPr>
                <w:kern w:val="0"/>
                <w:sz w:val="24"/>
                <w:lang w:bidi="ar"/>
              </w:rPr>
              <w:t>②</w:t>
            </w:r>
            <w:r>
              <w:rPr>
                <w:rFonts w:hint="eastAsia"/>
                <w:kern w:val="0"/>
                <w:sz w:val="24"/>
                <w:lang w:bidi="ar"/>
              </w:rPr>
              <w:t>排土场风险防范措施</w:t>
            </w:r>
          </w:p>
          <w:p w14:paraId="6702192D">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kern w:val="0"/>
                <w:sz w:val="24"/>
                <w:lang w:bidi="ar"/>
              </w:rPr>
            </w:pPr>
            <w:r>
              <w:rPr>
                <w:rFonts w:hint="eastAsia"/>
                <w:kern w:val="0"/>
                <w:sz w:val="24"/>
                <w:lang w:bidi="ar"/>
              </w:rPr>
              <w:t>◆在排土场上游按区域最大降雨量进行截洪沟的建设，将下雨产生的地表径流引至场外；</w:t>
            </w:r>
          </w:p>
          <w:p w14:paraId="0F7A6C3C">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kern w:val="0"/>
                <w:sz w:val="24"/>
                <w:lang w:bidi="ar"/>
              </w:rPr>
            </w:pPr>
            <w:r>
              <w:rPr>
                <w:rFonts w:hint="eastAsia"/>
                <w:kern w:val="0"/>
                <w:sz w:val="24"/>
                <w:lang w:bidi="ar"/>
              </w:rPr>
              <w:t>◆</w:t>
            </w:r>
            <w:r>
              <w:rPr>
                <w:rFonts w:hint="eastAsia"/>
                <w:kern w:val="0"/>
                <w:sz w:val="24"/>
                <w:lang w:eastAsia="zh-CN" w:bidi="ar"/>
              </w:rPr>
              <w:t>制定</w:t>
            </w:r>
            <w:r>
              <w:rPr>
                <w:rFonts w:hint="eastAsia"/>
                <w:kern w:val="0"/>
                <w:sz w:val="24"/>
                <w:lang w:bidi="ar"/>
              </w:rPr>
              <w:t>巡逻计划，定期对排土场环境、现场情况进行巡查，并做好相关记录，防止垮坝事故；</w:t>
            </w:r>
          </w:p>
          <w:p w14:paraId="16BB045A">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b/>
                <w:bCs/>
                <w:kern w:val="0"/>
                <w:sz w:val="24"/>
                <w:lang w:bidi="ar"/>
              </w:rPr>
            </w:pPr>
            <w:r>
              <w:rPr>
                <w:rFonts w:hint="eastAsia"/>
                <w:kern w:val="0"/>
                <w:sz w:val="24"/>
                <w:lang w:bidi="ar"/>
              </w:rPr>
              <w:t>◆在服务期满后应及时按水土保持相应技术要求进行土地复垦，促进林草植被尽快覆盖地表。</w:t>
            </w:r>
          </w:p>
          <w:p w14:paraId="43F0CC2B">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sz w:val="24"/>
              </w:rPr>
            </w:pPr>
            <w:r>
              <w:rPr>
                <w:rFonts w:hint="eastAsia"/>
                <w:sz w:val="24"/>
              </w:rPr>
              <w:t>本项目环境风险简单分析内容详见</w:t>
            </w:r>
            <w:r>
              <w:rPr>
                <w:rFonts w:hint="eastAsia"/>
                <w:kern w:val="0"/>
                <w:sz w:val="24"/>
              </w:rPr>
              <w:t>表4-1</w:t>
            </w:r>
            <w:r>
              <w:rPr>
                <w:kern w:val="0"/>
                <w:sz w:val="24"/>
              </w:rPr>
              <w:t>1</w:t>
            </w:r>
            <w:r>
              <w:rPr>
                <w:rFonts w:hint="eastAsia"/>
                <w:sz w:val="24"/>
              </w:rPr>
              <w:t>。</w:t>
            </w:r>
          </w:p>
          <w:p w14:paraId="0739DD21">
            <w:pPr>
              <w:keepNext w:val="0"/>
              <w:keepLines w:val="0"/>
              <w:pageBreakBefore w:val="0"/>
              <w:widowControl/>
              <w:kinsoku/>
              <w:wordWrap/>
              <w:overflowPunct/>
              <w:topLinePunct w:val="0"/>
              <w:autoSpaceDE/>
              <w:autoSpaceDN/>
              <w:bidi w:val="0"/>
              <w:adjustRightInd/>
              <w:snapToGrid/>
              <w:spacing w:line="480" w:lineRule="exact"/>
              <w:jc w:val="center"/>
              <w:textAlignment w:val="auto"/>
              <w:rPr>
                <w:rFonts w:ascii="宋体" w:hAnsi="宋体" w:cs="宋体"/>
                <w:szCs w:val="21"/>
                <w:lang w:bidi="ar"/>
              </w:rPr>
            </w:pPr>
            <w:r>
              <w:rPr>
                <w:rFonts w:hint="eastAsia" w:ascii="宋体" w:hAnsi="宋体" w:cs="宋体"/>
                <w:szCs w:val="21"/>
                <w:lang w:bidi="ar"/>
              </w:rPr>
              <w:t>表</w:t>
            </w:r>
            <w:r>
              <w:rPr>
                <w:szCs w:val="21"/>
                <w:lang w:bidi="ar"/>
              </w:rPr>
              <w:t xml:space="preserve">4-11 </w:t>
            </w:r>
            <w:r>
              <w:rPr>
                <w:rFonts w:hint="eastAsia" w:ascii="宋体" w:hAnsi="宋体" w:cs="宋体"/>
                <w:szCs w:val="21"/>
                <w:lang w:bidi="ar"/>
              </w:rPr>
              <w:t xml:space="preserve"> </w:t>
            </w:r>
            <w:r>
              <w:rPr>
                <w:rFonts w:ascii="宋体" w:hAnsi="宋体" w:cs="宋体"/>
                <w:szCs w:val="21"/>
                <w:lang w:bidi="ar"/>
              </w:rPr>
              <w:t xml:space="preserve"> 建设项目环境风险简单分析内容表</w:t>
            </w:r>
          </w:p>
          <w:tbl>
            <w:tblPr>
              <w:tblStyle w:val="29"/>
              <w:tblW w:w="4998"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772"/>
              <w:gridCol w:w="716"/>
              <w:gridCol w:w="2664"/>
              <w:gridCol w:w="836"/>
              <w:gridCol w:w="2336"/>
            </w:tblGrid>
            <w:tr w14:paraId="3D8B004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64" w:type="pct"/>
                  <w:tcBorders>
                    <w:tl2br w:val="nil"/>
                    <w:tr2bl w:val="nil"/>
                  </w:tcBorders>
                  <w:vAlign w:val="center"/>
                </w:tcPr>
                <w:p w14:paraId="56DE46E0">
                  <w:pPr>
                    <w:spacing w:line="240" w:lineRule="atLeast"/>
                    <w:jc w:val="left"/>
                    <w:rPr>
                      <w:szCs w:val="21"/>
                    </w:rPr>
                  </w:pPr>
                  <w:r>
                    <w:rPr>
                      <w:rFonts w:hint="eastAsia"/>
                      <w:szCs w:val="21"/>
                    </w:rPr>
                    <w:t>建设项目名称</w:t>
                  </w:r>
                </w:p>
              </w:tc>
              <w:tc>
                <w:tcPr>
                  <w:tcW w:w="3935" w:type="pct"/>
                  <w:gridSpan w:val="4"/>
                  <w:tcBorders>
                    <w:tl2br w:val="nil"/>
                    <w:tr2bl w:val="nil"/>
                  </w:tcBorders>
                  <w:vAlign w:val="center"/>
                </w:tcPr>
                <w:p w14:paraId="6E6F422F">
                  <w:pPr>
                    <w:spacing w:line="240" w:lineRule="atLeast"/>
                    <w:jc w:val="left"/>
                    <w:rPr>
                      <w:szCs w:val="21"/>
                    </w:rPr>
                  </w:pPr>
                  <w:r>
                    <w:rPr>
                      <w:rFonts w:hint="eastAsia"/>
                      <w:szCs w:val="21"/>
                    </w:rPr>
                    <w:t>盂县石鑫矿业有限公司年开采饰面用花岗岩2万m</w:t>
                  </w:r>
                  <w:r>
                    <w:rPr>
                      <w:rFonts w:hint="eastAsia"/>
                      <w:szCs w:val="21"/>
                      <w:vertAlign w:val="superscript"/>
                    </w:rPr>
                    <w:t>3</w:t>
                  </w:r>
                  <w:r>
                    <w:rPr>
                      <w:rFonts w:hint="eastAsia"/>
                      <w:szCs w:val="21"/>
                    </w:rPr>
                    <w:t>扩建项目</w:t>
                  </w:r>
                </w:p>
              </w:tc>
            </w:tr>
            <w:tr w14:paraId="2BB5E45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64" w:type="pct"/>
                  <w:tcBorders>
                    <w:tl2br w:val="nil"/>
                    <w:tr2bl w:val="nil"/>
                  </w:tcBorders>
                  <w:vAlign w:val="center"/>
                </w:tcPr>
                <w:p w14:paraId="38693D97">
                  <w:pPr>
                    <w:spacing w:line="240" w:lineRule="atLeast"/>
                    <w:jc w:val="left"/>
                    <w:rPr>
                      <w:szCs w:val="21"/>
                    </w:rPr>
                  </w:pPr>
                  <w:r>
                    <w:rPr>
                      <w:szCs w:val="21"/>
                    </w:rPr>
                    <w:t>建设地点</w:t>
                  </w:r>
                </w:p>
              </w:tc>
              <w:tc>
                <w:tcPr>
                  <w:tcW w:w="3935" w:type="pct"/>
                  <w:gridSpan w:val="4"/>
                  <w:tcBorders>
                    <w:tl2br w:val="nil"/>
                    <w:tr2bl w:val="nil"/>
                  </w:tcBorders>
                  <w:vAlign w:val="center"/>
                </w:tcPr>
                <w:p w14:paraId="3DA49B45">
                  <w:pPr>
                    <w:spacing w:line="240" w:lineRule="atLeast"/>
                    <w:jc w:val="left"/>
                    <w:rPr>
                      <w:szCs w:val="21"/>
                    </w:rPr>
                  </w:pPr>
                  <w:r>
                    <w:rPr>
                      <w:rFonts w:hint="eastAsia"/>
                      <w:szCs w:val="21"/>
                    </w:rPr>
                    <w:t>山西省阳泉市盂县西潘乡宋庄村东侧约530m</w:t>
                  </w:r>
                </w:p>
              </w:tc>
            </w:tr>
            <w:tr w14:paraId="5F0263E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64" w:type="pct"/>
                  <w:tcBorders>
                    <w:tl2br w:val="nil"/>
                    <w:tr2bl w:val="nil"/>
                  </w:tcBorders>
                  <w:vAlign w:val="center"/>
                </w:tcPr>
                <w:p w14:paraId="64C4CCF1">
                  <w:pPr>
                    <w:spacing w:line="240" w:lineRule="atLeast"/>
                    <w:jc w:val="left"/>
                    <w:rPr>
                      <w:szCs w:val="21"/>
                    </w:rPr>
                  </w:pPr>
                  <w:r>
                    <w:rPr>
                      <w:rFonts w:hint="eastAsia"/>
                      <w:szCs w:val="21"/>
                    </w:rPr>
                    <w:t>地理坐标</w:t>
                  </w:r>
                </w:p>
              </w:tc>
              <w:tc>
                <w:tcPr>
                  <w:tcW w:w="430" w:type="pct"/>
                  <w:tcBorders>
                    <w:tl2br w:val="nil"/>
                    <w:tr2bl w:val="nil"/>
                  </w:tcBorders>
                  <w:vAlign w:val="center"/>
                </w:tcPr>
                <w:p w14:paraId="0A149A78">
                  <w:pPr>
                    <w:spacing w:line="240" w:lineRule="atLeast"/>
                    <w:jc w:val="center"/>
                    <w:rPr>
                      <w:szCs w:val="21"/>
                    </w:rPr>
                  </w:pPr>
                  <w:r>
                    <w:rPr>
                      <w:rFonts w:hint="eastAsia"/>
                      <w:szCs w:val="21"/>
                    </w:rPr>
                    <w:t>经度</w:t>
                  </w:r>
                </w:p>
              </w:tc>
              <w:tc>
                <w:tcPr>
                  <w:tcW w:w="1600" w:type="pct"/>
                  <w:tcBorders>
                    <w:tl2br w:val="nil"/>
                    <w:tr2bl w:val="nil"/>
                  </w:tcBorders>
                  <w:vAlign w:val="center"/>
                </w:tcPr>
                <w:p w14:paraId="70F54DC7">
                  <w:pPr>
                    <w:spacing w:line="240" w:lineRule="atLeast"/>
                    <w:jc w:val="center"/>
                    <w:rPr>
                      <w:szCs w:val="21"/>
                    </w:rPr>
                  </w:pPr>
                  <w:r>
                    <w:rPr>
                      <w:szCs w:val="21"/>
                    </w:rPr>
                    <w:t>113</w:t>
                  </w:r>
                  <w:r>
                    <w:rPr>
                      <w:rFonts w:hint="eastAsia"/>
                      <w:szCs w:val="21"/>
                    </w:rPr>
                    <w:t>度</w:t>
                  </w:r>
                  <w:r>
                    <w:rPr>
                      <w:szCs w:val="21"/>
                    </w:rPr>
                    <w:t>11</w:t>
                  </w:r>
                  <w:r>
                    <w:rPr>
                      <w:rFonts w:hint="eastAsia"/>
                      <w:szCs w:val="21"/>
                    </w:rPr>
                    <w:t>分</w:t>
                  </w:r>
                  <w:r>
                    <w:rPr>
                      <w:szCs w:val="21"/>
                    </w:rPr>
                    <w:t>54.139</w:t>
                  </w:r>
                  <w:r>
                    <w:rPr>
                      <w:rFonts w:hint="eastAsia"/>
                      <w:szCs w:val="21"/>
                    </w:rPr>
                    <w:t>秒</w:t>
                  </w:r>
                </w:p>
              </w:tc>
              <w:tc>
                <w:tcPr>
                  <w:tcW w:w="502" w:type="pct"/>
                  <w:tcBorders>
                    <w:tl2br w:val="nil"/>
                    <w:tr2bl w:val="nil"/>
                  </w:tcBorders>
                  <w:vAlign w:val="center"/>
                </w:tcPr>
                <w:p w14:paraId="2805F65B">
                  <w:pPr>
                    <w:spacing w:line="240" w:lineRule="atLeast"/>
                    <w:jc w:val="center"/>
                    <w:rPr>
                      <w:szCs w:val="21"/>
                    </w:rPr>
                  </w:pPr>
                  <w:r>
                    <w:rPr>
                      <w:rFonts w:hint="eastAsia"/>
                      <w:szCs w:val="21"/>
                    </w:rPr>
                    <w:t>纬度</w:t>
                  </w:r>
                </w:p>
              </w:tc>
              <w:tc>
                <w:tcPr>
                  <w:tcW w:w="1403" w:type="pct"/>
                  <w:tcBorders>
                    <w:tl2br w:val="nil"/>
                    <w:tr2bl w:val="nil"/>
                  </w:tcBorders>
                  <w:vAlign w:val="center"/>
                </w:tcPr>
                <w:p w14:paraId="7E718E3A">
                  <w:pPr>
                    <w:spacing w:line="240" w:lineRule="atLeast"/>
                    <w:jc w:val="center"/>
                    <w:rPr>
                      <w:szCs w:val="21"/>
                    </w:rPr>
                  </w:pPr>
                  <w:r>
                    <w:rPr>
                      <w:rFonts w:hint="eastAsia"/>
                      <w:szCs w:val="21"/>
                    </w:rPr>
                    <w:t>38度</w:t>
                  </w:r>
                  <w:r>
                    <w:rPr>
                      <w:szCs w:val="21"/>
                    </w:rPr>
                    <w:t>20</w:t>
                  </w:r>
                  <w:r>
                    <w:rPr>
                      <w:rFonts w:hint="eastAsia"/>
                      <w:szCs w:val="21"/>
                    </w:rPr>
                    <w:t>分</w:t>
                  </w:r>
                  <w:r>
                    <w:rPr>
                      <w:szCs w:val="21"/>
                    </w:rPr>
                    <w:t>16.481</w:t>
                  </w:r>
                  <w:r>
                    <w:rPr>
                      <w:rFonts w:hint="eastAsia"/>
                      <w:szCs w:val="21"/>
                    </w:rPr>
                    <w:t>秒</w:t>
                  </w:r>
                </w:p>
              </w:tc>
            </w:tr>
            <w:tr w14:paraId="037230C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64" w:type="pct"/>
                  <w:tcBorders>
                    <w:tl2br w:val="nil"/>
                    <w:tr2bl w:val="nil"/>
                  </w:tcBorders>
                  <w:vAlign w:val="center"/>
                </w:tcPr>
                <w:p w14:paraId="5765086F">
                  <w:pPr>
                    <w:spacing w:line="240" w:lineRule="atLeast"/>
                    <w:jc w:val="left"/>
                    <w:rPr>
                      <w:szCs w:val="21"/>
                    </w:rPr>
                  </w:pPr>
                  <w:r>
                    <w:rPr>
                      <w:rFonts w:hint="eastAsia"/>
                      <w:szCs w:val="21"/>
                    </w:rPr>
                    <w:t>风险防范措施要求</w:t>
                  </w:r>
                </w:p>
              </w:tc>
              <w:tc>
                <w:tcPr>
                  <w:tcW w:w="3935" w:type="pct"/>
                  <w:gridSpan w:val="4"/>
                  <w:tcBorders>
                    <w:tl2br w:val="nil"/>
                    <w:tr2bl w:val="nil"/>
                  </w:tcBorders>
                  <w:vAlign w:val="center"/>
                </w:tcPr>
                <w:p w14:paraId="6EBA924B">
                  <w:pPr>
                    <w:spacing w:line="240" w:lineRule="atLeast"/>
                    <w:jc w:val="left"/>
                    <w:rPr>
                      <w:szCs w:val="21"/>
                    </w:rPr>
                  </w:pPr>
                  <w:r>
                    <w:rPr>
                      <w:rFonts w:hint="eastAsia"/>
                      <w:szCs w:val="21"/>
                    </w:rPr>
                    <w:t>一、采场</w:t>
                  </w:r>
                  <w:r>
                    <w:rPr>
                      <w:szCs w:val="21"/>
                    </w:rPr>
                    <w:t>风险防范措施：</w:t>
                  </w:r>
                </w:p>
                <w:p w14:paraId="6F76B8AE">
                  <w:pPr>
                    <w:spacing w:line="240" w:lineRule="atLeast"/>
                    <w:jc w:val="left"/>
                    <w:rPr>
                      <w:szCs w:val="21"/>
                    </w:rPr>
                  </w:pPr>
                  <w:r>
                    <w:rPr>
                      <w:rFonts w:hint="eastAsia"/>
                      <w:szCs w:val="21"/>
                    </w:rPr>
                    <w:t>1.</w:t>
                  </w:r>
                  <w:r>
                    <w:rPr>
                      <w:szCs w:val="21"/>
                    </w:rPr>
                    <w:t>合理布置开采平台，建立长期的边坡观测网，对不良地段、软弱夹层进行定时，定点观测，发现异常及时进行处理；</w:t>
                  </w:r>
                </w:p>
                <w:p w14:paraId="0FB94BE4">
                  <w:pPr>
                    <w:spacing w:line="240" w:lineRule="atLeast"/>
                    <w:jc w:val="left"/>
                    <w:rPr>
                      <w:szCs w:val="21"/>
                    </w:rPr>
                  </w:pPr>
                  <w:r>
                    <w:rPr>
                      <w:rFonts w:hint="eastAsia"/>
                      <w:szCs w:val="21"/>
                    </w:rPr>
                    <w:t>2.</w:t>
                  </w:r>
                  <w:r>
                    <w:rPr>
                      <w:szCs w:val="21"/>
                    </w:rPr>
                    <w:t>开采过程中的顺层坡矿体底板切坡时，应保持底面的平整，局部应视其需要采取适当的加固措施（如挡墙），对软弱边坡、坚硬岩层上的破碎带上的破碎、岩块松动部位，应进行水泥护面、洞隙灌浆予以加固，必要时应削坡；</w:t>
                  </w:r>
                </w:p>
                <w:p w14:paraId="4E2A7F44">
                  <w:pPr>
                    <w:spacing w:line="240" w:lineRule="atLeast"/>
                    <w:jc w:val="left"/>
                    <w:rPr>
                      <w:szCs w:val="21"/>
                    </w:rPr>
                  </w:pPr>
                  <w:r>
                    <w:rPr>
                      <w:rFonts w:hint="eastAsia"/>
                      <w:szCs w:val="21"/>
                    </w:rPr>
                    <w:t>3.</w:t>
                  </w:r>
                  <w:r>
                    <w:rPr>
                      <w:szCs w:val="21"/>
                    </w:rPr>
                    <w:t>对开采过程中形成的坑地，应利用废弃土、石料回填平整，并在表层覆土，对整治后的土地加以改造利用，乔、灌、草合理配置，以尽快恢复植被，保持水土；</w:t>
                  </w:r>
                </w:p>
                <w:p w14:paraId="12D5F8E4">
                  <w:pPr>
                    <w:spacing w:line="240" w:lineRule="atLeast"/>
                    <w:jc w:val="left"/>
                    <w:rPr>
                      <w:szCs w:val="21"/>
                    </w:rPr>
                  </w:pPr>
                  <w:r>
                    <w:rPr>
                      <w:rFonts w:hint="eastAsia"/>
                      <w:szCs w:val="21"/>
                    </w:rPr>
                    <w:t>4.</w:t>
                  </w:r>
                  <w:r>
                    <w:rPr>
                      <w:szCs w:val="21"/>
                    </w:rPr>
                    <w:t>对采矿区不能开采或矿石已采竭的裸露地表，应尽快恢复植被，减轻采矿区的水土流失；</w:t>
                  </w:r>
                </w:p>
                <w:p w14:paraId="4F56EF96">
                  <w:pPr>
                    <w:spacing w:line="240" w:lineRule="atLeast"/>
                    <w:jc w:val="left"/>
                    <w:rPr>
                      <w:szCs w:val="21"/>
                    </w:rPr>
                  </w:pPr>
                  <w:r>
                    <w:rPr>
                      <w:rFonts w:hint="eastAsia"/>
                      <w:szCs w:val="21"/>
                    </w:rPr>
                    <w:t>5.</w:t>
                  </w:r>
                  <w:r>
                    <w:rPr>
                      <w:szCs w:val="21"/>
                    </w:rPr>
                    <w:t>在</w:t>
                  </w:r>
                  <w:r>
                    <w:rPr>
                      <w:rFonts w:hint="eastAsia"/>
                      <w:szCs w:val="21"/>
                    </w:rPr>
                    <w:t>采场</w:t>
                  </w:r>
                  <w:r>
                    <w:rPr>
                      <w:szCs w:val="21"/>
                    </w:rPr>
                    <w:t>周边修建截洪沟，将雨水排离</w:t>
                  </w:r>
                  <w:r>
                    <w:rPr>
                      <w:rFonts w:hint="eastAsia"/>
                      <w:szCs w:val="21"/>
                    </w:rPr>
                    <w:t>采场</w:t>
                  </w:r>
                  <w:r>
                    <w:rPr>
                      <w:szCs w:val="21"/>
                    </w:rPr>
                    <w:t>以防止雨水渗透、冲刷边坡，减少暴雨对采坑的</w:t>
                  </w:r>
                  <w:r>
                    <w:rPr>
                      <w:rFonts w:hint="eastAsia"/>
                      <w:szCs w:val="21"/>
                    </w:rPr>
                    <w:t>冲蚀</w:t>
                  </w:r>
                  <w:r>
                    <w:rPr>
                      <w:szCs w:val="21"/>
                    </w:rPr>
                    <w:t>强度；</w:t>
                  </w:r>
                </w:p>
                <w:p w14:paraId="7426DF39">
                  <w:pPr>
                    <w:spacing w:line="240" w:lineRule="atLeast"/>
                    <w:jc w:val="left"/>
                    <w:rPr>
                      <w:szCs w:val="21"/>
                    </w:rPr>
                  </w:pPr>
                  <w:r>
                    <w:rPr>
                      <w:rFonts w:hint="eastAsia"/>
                      <w:szCs w:val="21"/>
                    </w:rPr>
                    <w:t>6.</w:t>
                  </w:r>
                  <w:r>
                    <w:rPr>
                      <w:szCs w:val="21"/>
                    </w:rPr>
                    <w:t>在闭矿时，覆土种植适宜树种，以尽快恢复当地生态环境。</w:t>
                  </w:r>
                </w:p>
                <w:p w14:paraId="7B3BD190">
                  <w:pPr>
                    <w:spacing w:line="240" w:lineRule="atLeast"/>
                    <w:jc w:val="left"/>
                    <w:rPr>
                      <w:szCs w:val="21"/>
                    </w:rPr>
                  </w:pPr>
                  <w:r>
                    <w:rPr>
                      <w:rFonts w:hint="eastAsia"/>
                      <w:szCs w:val="21"/>
                    </w:rPr>
                    <w:t>二、排土</w:t>
                  </w:r>
                  <w:r>
                    <w:rPr>
                      <w:szCs w:val="21"/>
                    </w:rPr>
                    <w:t>场风险防范措施</w:t>
                  </w:r>
                </w:p>
                <w:p w14:paraId="2E66343E">
                  <w:pPr>
                    <w:spacing w:line="240" w:lineRule="atLeast"/>
                    <w:jc w:val="left"/>
                    <w:rPr>
                      <w:szCs w:val="21"/>
                    </w:rPr>
                  </w:pPr>
                  <w:r>
                    <w:rPr>
                      <w:rFonts w:hint="eastAsia"/>
                      <w:szCs w:val="21"/>
                    </w:rPr>
                    <w:t>1.</w:t>
                  </w:r>
                  <w:r>
                    <w:rPr>
                      <w:szCs w:val="21"/>
                    </w:rPr>
                    <w:t>在</w:t>
                  </w:r>
                  <w:r>
                    <w:rPr>
                      <w:rFonts w:hint="eastAsia"/>
                      <w:szCs w:val="21"/>
                    </w:rPr>
                    <w:t>排土</w:t>
                  </w:r>
                  <w:r>
                    <w:rPr>
                      <w:szCs w:val="21"/>
                    </w:rPr>
                    <w:t>场上游按区域最大降雨量进行截洪沟的建设，将下雨产生的地表径流引至场外；</w:t>
                  </w:r>
                </w:p>
                <w:p w14:paraId="5C65F92B">
                  <w:pPr>
                    <w:spacing w:line="240" w:lineRule="atLeast"/>
                    <w:jc w:val="left"/>
                    <w:rPr>
                      <w:szCs w:val="21"/>
                    </w:rPr>
                  </w:pPr>
                  <w:r>
                    <w:rPr>
                      <w:rFonts w:hint="eastAsia"/>
                      <w:szCs w:val="21"/>
                    </w:rPr>
                    <w:t>2.</w:t>
                  </w:r>
                  <w:r>
                    <w:rPr>
                      <w:rFonts w:hint="eastAsia"/>
                      <w:szCs w:val="21"/>
                      <w:lang w:eastAsia="zh-CN"/>
                    </w:rPr>
                    <w:t>制定</w:t>
                  </w:r>
                  <w:r>
                    <w:rPr>
                      <w:szCs w:val="21"/>
                    </w:rPr>
                    <w:t>巡逻计划，定期对</w:t>
                  </w:r>
                  <w:r>
                    <w:rPr>
                      <w:rFonts w:hint="eastAsia"/>
                      <w:szCs w:val="21"/>
                    </w:rPr>
                    <w:t>排土</w:t>
                  </w:r>
                  <w:r>
                    <w:rPr>
                      <w:szCs w:val="21"/>
                    </w:rPr>
                    <w:t>场环境、现场情况进行巡查，并做好相关记录，防止垮坝事故；</w:t>
                  </w:r>
                </w:p>
                <w:p w14:paraId="2FD515E1">
                  <w:pPr>
                    <w:spacing w:line="240" w:lineRule="atLeast"/>
                    <w:jc w:val="left"/>
                    <w:rPr>
                      <w:szCs w:val="21"/>
                    </w:rPr>
                  </w:pPr>
                  <w:r>
                    <w:rPr>
                      <w:rFonts w:hint="eastAsia"/>
                      <w:szCs w:val="21"/>
                    </w:rPr>
                    <w:t>3.</w:t>
                  </w:r>
                  <w:r>
                    <w:rPr>
                      <w:szCs w:val="21"/>
                    </w:rPr>
                    <w:t>在服务期满后应及时按水土保持相应技术要求进行土地复垦，促进林草植被尽快覆盖地表。</w:t>
                  </w:r>
                </w:p>
              </w:tc>
            </w:tr>
          </w:tbl>
          <w:p w14:paraId="1286D7B8">
            <w:pPr>
              <w:pStyle w:val="14"/>
              <w:ind w:firstLine="0" w:firstLineChars="0"/>
              <w:rPr>
                <w:rFonts w:hint="eastAsia" w:eastAsia="微软雅黑"/>
                <w:lang w:eastAsia="zh-CN"/>
              </w:rPr>
            </w:pPr>
          </w:p>
          <w:p w14:paraId="5ED1210F">
            <w:pPr>
              <w:pStyle w:val="14"/>
              <w:keepNext w:val="0"/>
              <w:keepLines w:val="0"/>
              <w:pageBreakBefore w:val="0"/>
              <w:widowControl/>
              <w:kinsoku/>
              <w:wordWrap/>
              <w:overflowPunct/>
              <w:topLinePunct w:val="0"/>
              <w:autoSpaceDE/>
              <w:autoSpaceDN/>
              <w:bidi w:val="0"/>
              <w:adjustRightInd/>
              <w:snapToGrid/>
              <w:spacing w:after="0" w:line="240" w:lineRule="auto"/>
              <w:ind w:firstLine="0" w:firstLineChars="0"/>
              <w:textAlignment w:val="auto"/>
              <w:rPr>
                <w:rFonts w:hint="eastAsia" w:eastAsia="微软雅黑"/>
                <w:lang w:eastAsia="zh-CN"/>
              </w:rPr>
            </w:pPr>
          </w:p>
        </w:tc>
      </w:tr>
      <w:tr w14:paraId="454BE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4" w:type="dxa"/>
            <w:vAlign w:val="center"/>
          </w:tcPr>
          <w:p w14:paraId="5B25943E">
            <w:pPr>
              <w:pStyle w:val="21"/>
              <w:adjustRightInd w:val="0"/>
              <w:snapToGrid w:val="0"/>
              <w:spacing w:before="0" w:beforeAutospacing="0" w:after="0" w:afterAutospacing="0"/>
              <w:jc w:val="center"/>
              <w:rPr>
                <w:rFonts w:cs="宋体"/>
                <w:bCs/>
                <w:kern w:val="2"/>
                <w:sz w:val="21"/>
                <w:szCs w:val="21"/>
              </w:rPr>
            </w:pPr>
            <w:r>
              <w:rPr>
                <w:rFonts w:hint="eastAsia" w:cs="宋体"/>
                <w:bCs/>
                <w:kern w:val="2"/>
              </w:rPr>
              <w:t>选址选线环境合理性分析</w:t>
            </w:r>
          </w:p>
        </w:tc>
        <w:tc>
          <w:tcPr>
            <w:tcW w:w="8563" w:type="dxa"/>
          </w:tcPr>
          <w:p w14:paraId="59A3EED2">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kern w:val="0"/>
                <w:sz w:val="24"/>
                <w:lang w:bidi="ar"/>
              </w:rPr>
            </w:pPr>
            <w:r>
              <w:rPr>
                <w:kern w:val="0"/>
                <w:sz w:val="24"/>
                <w:lang w:bidi="ar"/>
              </w:rPr>
              <w:t>本项目</w:t>
            </w:r>
            <w:r>
              <w:rPr>
                <w:rFonts w:hint="eastAsia"/>
                <w:kern w:val="0"/>
                <w:sz w:val="24"/>
                <w:lang w:bidi="ar"/>
              </w:rPr>
              <w:t>矿区</w:t>
            </w:r>
            <w:r>
              <w:rPr>
                <w:kern w:val="0"/>
                <w:sz w:val="24"/>
                <w:lang w:bidi="ar"/>
              </w:rPr>
              <w:t>主要分为4个功能区：</w:t>
            </w:r>
            <w:r>
              <w:rPr>
                <w:rFonts w:hint="eastAsia"/>
                <w:sz w:val="24"/>
              </w:rPr>
              <w:t>采场</w:t>
            </w:r>
            <w:r>
              <w:rPr>
                <w:kern w:val="0"/>
                <w:sz w:val="24"/>
                <w:lang w:bidi="ar"/>
              </w:rPr>
              <w:t>、排土场、</w:t>
            </w:r>
            <w:r>
              <w:rPr>
                <w:rFonts w:hint="eastAsia"/>
                <w:kern w:val="0"/>
                <w:sz w:val="24"/>
                <w:lang w:bidi="ar"/>
              </w:rPr>
              <w:t>办公生活区、运矿道路</w:t>
            </w:r>
            <w:r>
              <w:rPr>
                <w:kern w:val="0"/>
                <w:sz w:val="24"/>
                <w:lang w:bidi="ar"/>
              </w:rPr>
              <w:t>。</w:t>
            </w:r>
            <w:r>
              <w:rPr>
                <w:rFonts w:hint="eastAsia"/>
                <w:kern w:val="0"/>
                <w:sz w:val="24"/>
                <w:lang w:bidi="ar"/>
              </w:rPr>
              <w:t>矿区范围坐标区域不涉及自然保护区、森林公园、湿地公园、国家一级公益林地、国家二级公益林地、I级保护林地、Ⅱ级保护林地、山西永久性生态公益林地。项目占地类型主要为灌木林地、乔木林地、采矿用地等。矿区范围及矿区外新建运矿道路均与盂县已划定的集中饮用水源地范围互不重叠。本项目在娘子关泉域范围内，但不在重点保护范围。本项目占地范围与现已批准建设的古生物化石集中产地不重叠，与已调查发现的重要地质遗迹不重叠；本项目占地范围不涉及占用耕地、与盂县已划定的永久基本农田保护区不重叠；与已划定的生态保护红线范围不重叠；与已划定的城镇开发边界线不重叠。矿区外新建运矿道路占地类型为灌木林地，不涉及公益林等保护性林地、基本农田。</w:t>
            </w:r>
            <w:r>
              <w:rPr>
                <w:kern w:val="0"/>
                <w:sz w:val="24"/>
                <w:lang w:bidi="ar"/>
              </w:rPr>
              <w:t>本项目无废水外排；固体废物均能得到合理处置；正常工况下厂界噪声能够做到达标排放；废气经采取相应措施后能做到达标排放，不会改变区域现有环境功能区划，通过边开采边恢复，减少对生态环境的影响，正常运行情况下对环境影响程度较小，因此，</w:t>
            </w:r>
            <w:r>
              <w:rPr>
                <w:rFonts w:hint="eastAsia"/>
                <w:kern w:val="0"/>
                <w:sz w:val="24"/>
                <w:lang w:bidi="ar"/>
              </w:rPr>
              <w:t>本</w:t>
            </w:r>
            <w:r>
              <w:rPr>
                <w:kern w:val="0"/>
                <w:sz w:val="24"/>
                <w:lang w:bidi="ar"/>
              </w:rPr>
              <w:t>项目的选址合理。</w:t>
            </w:r>
          </w:p>
          <w:p w14:paraId="0991151D">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bCs/>
                <w:kern w:val="0"/>
                <w:sz w:val="24"/>
                <w:lang w:bidi="ar"/>
              </w:rPr>
            </w:pPr>
            <w:r>
              <w:rPr>
                <w:rFonts w:hint="eastAsia"/>
                <w:bCs/>
                <w:kern w:val="0"/>
                <w:sz w:val="24"/>
                <w:lang w:bidi="ar"/>
              </w:rPr>
              <w:t>排土场选址合理性分析：</w:t>
            </w:r>
          </w:p>
          <w:p w14:paraId="7265581B">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kern w:val="0"/>
                <w:sz w:val="24"/>
                <w:lang w:bidi="ar"/>
              </w:rPr>
            </w:pPr>
            <w:r>
              <w:rPr>
                <w:rFonts w:hint="eastAsia"/>
                <w:kern w:val="0"/>
                <w:sz w:val="24"/>
                <w:lang w:bidi="ar"/>
              </w:rPr>
              <w:t>本次评价对照《一般工业固体废物贮存和填埋》（GB 18599-2020）贮存场的选址要求进行分析，见</w:t>
            </w:r>
            <w:r>
              <w:rPr>
                <w:rFonts w:hint="eastAsia"/>
                <w:kern w:val="0"/>
                <w:sz w:val="24"/>
              </w:rPr>
              <w:t>表4-1</w:t>
            </w:r>
            <w:r>
              <w:rPr>
                <w:kern w:val="0"/>
                <w:sz w:val="24"/>
              </w:rPr>
              <w:t>2</w:t>
            </w:r>
            <w:r>
              <w:rPr>
                <w:rFonts w:hint="eastAsia"/>
                <w:kern w:val="0"/>
                <w:sz w:val="24"/>
              </w:rPr>
              <w:t>。</w:t>
            </w:r>
          </w:p>
          <w:p w14:paraId="2950740F">
            <w:pPr>
              <w:keepNext w:val="0"/>
              <w:keepLines w:val="0"/>
              <w:pageBreakBefore w:val="0"/>
              <w:widowControl/>
              <w:kinsoku/>
              <w:wordWrap/>
              <w:overflowPunct/>
              <w:topLinePunct w:val="0"/>
              <w:autoSpaceDE/>
              <w:autoSpaceDN/>
              <w:bidi w:val="0"/>
              <w:adjustRightInd/>
              <w:snapToGrid/>
              <w:spacing w:line="480" w:lineRule="exact"/>
              <w:jc w:val="center"/>
              <w:textAlignment w:val="auto"/>
              <w:rPr>
                <w:rFonts w:ascii="宋体" w:hAnsi="宋体" w:cs="宋体"/>
                <w:szCs w:val="21"/>
                <w:lang w:bidi="ar"/>
              </w:rPr>
            </w:pPr>
            <w:r>
              <w:rPr>
                <w:rFonts w:hint="eastAsia" w:ascii="宋体" w:hAnsi="宋体" w:cs="宋体"/>
                <w:szCs w:val="21"/>
                <w:lang w:bidi="ar"/>
              </w:rPr>
              <w:t>表</w:t>
            </w:r>
            <w:r>
              <w:rPr>
                <w:szCs w:val="21"/>
                <w:lang w:bidi="ar"/>
              </w:rPr>
              <w:t>4-12</w:t>
            </w:r>
            <w:r>
              <w:rPr>
                <w:rFonts w:hint="eastAsia" w:ascii="宋体" w:hAnsi="宋体" w:cs="宋体"/>
                <w:szCs w:val="21"/>
                <w:lang w:bidi="ar"/>
              </w:rPr>
              <w:t>排土场选址合理性</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1"/>
              <w:gridCol w:w="4037"/>
              <w:gridCol w:w="3629"/>
            </w:tblGrid>
            <w:tr w14:paraId="6F61B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671" w:type="dxa"/>
                  <w:vAlign w:val="center"/>
                </w:tcPr>
                <w:p w14:paraId="4A56ED9B">
                  <w:pPr>
                    <w:widowControl/>
                    <w:jc w:val="center"/>
                    <w:rPr>
                      <w:kern w:val="0"/>
                      <w:szCs w:val="21"/>
                      <w:lang w:bidi="ar"/>
                    </w:rPr>
                  </w:pPr>
                  <w:r>
                    <w:rPr>
                      <w:rFonts w:hint="eastAsia"/>
                      <w:kern w:val="0"/>
                      <w:szCs w:val="21"/>
                      <w:lang w:bidi="ar"/>
                    </w:rPr>
                    <w:t>序号</w:t>
                  </w:r>
                </w:p>
              </w:tc>
              <w:tc>
                <w:tcPr>
                  <w:tcW w:w="4037" w:type="dxa"/>
                  <w:vAlign w:val="center"/>
                </w:tcPr>
                <w:p w14:paraId="10026ACA">
                  <w:pPr>
                    <w:widowControl/>
                    <w:jc w:val="center"/>
                    <w:rPr>
                      <w:kern w:val="0"/>
                      <w:szCs w:val="21"/>
                      <w:lang w:bidi="ar"/>
                    </w:rPr>
                  </w:pPr>
                  <w:r>
                    <w:rPr>
                      <w:rFonts w:hint="eastAsia"/>
                      <w:kern w:val="0"/>
                      <w:szCs w:val="21"/>
                      <w:lang w:bidi="ar"/>
                    </w:rPr>
                    <w:t>标准要求</w:t>
                  </w:r>
                </w:p>
              </w:tc>
              <w:tc>
                <w:tcPr>
                  <w:tcW w:w="3629" w:type="dxa"/>
                  <w:vAlign w:val="center"/>
                </w:tcPr>
                <w:p w14:paraId="5205554C">
                  <w:pPr>
                    <w:widowControl/>
                    <w:jc w:val="center"/>
                    <w:rPr>
                      <w:kern w:val="0"/>
                      <w:szCs w:val="21"/>
                      <w:lang w:bidi="ar"/>
                    </w:rPr>
                  </w:pPr>
                  <w:r>
                    <w:rPr>
                      <w:rFonts w:hint="eastAsia"/>
                      <w:kern w:val="0"/>
                      <w:szCs w:val="21"/>
                      <w:lang w:bidi="ar"/>
                    </w:rPr>
                    <w:t>本项目实际</w:t>
                  </w:r>
                </w:p>
              </w:tc>
            </w:tr>
            <w:tr w14:paraId="232CE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1" w:type="dxa"/>
                  <w:vAlign w:val="center"/>
                </w:tcPr>
                <w:p w14:paraId="1BF54339">
                  <w:pPr>
                    <w:widowControl/>
                    <w:jc w:val="center"/>
                    <w:rPr>
                      <w:kern w:val="0"/>
                      <w:szCs w:val="21"/>
                      <w:lang w:bidi="ar"/>
                    </w:rPr>
                  </w:pPr>
                  <w:r>
                    <w:rPr>
                      <w:rFonts w:hint="eastAsia"/>
                      <w:kern w:val="0"/>
                      <w:szCs w:val="21"/>
                      <w:lang w:bidi="ar"/>
                    </w:rPr>
                    <w:t>1</w:t>
                  </w:r>
                </w:p>
              </w:tc>
              <w:tc>
                <w:tcPr>
                  <w:tcW w:w="4037" w:type="dxa"/>
                  <w:vAlign w:val="center"/>
                </w:tcPr>
                <w:p w14:paraId="0F2A717B">
                  <w:pPr>
                    <w:widowControl/>
                    <w:jc w:val="center"/>
                    <w:rPr>
                      <w:kern w:val="0"/>
                      <w:szCs w:val="21"/>
                      <w:lang w:bidi="ar"/>
                    </w:rPr>
                  </w:pPr>
                  <w:r>
                    <w:rPr>
                      <w:rFonts w:hint="eastAsia"/>
                      <w:kern w:val="0"/>
                      <w:szCs w:val="21"/>
                      <w:lang w:bidi="ar"/>
                    </w:rPr>
                    <w:t>应符合环境保护法律法规及相关法定规划要求</w:t>
                  </w:r>
                </w:p>
              </w:tc>
              <w:tc>
                <w:tcPr>
                  <w:tcW w:w="3629" w:type="dxa"/>
                  <w:vAlign w:val="center"/>
                </w:tcPr>
                <w:p w14:paraId="339E4084">
                  <w:pPr>
                    <w:widowControl/>
                    <w:jc w:val="center"/>
                    <w:rPr>
                      <w:kern w:val="0"/>
                      <w:szCs w:val="21"/>
                      <w:lang w:bidi="ar"/>
                    </w:rPr>
                  </w:pPr>
                  <w:r>
                    <w:rPr>
                      <w:rFonts w:hint="eastAsia"/>
                      <w:kern w:val="0"/>
                      <w:szCs w:val="21"/>
                      <w:lang w:bidi="ar"/>
                    </w:rPr>
                    <w:t>本项目排土场选址不违背相关环境保护法律法规及相关法定规划要求</w:t>
                  </w:r>
                </w:p>
              </w:tc>
            </w:tr>
            <w:tr w14:paraId="496F5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1" w:type="dxa"/>
                  <w:vAlign w:val="center"/>
                </w:tcPr>
                <w:p w14:paraId="069552BB">
                  <w:pPr>
                    <w:widowControl/>
                    <w:jc w:val="center"/>
                    <w:rPr>
                      <w:kern w:val="0"/>
                      <w:szCs w:val="21"/>
                      <w:lang w:bidi="ar"/>
                    </w:rPr>
                  </w:pPr>
                  <w:r>
                    <w:rPr>
                      <w:rFonts w:hint="eastAsia"/>
                      <w:kern w:val="0"/>
                      <w:szCs w:val="21"/>
                      <w:lang w:bidi="ar"/>
                    </w:rPr>
                    <w:t>2</w:t>
                  </w:r>
                </w:p>
              </w:tc>
              <w:tc>
                <w:tcPr>
                  <w:tcW w:w="4037" w:type="dxa"/>
                  <w:vAlign w:val="center"/>
                </w:tcPr>
                <w:p w14:paraId="48781D51">
                  <w:pPr>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kern w:val="0"/>
                      <w:szCs w:val="21"/>
                      <w:lang w:bidi="ar"/>
                    </w:rPr>
                  </w:pPr>
                  <w:r>
                    <w:rPr>
                      <w:rFonts w:hint="eastAsia"/>
                      <w:kern w:val="0"/>
                      <w:szCs w:val="21"/>
                      <w:lang w:bidi="ar"/>
                    </w:rPr>
                    <w:t>不得选在生态保护红线区域、永久基本农田集中区域和其他需要特别保护的区域内。</w:t>
                  </w:r>
                </w:p>
              </w:tc>
              <w:tc>
                <w:tcPr>
                  <w:tcW w:w="3629" w:type="dxa"/>
                  <w:vAlign w:val="center"/>
                </w:tcPr>
                <w:p w14:paraId="6228D6AC">
                  <w:pPr>
                    <w:widowControl/>
                    <w:jc w:val="center"/>
                    <w:rPr>
                      <w:kern w:val="0"/>
                      <w:szCs w:val="21"/>
                      <w:lang w:bidi="ar"/>
                    </w:rPr>
                  </w:pPr>
                  <w:r>
                    <w:rPr>
                      <w:rFonts w:hint="eastAsia"/>
                      <w:kern w:val="0"/>
                      <w:szCs w:val="21"/>
                      <w:lang w:bidi="ar"/>
                    </w:rPr>
                    <w:t>本项目排土场选址不涉及生态保护红线区域、永久基本农田集中区域和其他需要特别保护的区域内</w:t>
                  </w:r>
                </w:p>
              </w:tc>
            </w:tr>
            <w:tr w14:paraId="738B5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1" w:type="dxa"/>
                  <w:vAlign w:val="center"/>
                </w:tcPr>
                <w:p w14:paraId="77BBE21F">
                  <w:pPr>
                    <w:widowControl/>
                    <w:jc w:val="center"/>
                    <w:rPr>
                      <w:kern w:val="0"/>
                      <w:szCs w:val="21"/>
                      <w:lang w:bidi="ar"/>
                    </w:rPr>
                  </w:pPr>
                  <w:r>
                    <w:rPr>
                      <w:rFonts w:hint="eastAsia"/>
                      <w:kern w:val="0"/>
                      <w:szCs w:val="21"/>
                      <w:lang w:bidi="ar"/>
                    </w:rPr>
                    <w:t>3</w:t>
                  </w:r>
                </w:p>
              </w:tc>
              <w:tc>
                <w:tcPr>
                  <w:tcW w:w="4037" w:type="dxa"/>
                  <w:vAlign w:val="center"/>
                </w:tcPr>
                <w:p w14:paraId="35FAE576">
                  <w:pPr>
                    <w:widowControl/>
                    <w:jc w:val="center"/>
                    <w:rPr>
                      <w:kern w:val="0"/>
                      <w:szCs w:val="21"/>
                      <w:lang w:bidi="ar"/>
                    </w:rPr>
                  </w:pPr>
                  <w:r>
                    <w:rPr>
                      <w:rFonts w:hint="eastAsia"/>
                      <w:kern w:val="0"/>
                      <w:szCs w:val="21"/>
                      <w:lang w:bidi="ar"/>
                    </w:rPr>
                    <w:t>应避开活动断层、溶洞区、天然滑坡或泥石流影响区以及湿地等区域</w:t>
                  </w:r>
                </w:p>
              </w:tc>
              <w:tc>
                <w:tcPr>
                  <w:tcW w:w="3629" w:type="dxa"/>
                  <w:vAlign w:val="center"/>
                </w:tcPr>
                <w:p w14:paraId="6EC2BC1B">
                  <w:pPr>
                    <w:widowControl/>
                    <w:jc w:val="center"/>
                    <w:rPr>
                      <w:kern w:val="0"/>
                      <w:szCs w:val="21"/>
                      <w:lang w:bidi="ar"/>
                    </w:rPr>
                  </w:pPr>
                  <w:r>
                    <w:rPr>
                      <w:rFonts w:hint="eastAsia"/>
                      <w:kern w:val="0"/>
                      <w:szCs w:val="21"/>
                      <w:lang w:bidi="ar"/>
                    </w:rPr>
                    <w:t>本项目排土场不在活动断层、溶洞区、天然滑坡或泥石流影响区以及湿地等区域</w:t>
                  </w:r>
                </w:p>
              </w:tc>
            </w:tr>
            <w:tr w14:paraId="58578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1" w:type="dxa"/>
                  <w:vAlign w:val="center"/>
                </w:tcPr>
                <w:p w14:paraId="6EF65CFC">
                  <w:pPr>
                    <w:widowControl/>
                    <w:jc w:val="center"/>
                    <w:rPr>
                      <w:kern w:val="0"/>
                      <w:szCs w:val="21"/>
                      <w:lang w:bidi="ar"/>
                    </w:rPr>
                  </w:pPr>
                  <w:r>
                    <w:rPr>
                      <w:rFonts w:hint="eastAsia"/>
                      <w:kern w:val="0"/>
                      <w:szCs w:val="21"/>
                      <w:lang w:bidi="ar"/>
                    </w:rPr>
                    <w:t>4</w:t>
                  </w:r>
                </w:p>
              </w:tc>
              <w:tc>
                <w:tcPr>
                  <w:tcW w:w="4037" w:type="dxa"/>
                  <w:vAlign w:val="center"/>
                </w:tcPr>
                <w:p w14:paraId="024D7644">
                  <w:pPr>
                    <w:widowControl/>
                    <w:jc w:val="center"/>
                    <w:rPr>
                      <w:kern w:val="0"/>
                      <w:szCs w:val="21"/>
                      <w:lang w:bidi="ar"/>
                    </w:rPr>
                  </w:pPr>
                  <w:r>
                    <w:rPr>
                      <w:rFonts w:hint="eastAsia"/>
                      <w:kern w:val="0"/>
                      <w:szCs w:val="21"/>
                      <w:lang w:bidi="ar"/>
                    </w:rPr>
                    <w:t>不得选在江河、湖泊、运河、渠道、水库最高水位线以下的滩地和岸坡，以及国家和地方长远规划中的水库等人工蓄水设施的淹没区和保护区之内</w:t>
                  </w:r>
                </w:p>
              </w:tc>
              <w:tc>
                <w:tcPr>
                  <w:tcW w:w="3629" w:type="dxa"/>
                  <w:vAlign w:val="center"/>
                </w:tcPr>
                <w:p w14:paraId="2E8CC8B9">
                  <w:pPr>
                    <w:widowControl/>
                    <w:jc w:val="center"/>
                    <w:rPr>
                      <w:kern w:val="0"/>
                      <w:szCs w:val="21"/>
                      <w:lang w:bidi="ar"/>
                    </w:rPr>
                  </w:pPr>
                  <w:r>
                    <w:rPr>
                      <w:rFonts w:hint="eastAsia"/>
                      <w:kern w:val="0"/>
                      <w:szCs w:val="21"/>
                      <w:lang w:bidi="ar"/>
                    </w:rPr>
                    <w:t>本项目排土场不在江河、湖泊、运河、渠道、水库最高水位线以下的滩地和岸坡，以及国家和地方长远规划中的水库等人工蓄水设施的淹没区和保护区之内</w:t>
                  </w:r>
                </w:p>
              </w:tc>
            </w:tr>
          </w:tbl>
          <w:p w14:paraId="635B674E">
            <w:pPr>
              <w:widowControl/>
              <w:spacing w:line="480" w:lineRule="exact"/>
              <w:ind w:firstLine="480" w:firstLineChars="200"/>
              <w:rPr>
                <w:bCs/>
                <w:kern w:val="0"/>
                <w:sz w:val="24"/>
                <w:lang w:bidi="ar"/>
              </w:rPr>
            </w:pPr>
            <w:r>
              <w:rPr>
                <w:rFonts w:hint="eastAsia"/>
                <w:bCs/>
                <w:kern w:val="0"/>
                <w:sz w:val="24"/>
                <w:lang w:val="en-US" w:eastAsia="zh-CN" w:bidi="ar"/>
              </w:rPr>
              <w:t>排土场</w:t>
            </w:r>
            <w:r>
              <w:rPr>
                <w:rFonts w:hint="eastAsia"/>
                <w:bCs/>
                <w:kern w:val="0"/>
                <w:sz w:val="24"/>
                <w:lang w:bidi="ar"/>
              </w:rPr>
              <w:t>选址合理性分析</w:t>
            </w:r>
          </w:p>
          <w:p w14:paraId="6490E262">
            <w:pPr>
              <w:widowControl/>
              <w:spacing w:line="480" w:lineRule="exact"/>
              <w:ind w:firstLine="480" w:firstLineChars="200"/>
              <w:rPr>
                <w:kern w:val="0"/>
                <w:sz w:val="24"/>
                <w:lang w:bidi="ar"/>
              </w:rPr>
            </w:pPr>
            <w:r>
              <w:rPr>
                <w:rFonts w:hint="eastAsia"/>
                <w:kern w:val="0"/>
                <w:sz w:val="24"/>
                <w:lang w:val="en-US" w:eastAsia="zh-CN" w:bidi="ar"/>
              </w:rPr>
              <w:t>本</w:t>
            </w:r>
            <w:r>
              <w:rPr>
                <w:rFonts w:hint="eastAsia"/>
                <w:kern w:val="0"/>
                <w:sz w:val="24"/>
                <w:lang w:bidi="ar"/>
              </w:rPr>
              <w:t>项目</w:t>
            </w:r>
            <w:r>
              <w:rPr>
                <w:rFonts w:hint="eastAsia"/>
                <w:kern w:val="0"/>
                <w:sz w:val="24"/>
                <w:lang w:val="en-US" w:eastAsia="zh-CN" w:bidi="ar"/>
              </w:rPr>
              <w:t>现有</w:t>
            </w:r>
            <w:r>
              <w:rPr>
                <w:rFonts w:hint="eastAsia"/>
                <w:bCs/>
                <w:kern w:val="0"/>
                <w:sz w:val="24"/>
                <w:lang w:val="en-US" w:eastAsia="zh-CN" w:bidi="ar"/>
              </w:rPr>
              <w:t>排土场</w:t>
            </w:r>
            <w:r>
              <w:rPr>
                <w:rFonts w:hint="eastAsia"/>
                <w:kern w:val="0"/>
                <w:sz w:val="24"/>
                <w:lang w:bidi="ar"/>
              </w:rPr>
              <w:t>周边无村庄等敏感目标，排土场不涉及饮用水水源保护区、自然保护区、风景名胜区、森林公园等环境敏感区，不占用基本农田，不在生态保护红线范围内，不在城镇开发边界范围内，通过生态恢复，不会对周边生态环境产生影响，因此，</w:t>
            </w:r>
            <w:r>
              <w:rPr>
                <w:rFonts w:hint="eastAsia"/>
                <w:bCs/>
                <w:kern w:val="0"/>
                <w:sz w:val="24"/>
                <w:lang w:val="en-US" w:eastAsia="zh-CN" w:bidi="ar"/>
              </w:rPr>
              <w:t>排土场</w:t>
            </w:r>
            <w:r>
              <w:rPr>
                <w:rFonts w:hint="eastAsia"/>
                <w:kern w:val="0"/>
                <w:sz w:val="24"/>
                <w:lang w:bidi="ar"/>
              </w:rPr>
              <w:t>选址合理。</w:t>
            </w:r>
          </w:p>
          <w:p w14:paraId="78BB760F">
            <w:pPr>
              <w:pStyle w:val="7"/>
              <w:ind w:left="0" w:leftChars="0"/>
            </w:pPr>
          </w:p>
          <w:p w14:paraId="4A2DBD4A"/>
          <w:p w14:paraId="06F7D2A8">
            <w:pPr>
              <w:pStyle w:val="13"/>
              <w:ind w:right="25" w:firstLine="461"/>
            </w:pPr>
          </w:p>
          <w:p w14:paraId="46CBC796">
            <w:pPr>
              <w:pStyle w:val="14"/>
            </w:pPr>
          </w:p>
          <w:p w14:paraId="5F28F514">
            <w:pPr>
              <w:pStyle w:val="14"/>
            </w:pPr>
          </w:p>
          <w:p w14:paraId="7A68948D">
            <w:pPr>
              <w:pStyle w:val="14"/>
            </w:pPr>
          </w:p>
          <w:p w14:paraId="32323522">
            <w:pPr>
              <w:pStyle w:val="14"/>
            </w:pPr>
          </w:p>
          <w:p w14:paraId="296B0F98">
            <w:pPr>
              <w:pStyle w:val="14"/>
            </w:pPr>
          </w:p>
          <w:p w14:paraId="307B5434">
            <w:pPr>
              <w:pStyle w:val="14"/>
            </w:pPr>
          </w:p>
          <w:p w14:paraId="1F3849DC">
            <w:pPr>
              <w:pStyle w:val="14"/>
            </w:pPr>
          </w:p>
          <w:p w14:paraId="68332B3D">
            <w:pPr>
              <w:pStyle w:val="14"/>
            </w:pPr>
          </w:p>
          <w:p w14:paraId="60C030ED">
            <w:pPr>
              <w:pStyle w:val="14"/>
            </w:pPr>
          </w:p>
          <w:p w14:paraId="74F09A89">
            <w:pPr>
              <w:pStyle w:val="14"/>
            </w:pPr>
          </w:p>
          <w:p w14:paraId="7E43F0B9">
            <w:pPr>
              <w:pStyle w:val="14"/>
            </w:pPr>
          </w:p>
          <w:p w14:paraId="6EF75CC7">
            <w:pPr>
              <w:pStyle w:val="14"/>
              <w:ind w:firstLine="0" w:firstLineChars="0"/>
            </w:pPr>
          </w:p>
          <w:p w14:paraId="7C95AA8B">
            <w:pPr>
              <w:pStyle w:val="14"/>
            </w:pPr>
          </w:p>
          <w:p w14:paraId="4F165FB8">
            <w:pPr>
              <w:pStyle w:val="14"/>
            </w:pPr>
          </w:p>
          <w:p w14:paraId="12111A4A">
            <w:pPr>
              <w:pStyle w:val="14"/>
            </w:pPr>
          </w:p>
          <w:p w14:paraId="02D3F6A9">
            <w:pPr>
              <w:pStyle w:val="14"/>
              <w:tabs>
                <w:tab w:val="left" w:pos="3700"/>
              </w:tabs>
              <w:ind w:firstLine="0" w:firstLineChars="0"/>
            </w:pPr>
            <w:r>
              <w:tab/>
            </w:r>
          </w:p>
        </w:tc>
      </w:tr>
    </w:tbl>
    <w:p w14:paraId="0936C478">
      <w:pPr>
        <w:pStyle w:val="13"/>
        <w:ind w:right="25" w:firstLine="461"/>
        <w:sectPr>
          <w:pgSz w:w="11906" w:h="16838"/>
          <w:pgMar w:top="1440" w:right="1800" w:bottom="1440" w:left="1800" w:header="851" w:footer="1077" w:gutter="0"/>
          <w:cols w:space="720" w:num="1"/>
          <w:docGrid w:linePitch="312" w:charSpace="0"/>
        </w:sectPr>
      </w:pPr>
    </w:p>
    <w:p w14:paraId="059754F5">
      <w:pPr>
        <w:pStyle w:val="21"/>
        <w:jc w:val="center"/>
        <w:outlineLvl w:val="0"/>
        <w:rPr>
          <w:rFonts w:ascii="黑体" w:hAnsi="黑体" w:eastAsia="黑体"/>
          <w:snapToGrid w:val="0"/>
          <w:sz w:val="30"/>
          <w:szCs w:val="30"/>
        </w:rPr>
      </w:pPr>
      <w:r>
        <w:rPr>
          <w:rFonts w:hint="eastAsia" w:ascii="黑体" w:hAnsi="黑体" w:eastAsia="黑体"/>
          <w:snapToGrid w:val="0"/>
          <w:sz w:val="30"/>
          <w:szCs w:val="30"/>
        </w:rPr>
        <w:t>五、主要生态环境保护措施</w:t>
      </w:r>
    </w:p>
    <w:tbl>
      <w:tblPr>
        <w:tblStyle w:val="29"/>
        <w:tblW w:w="921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822"/>
        <w:gridCol w:w="8388"/>
      </w:tblGrid>
      <w:tr w14:paraId="685C5EB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67" w:hRule="atLeast"/>
          <w:jc w:val="center"/>
        </w:trPr>
        <w:tc>
          <w:tcPr>
            <w:tcW w:w="822" w:type="dxa"/>
            <w:tcMar>
              <w:left w:w="28" w:type="dxa"/>
              <w:right w:w="28" w:type="dxa"/>
            </w:tcMar>
            <w:vAlign w:val="center"/>
          </w:tcPr>
          <w:p w14:paraId="4BB1BB7C">
            <w:pPr>
              <w:adjustRightInd w:val="0"/>
              <w:snapToGrid w:val="0"/>
              <w:jc w:val="center"/>
              <w:rPr>
                <w:rFonts w:ascii="宋体" w:hAnsi="宋体"/>
                <w:bCs/>
                <w:color w:val="000000" w:themeColor="text1"/>
                <w:szCs w:val="21"/>
                <w14:textFill>
                  <w14:solidFill>
                    <w14:schemeClr w14:val="tx1"/>
                  </w14:solidFill>
                </w14:textFill>
              </w:rPr>
            </w:pPr>
            <w:r>
              <w:rPr>
                <w:rFonts w:hint="eastAsia" w:ascii="宋体" w:hAnsi="宋体" w:cs="宋体"/>
                <w:bCs/>
                <w:color w:val="000000" w:themeColor="text1"/>
                <w:spacing w:val="10"/>
                <w:sz w:val="24"/>
                <w14:textFill>
                  <w14:solidFill>
                    <w14:schemeClr w14:val="tx1"/>
                  </w14:solidFill>
                </w14:textFill>
              </w:rPr>
              <w:t>施工期生态环境保护措施</w:t>
            </w:r>
          </w:p>
        </w:tc>
        <w:tc>
          <w:tcPr>
            <w:tcW w:w="8388" w:type="dxa"/>
          </w:tcPr>
          <w:p w14:paraId="052F6C9E">
            <w:pPr>
              <w:keepNext w:val="0"/>
              <w:keepLines w:val="0"/>
              <w:pageBreakBefore w:val="0"/>
              <w:widowControl/>
              <w:kinsoku/>
              <w:wordWrap/>
              <w:overflowPunct/>
              <w:topLinePunct w:val="0"/>
              <w:autoSpaceDE/>
              <w:autoSpaceDN/>
              <w:bidi w:val="0"/>
              <w:adjustRightInd/>
              <w:snapToGrid/>
              <w:spacing w:line="480" w:lineRule="exact"/>
              <w:textAlignment w:val="auto"/>
              <w:rPr>
                <w:b/>
                <w:bCs/>
                <w:kern w:val="0"/>
                <w:sz w:val="24"/>
                <w:highlight w:val="none"/>
                <w:lang w:bidi="ar"/>
              </w:rPr>
            </w:pPr>
            <w:r>
              <w:rPr>
                <w:rFonts w:hint="eastAsia"/>
                <w:b/>
                <w:bCs/>
                <w:kern w:val="0"/>
                <w:sz w:val="24"/>
                <w:highlight w:val="none"/>
                <w:lang w:bidi="ar"/>
              </w:rPr>
              <w:t>一、</w:t>
            </w:r>
            <w:r>
              <w:rPr>
                <w:b/>
                <w:bCs/>
                <w:kern w:val="0"/>
                <w:sz w:val="24"/>
                <w:highlight w:val="none"/>
                <w:lang w:bidi="ar"/>
              </w:rPr>
              <w:t>施工期生态环境保护措施</w:t>
            </w:r>
          </w:p>
          <w:p w14:paraId="2F2D4609">
            <w:pPr>
              <w:keepNext w:val="0"/>
              <w:keepLines w:val="0"/>
              <w:pageBreakBefore w:val="0"/>
              <w:widowControl/>
              <w:kinsoku/>
              <w:wordWrap/>
              <w:overflowPunct/>
              <w:topLinePunct w:val="0"/>
              <w:autoSpaceDE/>
              <w:autoSpaceDN/>
              <w:bidi w:val="0"/>
              <w:adjustRightInd/>
              <w:snapToGrid/>
              <w:spacing w:line="480" w:lineRule="exact"/>
              <w:ind w:firstLine="482" w:firstLineChars="200"/>
              <w:textAlignment w:val="auto"/>
              <w:rPr>
                <w:b/>
                <w:bCs/>
                <w:kern w:val="0"/>
                <w:sz w:val="24"/>
                <w:highlight w:val="none"/>
                <w:lang w:bidi="ar"/>
              </w:rPr>
            </w:pPr>
            <w:r>
              <w:rPr>
                <w:rFonts w:hint="eastAsia"/>
                <w:b/>
                <w:bCs/>
                <w:kern w:val="0"/>
                <w:sz w:val="24"/>
                <w:highlight w:val="none"/>
                <w:lang w:bidi="ar"/>
              </w:rPr>
              <w:t>1.</w:t>
            </w:r>
            <w:r>
              <w:rPr>
                <w:b/>
                <w:bCs/>
                <w:kern w:val="0"/>
                <w:sz w:val="24"/>
                <w:highlight w:val="none"/>
                <w:lang w:bidi="ar"/>
              </w:rPr>
              <w:t>对</w:t>
            </w:r>
            <w:r>
              <w:rPr>
                <w:rFonts w:hint="eastAsia"/>
                <w:b/>
                <w:bCs/>
                <w:kern w:val="0"/>
                <w:sz w:val="24"/>
                <w:highlight w:val="none"/>
                <w:lang w:bidi="ar"/>
              </w:rPr>
              <w:t>土地资源占用</w:t>
            </w:r>
            <w:r>
              <w:rPr>
                <w:b/>
                <w:bCs/>
                <w:kern w:val="0"/>
                <w:sz w:val="24"/>
                <w:highlight w:val="none"/>
                <w:lang w:bidi="ar"/>
              </w:rPr>
              <w:t>的</w:t>
            </w:r>
            <w:r>
              <w:rPr>
                <w:rFonts w:hint="eastAsia"/>
                <w:b/>
                <w:bCs/>
                <w:kern w:val="0"/>
                <w:sz w:val="24"/>
                <w:highlight w:val="none"/>
                <w:lang w:bidi="ar"/>
              </w:rPr>
              <w:t>保护措施</w:t>
            </w:r>
          </w:p>
          <w:p w14:paraId="1BA5A450">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kern w:val="0"/>
                <w:sz w:val="24"/>
                <w:highlight w:val="none"/>
                <w:lang w:bidi="ar"/>
              </w:rPr>
            </w:pPr>
            <w:r>
              <w:rPr>
                <w:rFonts w:hint="eastAsia"/>
                <w:kern w:val="0"/>
                <w:sz w:val="24"/>
                <w:highlight w:val="none"/>
                <w:lang w:bidi="ar"/>
              </w:rPr>
              <w:t>（1）合理安排施工顺序，尽量分段开挖、铺设、及时回填，减少施工对土壤的扰动，尽力减少废石堆放而压占周边地表；</w:t>
            </w:r>
          </w:p>
          <w:p w14:paraId="7FF45557">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kern w:val="0"/>
                <w:sz w:val="24"/>
                <w:highlight w:val="none"/>
                <w:lang w:bidi="ar"/>
              </w:rPr>
            </w:pPr>
            <w:r>
              <w:rPr>
                <w:rFonts w:hint="eastAsia"/>
                <w:kern w:val="0"/>
                <w:sz w:val="24"/>
                <w:highlight w:val="none"/>
                <w:lang w:bidi="ar"/>
              </w:rPr>
              <w:t>（2）施工用地应合理规划，确定施工区域范围，不得随意扩大施工区域范围，减少不必要的占地，防止植被破坏。</w:t>
            </w:r>
          </w:p>
          <w:p w14:paraId="3A4E8EB4">
            <w:pPr>
              <w:keepNext w:val="0"/>
              <w:keepLines w:val="0"/>
              <w:pageBreakBefore w:val="0"/>
              <w:widowControl/>
              <w:kinsoku/>
              <w:wordWrap/>
              <w:overflowPunct/>
              <w:topLinePunct w:val="0"/>
              <w:autoSpaceDE/>
              <w:autoSpaceDN/>
              <w:bidi w:val="0"/>
              <w:adjustRightInd/>
              <w:snapToGrid/>
              <w:spacing w:line="480" w:lineRule="exact"/>
              <w:ind w:firstLine="482" w:firstLineChars="200"/>
              <w:textAlignment w:val="auto"/>
              <w:rPr>
                <w:b/>
                <w:bCs/>
                <w:kern w:val="0"/>
                <w:sz w:val="24"/>
                <w:highlight w:val="none"/>
                <w:lang w:bidi="ar"/>
              </w:rPr>
            </w:pPr>
            <w:r>
              <w:rPr>
                <w:rFonts w:hint="eastAsia"/>
                <w:b/>
                <w:bCs/>
                <w:kern w:val="0"/>
                <w:sz w:val="24"/>
                <w:highlight w:val="none"/>
                <w:lang w:bidi="ar"/>
              </w:rPr>
              <w:t>2.</w:t>
            </w:r>
            <w:r>
              <w:rPr>
                <w:b/>
                <w:bCs/>
                <w:kern w:val="0"/>
                <w:sz w:val="24"/>
                <w:highlight w:val="none"/>
                <w:lang w:bidi="ar"/>
              </w:rPr>
              <w:t>对</w:t>
            </w:r>
            <w:r>
              <w:rPr>
                <w:rFonts w:hint="eastAsia"/>
                <w:b/>
                <w:bCs/>
                <w:kern w:val="0"/>
                <w:sz w:val="24"/>
                <w:highlight w:val="none"/>
                <w:lang w:bidi="ar"/>
              </w:rPr>
              <w:t>陆生生态保护的措施</w:t>
            </w:r>
          </w:p>
          <w:p w14:paraId="01C141B8">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kern w:val="0"/>
                <w:sz w:val="24"/>
                <w:highlight w:val="none"/>
                <w:lang w:bidi="ar"/>
              </w:rPr>
            </w:pPr>
            <w:r>
              <w:rPr>
                <w:rFonts w:hint="eastAsia"/>
                <w:kern w:val="0"/>
                <w:sz w:val="24"/>
                <w:highlight w:val="none"/>
                <w:lang w:bidi="ar"/>
              </w:rPr>
              <w:t>（1）</w:t>
            </w:r>
            <w:r>
              <w:rPr>
                <w:kern w:val="0"/>
                <w:sz w:val="24"/>
                <w:highlight w:val="none"/>
                <w:lang w:bidi="ar"/>
              </w:rPr>
              <w:t>项目施工管理过程中应加强管理，要遵循尽量少占地、少破坏植被的原则，施工时严格划定施工区域，将临时占地面积控制在最低限度，以免增大土壤及植被破坏的面积。</w:t>
            </w:r>
          </w:p>
          <w:p w14:paraId="41121C20">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kern w:val="0"/>
                <w:sz w:val="24"/>
                <w:highlight w:val="none"/>
                <w:lang w:bidi="ar"/>
              </w:rPr>
            </w:pPr>
            <w:r>
              <w:rPr>
                <w:rFonts w:hint="eastAsia"/>
                <w:kern w:val="0"/>
                <w:sz w:val="24"/>
                <w:highlight w:val="none"/>
                <w:lang w:bidi="ar"/>
              </w:rPr>
              <w:t>（2）</w:t>
            </w:r>
            <w:r>
              <w:rPr>
                <w:kern w:val="0"/>
                <w:sz w:val="24"/>
                <w:highlight w:val="none"/>
                <w:lang w:bidi="ar"/>
              </w:rPr>
              <w:t>矿山应坚守矿界开采。</w:t>
            </w:r>
          </w:p>
          <w:p w14:paraId="59C1F74F">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kern w:val="0"/>
                <w:sz w:val="24"/>
                <w:highlight w:val="none"/>
                <w:lang w:bidi="ar"/>
              </w:rPr>
            </w:pPr>
            <w:r>
              <w:rPr>
                <w:rFonts w:hint="eastAsia"/>
                <w:kern w:val="0"/>
                <w:sz w:val="24"/>
                <w:highlight w:val="none"/>
                <w:lang w:bidi="ar"/>
              </w:rPr>
              <w:t>（3）</w:t>
            </w:r>
            <w:r>
              <w:rPr>
                <w:kern w:val="0"/>
                <w:sz w:val="24"/>
                <w:highlight w:val="none"/>
                <w:lang w:bidi="ar"/>
              </w:rPr>
              <w:t>对于临时占地，竣工后要进行土地复垦和植被恢复，要平整、翻耕、疏松机械碾压后的土地，进行播草植树。</w:t>
            </w:r>
          </w:p>
          <w:p w14:paraId="3E8861AB">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kern w:val="0"/>
                <w:sz w:val="24"/>
                <w:highlight w:val="none"/>
                <w:lang w:bidi="ar"/>
              </w:rPr>
            </w:pPr>
            <w:r>
              <w:rPr>
                <w:rFonts w:hint="eastAsia"/>
                <w:kern w:val="0"/>
                <w:sz w:val="24"/>
                <w:highlight w:val="none"/>
                <w:lang w:bidi="ar"/>
              </w:rPr>
              <w:t>（4）</w:t>
            </w:r>
            <w:r>
              <w:rPr>
                <w:kern w:val="0"/>
                <w:sz w:val="24"/>
                <w:highlight w:val="none"/>
                <w:lang w:bidi="ar"/>
              </w:rPr>
              <w:t>对于施工过程中破坏的乔木、灌木，要制定补偿措施，损失多少必须补偿多少，原地补充或异地补充。</w:t>
            </w:r>
          </w:p>
          <w:p w14:paraId="719F130C">
            <w:pPr>
              <w:keepNext w:val="0"/>
              <w:keepLines w:val="0"/>
              <w:pageBreakBefore w:val="0"/>
              <w:widowControl/>
              <w:kinsoku/>
              <w:wordWrap/>
              <w:overflowPunct/>
              <w:topLinePunct w:val="0"/>
              <w:autoSpaceDE/>
              <w:autoSpaceDN/>
              <w:bidi w:val="0"/>
              <w:adjustRightInd/>
              <w:snapToGrid/>
              <w:spacing w:line="480" w:lineRule="exact"/>
              <w:ind w:firstLine="482" w:firstLineChars="200"/>
              <w:textAlignment w:val="auto"/>
              <w:rPr>
                <w:b/>
                <w:bCs/>
                <w:kern w:val="0"/>
                <w:sz w:val="24"/>
                <w:highlight w:val="none"/>
                <w:lang w:bidi="ar"/>
              </w:rPr>
            </w:pPr>
            <w:r>
              <w:rPr>
                <w:rFonts w:hint="eastAsia"/>
                <w:b/>
                <w:bCs/>
                <w:kern w:val="0"/>
                <w:sz w:val="24"/>
                <w:highlight w:val="none"/>
                <w:lang w:bidi="ar"/>
              </w:rPr>
              <w:t>3.陆生动物生态保护措施</w:t>
            </w:r>
          </w:p>
          <w:p w14:paraId="67D94B52">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kern w:val="0"/>
                <w:sz w:val="24"/>
                <w:highlight w:val="none"/>
                <w:lang w:bidi="ar"/>
              </w:rPr>
            </w:pPr>
            <w:r>
              <w:rPr>
                <w:rFonts w:hint="eastAsia"/>
                <w:kern w:val="0"/>
                <w:sz w:val="24"/>
                <w:highlight w:val="none"/>
                <w:lang w:bidi="ar"/>
              </w:rPr>
              <w:t>（1）</w:t>
            </w:r>
            <w:r>
              <w:rPr>
                <w:rFonts w:hint="eastAsia"/>
                <w:sz w:val="24"/>
                <w:highlight w:val="none"/>
                <w:lang w:bidi="ar"/>
              </w:rPr>
              <w:t>施工单位进入施工区域之前必须对施工人员进行培训教育，加强对施工人员生态保护的宣传教育；</w:t>
            </w:r>
          </w:p>
          <w:p w14:paraId="3A6CAB25">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kern w:val="0"/>
                <w:sz w:val="24"/>
                <w:highlight w:val="none"/>
                <w:lang w:bidi="ar"/>
              </w:rPr>
            </w:pPr>
            <w:r>
              <w:rPr>
                <w:rFonts w:hint="eastAsia"/>
                <w:kern w:val="0"/>
                <w:sz w:val="24"/>
                <w:highlight w:val="none"/>
                <w:lang w:bidi="ar"/>
              </w:rPr>
              <w:t>（2）</w:t>
            </w:r>
            <w:r>
              <w:rPr>
                <w:rFonts w:hint="eastAsia"/>
                <w:sz w:val="24"/>
                <w:highlight w:val="none"/>
                <w:lang w:bidi="ar"/>
              </w:rPr>
              <w:t>优化施工路线，工程物料运输路线以已建道路和规划的道路为主，避免车辆惊扰栖息的动物。</w:t>
            </w:r>
          </w:p>
          <w:p w14:paraId="606DB17E">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kern w:val="0"/>
                <w:sz w:val="24"/>
                <w:highlight w:val="none"/>
                <w:lang w:bidi="ar"/>
              </w:rPr>
            </w:pPr>
            <w:r>
              <w:rPr>
                <w:rFonts w:hint="eastAsia"/>
                <w:kern w:val="0"/>
                <w:sz w:val="24"/>
                <w:highlight w:val="none"/>
                <w:lang w:bidi="ar"/>
              </w:rPr>
              <w:t>（3）</w:t>
            </w:r>
            <w:r>
              <w:rPr>
                <w:rFonts w:hint="eastAsia"/>
                <w:sz w:val="24"/>
                <w:highlight w:val="none"/>
                <w:lang w:bidi="ar"/>
              </w:rPr>
              <w:t>工程施工期应边施工边恢复植被，植被恢复过程中优先选用本地土著植物并减少人为活动的痕迹，从而使该地区的动物尽快恢复到施工前的种群状态。</w:t>
            </w:r>
          </w:p>
          <w:p w14:paraId="71E80148">
            <w:pPr>
              <w:keepNext w:val="0"/>
              <w:keepLines w:val="0"/>
              <w:pageBreakBefore w:val="0"/>
              <w:widowControl/>
              <w:kinsoku/>
              <w:wordWrap/>
              <w:overflowPunct/>
              <w:topLinePunct w:val="0"/>
              <w:autoSpaceDE/>
              <w:autoSpaceDN/>
              <w:bidi w:val="0"/>
              <w:adjustRightInd/>
              <w:snapToGrid/>
              <w:spacing w:line="480" w:lineRule="exact"/>
              <w:ind w:firstLine="482" w:firstLineChars="200"/>
              <w:textAlignment w:val="auto"/>
              <w:rPr>
                <w:kern w:val="0"/>
                <w:sz w:val="24"/>
                <w:highlight w:val="none"/>
                <w:lang w:bidi="ar"/>
              </w:rPr>
            </w:pPr>
            <w:r>
              <w:rPr>
                <w:rFonts w:hint="eastAsia"/>
                <w:b/>
                <w:bCs/>
                <w:kern w:val="0"/>
                <w:sz w:val="24"/>
                <w:highlight w:val="none"/>
                <w:lang w:bidi="ar"/>
              </w:rPr>
              <w:t>4.对水土流失的保护措施</w:t>
            </w:r>
          </w:p>
          <w:p w14:paraId="5EF8B19F">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kern w:val="0"/>
                <w:sz w:val="24"/>
                <w:highlight w:val="none"/>
                <w:lang w:bidi="ar"/>
              </w:rPr>
            </w:pPr>
            <w:r>
              <w:rPr>
                <w:rFonts w:hint="eastAsia"/>
                <w:kern w:val="0"/>
                <w:sz w:val="24"/>
                <w:highlight w:val="none"/>
                <w:lang w:bidi="ar"/>
              </w:rPr>
              <w:t>（1）对于施工过程中产生的废弃土石，要合理处置，不得将废弃土石任意裸露处置，以免遇强降雨引起严重的水土流失，以及发生滑坡和泥石流等灾害。</w:t>
            </w:r>
          </w:p>
          <w:p w14:paraId="3506CDCB">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kern w:val="0"/>
                <w:sz w:val="24"/>
                <w:highlight w:val="none"/>
                <w:lang w:bidi="ar"/>
              </w:rPr>
            </w:pPr>
            <w:r>
              <w:rPr>
                <w:rFonts w:hint="eastAsia"/>
                <w:kern w:val="0"/>
                <w:sz w:val="24"/>
                <w:highlight w:val="none"/>
                <w:lang w:bidi="ar"/>
              </w:rPr>
              <w:t>（2）尽量做到减少土方开挖工程量、力求做到挖填方平衡，并注意随挖随填、及时填压夯实，将水土流失减少到最低限度；</w:t>
            </w:r>
          </w:p>
          <w:p w14:paraId="79419FF0">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kern w:val="0"/>
                <w:sz w:val="24"/>
                <w:highlight w:val="none"/>
                <w:lang w:bidi="ar"/>
              </w:rPr>
            </w:pPr>
            <w:r>
              <w:rPr>
                <w:rFonts w:hint="eastAsia"/>
                <w:kern w:val="0"/>
                <w:sz w:val="24"/>
                <w:highlight w:val="none"/>
                <w:lang w:bidi="ar"/>
              </w:rPr>
              <w:t>（3）对地面施工过程中的施工破坏区，要及时平整土地，并种植适宜的植物，以防止发生新的土壤侵蚀。</w:t>
            </w:r>
          </w:p>
          <w:p w14:paraId="28F4FF82">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kern w:val="0"/>
                <w:sz w:val="24"/>
                <w:highlight w:val="none"/>
                <w:lang w:bidi="ar"/>
              </w:rPr>
            </w:pPr>
            <w:r>
              <w:rPr>
                <w:kern w:val="0"/>
                <w:sz w:val="24"/>
                <w:highlight w:val="none"/>
                <w:lang w:bidi="ar"/>
              </w:rPr>
              <w:t>采取以上措施后，项目施工期对水土流失的影响能够得到有效控制。</w:t>
            </w:r>
          </w:p>
          <w:p w14:paraId="5B14D163">
            <w:pPr>
              <w:keepNext w:val="0"/>
              <w:keepLines w:val="0"/>
              <w:pageBreakBefore w:val="0"/>
              <w:widowControl/>
              <w:kinsoku/>
              <w:wordWrap/>
              <w:overflowPunct/>
              <w:topLinePunct w:val="0"/>
              <w:autoSpaceDE/>
              <w:autoSpaceDN/>
              <w:bidi w:val="0"/>
              <w:adjustRightInd/>
              <w:snapToGrid/>
              <w:spacing w:line="480" w:lineRule="exact"/>
              <w:ind w:firstLine="482" w:firstLineChars="200"/>
              <w:textAlignment w:val="auto"/>
              <w:rPr>
                <w:kern w:val="0"/>
                <w:sz w:val="24"/>
                <w:highlight w:val="none"/>
                <w:lang w:bidi="ar"/>
              </w:rPr>
            </w:pPr>
            <w:r>
              <w:rPr>
                <w:rFonts w:hint="eastAsia"/>
                <w:b/>
                <w:bCs/>
                <w:kern w:val="0"/>
                <w:sz w:val="24"/>
                <w:highlight w:val="none"/>
                <w:lang w:bidi="ar"/>
              </w:rPr>
              <w:t>5.</w:t>
            </w:r>
            <w:r>
              <w:rPr>
                <w:b/>
                <w:bCs/>
                <w:kern w:val="0"/>
                <w:sz w:val="24"/>
                <w:highlight w:val="none"/>
                <w:lang w:bidi="ar"/>
              </w:rPr>
              <w:t>对生物多样性的保护措施</w:t>
            </w:r>
          </w:p>
          <w:p w14:paraId="2236AF52">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kern w:val="0"/>
                <w:sz w:val="24"/>
                <w:highlight w:val="none"/>
                <w:lang w:bidi="ar"/>
              </w:rPr>
            </w:pPr>
            <w:r>
              <w:rPr>
                <w:kern w:val="0"/>
                <w:sz w:val="24"/>
                <w:highlight w:val="none"/>
                <w:lang w:bidi="ar"/>
              </w:rPr>
              <w:t>为加强生物多样性保护优先区域监管，全面提升生物多样性保护水平，根据2010年9月17日生态环境部发布的</w:t>
            </w:r>
            <w:r>
              <w:rPr>
                <w:rFonts w:hint="eastAsia"/>
                <w:kern w:val="0"/>
                <w:sz w:val="24"/>
                <w:highlight w:val="none"/>
                <w:lang w:bidi="ar"/>
              </w:rPr>
              <w:t>“</w:t>
            </w:r>
            <w:r>
              <w:rPr>
                <w:kern w:val="0"/>
                <w:sz w:val="24"/>
                <w:highlight w:val="none"/>
                <w:lang w:bidi="ar"/>
              </w:rPr>
              <w:t>关于印发</w:t>
            </w:r>
            <w:r>
              <w:rPr>
                <w:rFonts w:hint="eastAsia"/>
                <w:kern w:val="0"/>
                <w:sz w:val="24"/>
                <w:highlight w:val="none"/>
                <w:lang w:bidi="ar"/>
              </w:rPr>
              <w:t>《中国生物多样性保护战略与行动计划（2011—2030年）》</w:t>
            </w:r>
            <w:r>
              <w:rPr>
                <w:kern w:val="0"/>
                <w:sz w:val="24"/>
                <w:highlight w:val="none"/>
                <w:lang w:bidi="ar"/>
              </w:rPr>
              <w:t>的通知</w:t>
            </w:r>
            <w:r>
              <w:rPr>
                <w:rFonts w:hint="eastAsia"/>
                <w:kern w:val="0"/>
                <w:sz w:val="24"/>
                <w:highlight w:val="none"/>
                <w:lang w:bidi="ar"/>
              </w:rPr>
              <w:t>”</w:t>
            </w:r>
            <w:r>
              <w:rPr>
                <w:kern w:val="0"/>
                <w:sz w:val="24"/>
                <w:highlight w:val="none"/>
                <w:lang w:bidi="ar"/>
              </w:rPr>
              <w:t>（环发</w:t>
            </w:r>
            <w:r>
              <w:rPr>
                <w:rFonts w:hint="eastAsia"/>
                <w:kern w:val="0"/>
                <w:sz w:val="24"/>
                <w:highlight w:val="none"/>
                <w:lang w:bidi="ar"/>
              </w:rPr>
              <w:t>〔2010〕</w:t>
            </w:r>
            <w:r>
              <w:rPr>
                <w:kern w:val="0"/>
                <w:sz w:val="24"/>
                <w:highlight w:val="none"/>
                <w:lang w:bidi="ar"/>
              </w:rPr>
              <w:t>106号）。</w:t>
            </w:r>
          </w:p>
          <w:p w14:paraId="73418FBF">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kern w:val="0"/>
                <w:sz w:val="24"/>
                <w:highlight w:val="none"/>
                <w:lang w:bidi="ar"/>
              </w:rPr>
            </w:pPr>
            <w:r>
              <w:rPr>
                <w:kern w:val="0"/>
                <w:sz w:val="24"/>
                <w:highlight w:val="none"/>
                <w:lang w:bidi="ar"/>
              </w:rPr>
              <w:t>本次评价要求建设单位在施工期严格执行以下要求：</w:t>
            </w:r>
          </w:p>
          <w:p w14:paraId="75D41BCC">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kern w:val="0"/>
                <w:sz w:val="24"/>
                <w:highlight w:val="none"/>
                <w:lang w:bidi="ar"/>
              </w:rPr>
            </w:pPr>
            <w:r>
              <w:rPr>
                <w:rFonts w:hint="eastAsia"/>
                <w:kern w:val="0"/>
                <w:sz w:val="24"/>
                <w:highlight w:val="none"/>
                <w:lang w:bidi="ar"/>
              </w:rPr>
              <w:t>（1）建设单位应按照水土保持方案，结合工程施工占地、植被破坏情况，认真做好工程建设期的水土保持及生态环境建设工作。</w:t>
            </w:r>
          </w:p>
          <w:p w14:paraId="2FDA8660">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kern w:val="0"/>
                <w:sz w:val="24"/>
                <w:highlight w:val="none"/>
                <w:lang w:bidi="ar"/>
              </w:rPr>
            </w:pPr>
            <w:r>
              <w:rPr>
                <w:rFonts w:hint="eastAsia"/>
                <w:kern w:val="0"/>
                <w:sz w:val="24"/>
                <w:highlight w:val="none"/>
                <w:lang w:bidi="ar"/>
              </w:rPr>
              <w:t>（2）完善施工的环境管理，设立环境管理机构，明确其职能，落实生态影响防护与恢复的监督管理措施。</w:t>
            </w:r>
          </w:p>
          <w:p w14:paraId="362AFDC2">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kern w:val="0"/>
                <w:sz w:val="24"/>
                <w:highlight w:val="none"/>
                <w:lang w:bidi="ar"/>
              </w:rPr>
            </w:pPr>
            <w:r>
              <w:rPr>
                <w:rFonts w:hint="eastAsia"/>
                <w:kern w:val="0"/>
                <w:sz w:val="24"/>
                <w:highlight w:val="none"/>
                <w:lang w:bidi="ar"/>
              </w:rPr>
              <w:t>（3）</w:t>
            </w:r>
            <w:r>
              <w:rPr>
                <w:kern w:val="0"/>
                <w:sz w:val="24"/>
                <w:highlight w:val="none"/>
                <w:lang w:bidi="ar"/>
              </w:rPr>
              <w:t>后期在施工期对破坏的占地恢复为原有植被类型，在运营期持续维护补种，保证植被恢复率达到100%。</w:t>
            </w:r>
          </w:p>
          <w:p w14:paraId="713268AF">
            <w:pPr>
              <w:keepNext w:val="0"/>
              <w:keepLines w:val="0"/>
              <w:pageBreakBefore w:val="0"/>
              <w:widowControl/>
              <w:kinsoku/>
              <w:wordWrap/>
              <w:overflowPunct/>
              <w:topLinePunct w:val="0"/>
              <w:autoSpaceDE/>
              <w:autoSpaceDN/>
              <w:bidi w:val="0"/>
              <w:adjustRightInd/>
              <w:snapToGrid/>
              <w:spacing w:line="480" w:lineRule="exact"/>
              <w:textAlignment w:val="auto"/>
              <w:rPr>
                <w:b/>
                <w:bCs/>
                <w:kern w:val="0"/>
                <w:sz w:val="24"/>
                <w:lang w:bidi="ar"/>
              </w:rPr>
            </w:pPr>
            <w:r>
              <w:rPr>
                <w:rFonts w:hint="eastAsia"/>
                <w:b/>
                <w:bCs/>
                <w:kern w:val="0"/>
                <w:sz w:val="24"/>
                <w:lang w:bidi="ar"/>
              </w:rPr>
              <w:t>二</w:t>
            </w:r>
            <w:r>
              <w:rPr>
                <w:b/>
                <w:bCs/>
                <w:kern w:val="0"/>
                <w:sz w:val="24"/>
                <w:lang w:bidi="ar"/>
              </w:rPr>
              <w:t>、</w:t>
            </w:r>
            <w:r>
              <w:rPr>
                <w:rFonts w:hint="eastAsia"/>
                <w:b/>
                <w:bCs/>
                <w:kern w:val="0"/>
                <w:sz w:val="24"/>
                <w:lang w:bidi="ar"/>
              </w:rPr>
              <w:t>施工期</w:t>
            </w:r>
            <w:r>
              <w:rPr>
                <w:b/>
                <w:bCs/>
                <w:kern w:val="0"/>
                <w:sz w:val="24"/>
                <w:lang w:bidi="ar"/>
              </w:rPr>
              <w:t>污染</w:t>
            </w:r>
            <w:r>
              <w:rPr>
                <w:rFonts w:hint="eastAsia"/>
                <w:b/>
                <w:bCs/>
                <w:kern w:val="0"/>
                <w:sz w:val="24"/>
                <w:lang w:bidi="ar"/>
              </w:rPr>
              <w:t>防治</w:t>
            </w:r>
            <w:r>
              <w:rPr>
                <w:b/>
                <w:bCs/>
                <w:kern w:val="0"/>
                <w:sz w:val="24"/>
                <w:lang w:bidi="ar"/>
              </w:rPr>
              <w:t>措施</w:t>
            </w:r>
          </w:p>
          <w:p w14:paraId="34AE46BF">
            <w:pPr>
              <w:keepNext w:val="0"/>
              <w:keepLines w:val="0"/>
              <w:pageBreakBefore w:val="0"/>
              <w:widowControl/>
              <w:kinsoku/>
              <w:wordWrap/>
              <w:overflowPunct/>
              <w:topLinePunct w:val="0"/>
              <w:autoSpaceDE/>
              <w:autoSpaceDN/>
              <w:bidi w:val="0"/>
              <w:adjustRightInd/>
              <w:snapToGrid/>
              <w:spacing w:line="480" w:lineRule="exact"/>
              <w:ind w:firstLine="482" w:firstLineChars="200"/>
              <w:textAlignment w:val="auto"/>
              <w:rPr>
                <w:b/>
                <w:bCs/>
                <w:kern w:val="0"/>
                <w:sz w:val="24"/>
                <w:lang w:bidi="ar"/>
              </w:rPr>
            </w:pPr>
            <w:r>
              <w:rPr>
                <w:rFonts w:hint="eastAsia"/>
                <w:b/>
                <w:bCs/>
                <w:kern w:val="0"/>
                <w:sz w:val="24"/>
                <w:lang w:bidi="ar"/>
              </w:rPr>
              <w:t>1.大气污染防治措施</w:t>
            </w:r>
          </w:p>
          <w:p w14:paraId="6820E089">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rFonts w:ascii="宋体" w:hAnsi="宋体" w:cs="宋体"/>
                <w:kern w:val="0"/>
                <w:sz w:val="24"/>
                <w:lang w:bidi="ar"/>
              </w:rPr>
            </w:pPr>
            <w:r>
              <w:rPr>
                <w:rFonts w:hint="eastAsia"/>
                <w:kern w:val="0"/>
                <w:sz w:val="24"/>
                <w:lang w:bidi="ar"/>
              </w:rPr>
              <w:t>（1）施工</w:t>
            </w:r>
            <w:r>
              <w:rPr>
                <w:rFonts w:hint="eastAsia" w:ascii="宋体" w:hAnsi="宋体" w:cs="宋体"/>
                <w:kern w:val="0"/>
                <w:sz w:val="24"/>
                <w:lang w:bidi="ar"/>
              </w:rPr>
              <w:t>扬尘防治措施</w:t>
            </w:r>
          </w:p>
          <w:p w14:paraId="760065A3">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kern w:val="0"/>
                <w:sz w:val="24"/>
                <w:lang w:bidi="ar"/>
              </w:rPr>
            </w:pPr>
            <w:r>
              <w:rPr>
                <w:kern w:val="0"/>
                <w:sz w:val="24"/>
                <w:lang w:bidi="ar"/>
              </w:rPr>
              <w:t>环评要求施工期严格按照《山西省大气污染防治条例</w:t>
            </w:r>
            <w:r>
              <w:rPr>
                <w:rFonts w:hint="eastAsia"/>
                <w:kern w:val="0"/>
                <w:sz w:val="24"/>
                <w:lang w:bidi="ar"/>
              </w:rPr>
              <w:t>》《山西省空气质量持续改善行动计划</w:t>
            </w:r>
            <w:r>
              <w:rPr>
                <w:kern w:val="0"/>
                <w:sz w:val="24"/>
                <w:lang w:bidi="ar"/>
              </w:rPr>
              <w:t>》</w:t>
            </w:r>
            <w:r>
              <w:rPr>
                <w:rFonts w:hint="eastAsia"/>
                <w:kern w:val="0"/>
                <w:sz w:val="24"/>
                <w:lang w:bidi="ar"/>
              </w:rPr>
              <w:t>（晋政发〔2024〕7号）、《</w:t>
            </w:r>
            <w:bookmarkStart w:id="23" w:name="OLE_LINK30"/>
            <w:r>
              <w:rPr>
                <w:rFonts w:hint="eastAsia"/>
                <w:kern w:val="0"/>
                <w:sz w:val="24"/>
                <w:lang w:bidi="ar"/>
              </w:rPr>
              <w:t>阳泉市空气质量持续改善行动计划</w:t>
            </w:r>
            <w:bookmarkEnd w:id="23"/>
            <w:r>
              <w:rPr>
                <w:rFonts w:hint="eastAsia"/>
                <w:kern w:val="0"/>
                <w:sz w:val="24"/>
                <w:lang w:bidi="ar"/>
              </w:rPr>
              <w:t>》（阳政办发〔2024〕31号）</w:t>
            </w:r>
            <w:r>
              <w:rPr>
                <w:kern w:val="0"/>
                <w:sz w:val="24"/>
                <w:lang w:bidi="ar"/>
              </w:rPr>
              <w:t>等文件的相关要求，加强施工扬尘管控，建设单位应当在施工工地公示扬尘污染防治措施、负责人、扬尘监督管理主管部门等信息，确保做到工地周边围挡、物料堆放覆盖、土方开挖湿法作业、路面硬化、出入车辆清洗、渣土车辆密闭运输</w:t>
            </w:r>
            <w:r>
              <w:rPr>
                <w:rFonts w:hint="eastAsia"/>
                <w:kern w:val="0"/>
                <w:sz w:val="24"/>
                <w:lang w:bidi="ar"/>
              </w:rPr>
              <w:t>“六个百分之百”</w:t>
            </w:r>
            <w:r>
              <w:rPr>
                <w:kern w:val="0"/>
                <w:sz w:val="24"/>
                <w:lang w:bidi="ar"/>
              </w:rPr>
              <w:t>。</w:t>
            </w:r>
          </w:p>
          <w:p w14:paraId="3F5D5F85">
            <w:pPr>
              <w:keepNext w:val="0"/>
              <w:keepLines w:val="0"/>
              <w:pageBreakBefore w:val="0"/>
              <w:kinsoku/>
              <w:wordWrap/>
              <w:overflowPunct/>
              <w:topLinePunct w:val="0"/>
              <w:autoSpaceDE/>
              <w:autoSpaceDN/>
              <w:bidi w:val="0"/>
              <w:adjustRightInd/>
              <w:snapToGrid/>
              <w:spacing w:line="480" w:lineRule="exact"/>
              <w:ind w:firstLine="480" w:firstLineChars="200"/>
              <w:textAlignment w:val="auto"/>
              <w:rPr>
                <w:sz w:val="24"/>
              </w:rPr>
            </w:pPr>
            <w:r>
              <w:rPr>
                <w:sz w:val="24"/>
              </w:rPr>
              <w:t>结合本项目施工实际情况要求采取如下措施：</w:t>
            </w:r>
          </w:p>
          <w:p w14:paraId="6D1DFCB1">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kern w:val="0"/>
                <w:sz w:val="24"/>
                <w:lang w:bidi="ar"/>
              </w:rPr>
            </w:pPr>
            <w:r>
              <w:rPr>
                <w:rFonts w:hint="eastAsia"/>
                <w:kern w:val="0"/>
                <w:sz w:val="24"/>
                <w:lang w:bidi="ar"/>
              </w:rPr>
              <w:t>①</w:t>
            </w:r>
            <w:r>
              <w:rPr>
                <w:kern w:val="0"/>
                <w:sz w:val="24"/>
                <w:lang w:bidi="ar"/>
              </w:rPr>
              <w:t>物料覆盖。施工现场产尘物料要采取覆盖措施；水泥</w:t>
            </w:r>
            <w:r>
              <w:rPr>
                <w:rFonts w:hint="eastAsia"/>
                <w:kern w:val="0"/>
                <w:sz w:val="24"/>
                <w:lang w:bidi="ar"/>
              </w:rPr>
              <w:t>储存于密闭筒仓内，砂料暂存于全封闭储库内</w:t>
            </w:r>
            <w:r>
              <w:rPr>
                <w:kern w:val="0"/>
                <w:sz w:val="24"/>
                <w:lang w:bidi="ar"/>
              </w:rPr>
              <w:t>。现场留置渣土必须集中堆放，裸露土地和留置渣土须采取覆盖或固化措施。覆盖防尘网伸展平整，网目不低于800目/100平方厘米；网间拼接严密、不露尘，边缘及连接处固定牢固；定期对覆盖处洒水，促使土体表层硬化结壳，避免风蚀扬尘。覆盖防尘网破损、风化后要及时更换。</w:t>
            </w:r>
          </w:p>
          <w:p w14:paraId="1FF6D712">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kern w:val="0"/>
                <w:sz w:val="24"/>
                <w:lang w:bidi="ar"/>
              </w:rPr>
            </w:pPr>
            <w:r>
              <w:rPr>
                <w:rFonts w:hint="eastAsia"/>
                <w:kern w:val="0"/>
                <w:sz w:val="24"/>
                <w:lang w:bidi="ar"/>
              </w:rPr>
              <w:t>②</w:t>
            </w:r>
            <w:r>
              <w:rPr>
                <w:kern w:val="0"/>
                <w:sz w:val="24"/>
                <w:lang w:bidi="ar"/>
              </w:rPr>
              <w:t>洒水抑尘。土方作业必须采用湿法作业，在作业面周边安装喷淋装置或配置雾炮进行洒水压尘，使用雾炮降尘设施要确保土方作业面湿润，喷雾间隔时间不得超过1小时，出现大风或重污染天气黄色以上等级预警时，必须停止土石方开挖、运输、回填作业。施工现场进行拆除、清扫施工现场等易产生扬尘的作业时，必须采取湿法作业，配备固定式或移动式洒水降尘设备，进行洒水、喷雾降尘。</w:t>
            </w:r>
          </w:p>
          <w:p w14:paraId="78539F66">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kern w:val="0"/>
                <w:sz w:val="24"/>
                <w:lang w:bidi="ar"/>
              </w:rPr>
            </w:pPr>
            <w:r>
              <w:rPr>
                <w:rFonts w:hint="eastAsia"/>
                <w:kern w:val="0"/>
                <w:sz w:val="24"/>
                <w:lang w:bidi="ar"/>
              </w:rPr>
              <w:t>③</w:t>
            </w:r>
            <w:r>
              <w:rPr>
                <w:kern w:val="0"/>
                <w:sz w:val="24"/>
                <w:lang w:bidi="ar"/>
              </w:rPr>
              <w:t>车辆冲洗。</w:t>
            </w:r>
            <w:r>
              <w:rPr>
                <w:rFonts w:hint="eastAsia"/>
                <w:kern w:val="0"/>
                <w:sz w:val="24"/>
                <w:lang w:bidi="ar"/>
              </w:rPr>
              <w:t>施工场地</w:t>
            </w:r>
            <w:r>
              <w:rPr>
                <w:kern w:val="0"/>
                <w:sz w:val="24"/>
                <w:lang w:bidi="ar"/>
              </w:rPr>
              <w:t>出入口必须设置车辆冲洗设施，保证喷淋高度和水源压力，满足冲洗要求，不得污泥横流。各种工程车辆和机械设备特别是渣土车辆车轮及车身必须冲洗，冲洗干净方可上路，严禁带泥上路，对工程进出口两侧各100米路面保持清洁，专人进行冲洗保洁和洒水降尘，确保</w:t>
            </w:r>
            <w:r>
              <w:rPr>
                <w:rFonts w:hint="eastAsia"/>
                <w:kern w:val="0"/>
                <w:sz w:val="24"/>
                <w:lang w:bidi="ar"/>
              </w:rPr>
              <w:t>“</w:t>
            </w:r>
            <w:r>
              <w:rPr>
                <w:kern w:val="0"/>
                <w:sz w:val="24"/>
                <w:lang w:bidi="ar"/>
              </w:rPr>
              <w:t>扬尘不出院、路面不见土、车辆不带泥、周边不起尘</w:t>
            </w:r>
            <w:r>
              <w:rPr>
                <w:rFonts w:hint="eastAsia"/>
                <w:kern w:val="0"/>
                <w:sz w:val="24"/>
                <w:lang w:bidi="ar"/>
              </w:rPr>
              <w:t>”</w:t>
            </w:r>
            <w:r>
              <w:rPr>
                <w:kern w:val="0"/>
                <w:sz w:val="24"/>
                <w:lang w:bidi="ar"/>
              </w:rPr>
              <w:t>。</w:t>
            </w:r>
          </w:p>
          <w:p w14:paraId="1F72F3E8">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kern w:val="0"/>
                <w:sz w:val="24"/>
                <w:lang w:bidi="ar"/>
              </w:rPr>
            </w:pPr>
            <w:r>
              <w:rPr>
                <w:rFonts w:hint="eastAsia"/>
                <w:kern w:val="0"/>
                <w:sz w:val="24"/>
                <w:lang w:bidi="ar"/>
              </w:rPr>
              <w:t>④垃圾清运。施工现场建筑垃圾、生活垃圾要分类、集中堆放，日产日清。</w:t>
            </w:r>
          </w:p>
          <w:p w14:paraId="18A7C61C">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kern w:val="0"/>
                <w:sz w:val="24"/>
                <w:lang w:bidi="ar"/>
              </w:rPr>
            </w:pPr>
            <w:r>
              <w:rPr>
                <w:rFonts w:hint="eastAsia"/>
                <w:kern w:val="0"/>
                <w:sz w:val="24"/>
                <w:lang w:bidi="ar"/>
              </w:rPr>
              <w:t>⑤</w:t>
            </w:r>
            <w:r>
              <w:rPr>
                <w:kern w:val="0"/>
                <w:sz w:val="24"/>
                <w:lang w:bidi="ar"/>
              </w:rPr>
              <w:t>现场公示。建筑工地现场必须制定扬尘污染防治方案落实责任人，建立完善检查考核制度；施工现场门口必须按要求设置扬尘防治管理公示牌。要将扬尘防治措施的各项要求纳入工人教育培训、岗前交底及工作奖惩，提高一线作业人员扬尘防治自觉性。</w:t>
            </w:r>
          </w:p>
          <w:p w14:paraId="6B4852F4">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kern w:val="0"/>
                <w:sz w:val="24"/>
                <w:lang w:bidi="ar"/>
              </w:rPr>
            </w:pPr>
            <w:r>
              <w:rPr>
                <w:rFonts w:hint="eastAsia"/>
                <w:kern w:val="0"/>
                <w:sz w:val="24"/>
                <w:lang w:bidi="ar"/>
              </w:rPr>
              <w:t>（2）机械燃油</w:t>
            </w:r>
            <w:r>
              <w:rPr>
                <w:kern w:val="0"/>
                <w:sz w:val="24"/>
                <w:lang w:bidi="ar"/>
              </w:rPr>
              <w:t>废气防治措施</w:t>
            </w:r>
          </w:p>
          <w:p w14:paraId="6AD7A6AE">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kern w:val="0"/>
                <w:sz w:val="24"/>
                <w:lang w:bidi="ar"/>
              </w:rPr>
            </w:pPr>
            <w:r>
              <w:rPr>
                <w:kern w:val="0"/>
                <w:sz w:val="24"/>
                <w:lang w:bidi="ar"/>
              </w:rPr>
              <w:t>针对本项目使用的运输车辆</w:t>
            </w:r>
            <w:r>
              <w:rPr>
                <w:rFonts w:hint="eastAsia"/>
                <w:kern w:val="0"/>
                <w:sz w:val="24"/>
                <w:lang w:bidi="ar"/>
              </w:rPr>
              <w:t>、</w:t>
            </w:r>
            <w:r>
              <w:rPr>
                <w:kern w:val="0"/>
                <w:sz w:val="24"/>
                <w:lang w:bidi="ar"/>
              </w:rPr>
              <w:t>非道路移动机械，评价要求应按照《非道路移动机械污染防治技术政策》等相关要求，采取以下环保措施及管控要求：</w:t>
            </w:r>
          </w:p>
          <w:p w14:paraId="5A8781FA">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sz w:val="24"/>
              </w:rPr>
            </w:pPr>
            <w:r>
              <w:rPr>
                <w:rFonts w:hint="eastAsia"/>
                <w:sz w:val="24"/>
              </w:rPr>
              <w:t>①施工单位在使用非道路移动机械时应在生态环境部门进行编码登记，领取“二维码”信息采集卡、悬挂环保标牌；</w:t>
            </w:r>
          </w:p>
          <w:p w14:paraId="0C3B2143">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sz w:val="24"/>
              </w:rPr>
            </w:pPr>
            <w:r>
              <w:rPr>
                <w:rFonts w:hint="eastAsia"/>
                <w:sz w:val="24"/>
              </w:rPr>
              <w:t>②禁止使用高排放非道路移动机械；禁止使用逾期未检验、未取得检验合格标志、达到强制报废标准、闯禁行、超载超限、非法营运、直观冒黑烟和超标排放上路行驶的重柴车辆；加强在用非道路移动机械的排放检测和维修；</w:t>
            </w:r>
          </w:p>
          <w:p w14:paraId="209AC8C4">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sz w:val="24"/>
              </w:rPr>
            </w:pPr>
            <w:r>
              <w:rPr>
                <w:rFonts w:hint="eastAsia"/>
                <w:sz w:val="24"/>
              </w:rPr>
              <w:t>③完善施工招标文件和承发包制式合同，将各类施工工程禁止使用高排放非道路移动机械作为招标文件（或附件）内容，制式合同明确施工单位必须使用符合要求的非道路移动机械，并监督落实到位；</w:t>
            </w:r>
          </w:p>
          <w:p w14:paraId="1493B2DF">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sz w:val="24"/>
              </w:rPr>
            </w:pPr>
            <w:r>
              <w:rPr>
                <w:rFonts w:hint="eastAsia"/>
                <w:sz w:val="24"/>
              </w:rPr>
              <w:t>④建立施工机械设备台账，报机动车污染防治工作领导小组办公室备案。禁止使用不符合标准的燃料、机油和氮氧化物还原剂，确保使用环节的燃料、机油及氮氧化物还原剂质量稳定满足国家标准的要求；</w:t>
            </w:r>
          </w:p>
          <w:p w14:paraId="3A35A109">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sz w:val="24"/>
              </w:rPr>
            </w:pPr>
            <w:r>
              <w:rPr>
                <w:rFonts w:hint="eastAsia"/>
                <w:sz w:val="24"/>
              </w:rPr>
              <w:t>⑤运输车辆维修需在合规的机动车维修单位进行，按照防治大气污染要求和国家有关技术规范对在用机动车进行维修，使其达到规定的排放标准。严禁临时更换机动车污染控制装置等弄虚作假的维修，严禁破坏机动车车载排放诊断系统等。</w:t>
            </w:r>
          </w:p>
          <w:p w14:paraId="6413296E">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kern w:val="0"/>
                <w:sz w:val="24"/>
                <w:lang w:bidi="ar"/>
              </w:rPr>
            </w:pPr>
            <w:r>
              <w:rPr>
                <w:rFonts w:hint="eastAsia"/>
                <w:kern w:val="0"/>
                <w:sz w:val="24"/>
                <w:lang w:bidi="ar"/>
              </w:rPr>
              <w:t>（3）运输扬尘污染防治措施</w:t>
            </w:r>
          </w:p>
          <w:p w14:paraId="527DCAD0">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sz w:val="24"/>
              </w:rPr>
            </w:pPr>
            <w:r>
              <w:rPr>
                <w:rFonts w:hint="eastAsia"/>
                <w:sz w:val="24"/>
              </w:rPr>
              <w:t>①严格限制运输车辆超载，建筑材料运输时采用篷盖、密闭等措施，要做到运输车辆“三不进两不出”（不达标禁止进入、无准运证禁止进入、密闭装置损坏禁止进入；车厢未密闭禁止驶出、车身不洁禁止驶出），防止在运输过程中因物料遗撒或者泄漏产生造成扬尘污染；</w:t>
            </w:r>
          </w:p>
          <w:p w14:paraId="76F58EC5">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sz w:val="24"/>
              </w:rPr>
            </w:pPr>
            <w:r>
              <w:rPr>
                <w:rFonts w:hint="eastAsia"/>
                <w:sz w:val="24"/>
              </w:rPr>
              <w:t>②加强运输路线管理，避免在住宅区、学校、医院等敏感区域行驶，尽量选择不影响居民生活，经过石门子村、禅房村时车辆限速；</w:t>
            </w:r>
          </w:p>
          <w:p w14:paraId="71E5F4DC">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sz w:val="24"/>
              </w:rPr>
            </w:pPr>
            <w:r>
              <w:rPr>
                <w:rFonts w:hint="eastAsia"/>
                <w:sz w:val="24"/>
              </w:rPr>
              <w:t>③在运输车辆经过的道路、路面等区域加强清洁，及时清理积尘，减少扬尘。</w:t>
            </w:r>
          </w:p>
          <w:p w14:paraId="4359BF24">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sz w:val="24"/>
              </w:rPr>
            </w:pPr>
            <w:r>
              <w:rPr>
                <w:rFonts w:hint="eastAsia"/>
                <w:sz w:val="24"/>
              </w:rPr>
              <w:t>④运输车辆进出厂时，加强清洗，防止带泥上路。</w:t>
            </w:r>
          </w:p>
          <w:p w14:paraId="5AA7C51A">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sz w:val="24"/>
              </w:rPr>
            </w:pPr>
            <w:r>
              <w:rPr>
                <w:rFonts w:hint="eastAsia"/>
                <w:sz w:val="24"/>
              </w:rPr>
              <w:t>⑤物料运输车辆全部使用达到国六及以上排放标准重型载货车辆（含燃气）或新能源车辆。</w:t>
            </w:r>
          </w:p>
          <w:p w14:paraId="46F0D8E0">
            <w:pPr>
              <w:keepNext w:val="0"/>
              <w:keepLines w:val="0"/>
              <w:pageBreakBefore w:val="0"/>
              <w:widowControl/>
              <w:kinsoku/>
              <w:wordWrap/>
              <w:overflowPunct/>
              <w:topLinePunct w:val="0"/>
              <w:autoSpaceDE/>
              <w:autoSpaceDN/>
              <w:bidi w:val="0"/>
              <w:adjustRightInd/>
              <w:snapToGrid/>
              <w:spacing w:line="480" w:lineRule="exact"/>
              <w:ind w:firstLine="482" w:firstLineChars="200"/>
              <w:textAlignment w:val="auto"/>
              <w:rPr>
                <w:b/>
                <w:bCs/>
                <w:kern w:val="0"/>
                <w:sz w:val="24"/>
                <w:lang w:bidi="ar"/>
              </w:rPr>
            </w:pPr>
            <w:r>
              <w:rPr>
                <w:rFonts w:hint="eastAsia"/>
                <w:b/>
                <w:bCs/>
                <w:kern w:val="0"/>
                <w:sz w:val="24"/>
                <w:lang w:bidi="ar"/>
              </w:rPr>
              <w:t>2.废水污染治理及防范措施</w:t>
            </w:r>
          </w:p>
          <w:p w14:paraId="4848B5AB">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kern w:val="0"/>
                <w:sz w:val="24"/>
                <w:lang w:bidi="ar"/>
              </w:rPr>
            </w:pPr>
            <w:r>
              <w:rPr>
                <w:rFonts w:hint="eastAsia"/>
                <w:kern w:val="0"/>
                <w:sz w:val="24"/>
                <w:lang w:bidi="ar"/>
              </w:rPr>
              <w:t>施工期废水主要是施工人员的生活污水、施工作业设备清洗废水，</w:t>
            </w:r>
            <w:r>
              <w:rPr>
                <w:kern w:val="0"/>
                <w:sz w:val="24"/>
                <w:lang w:bidi="ar"/>
              </w:rPr>
              <w:t>施工期废水污染防治措施如下：</w:t>
            </w:r>
          </w:p>
          <w:p w14:paraId="0E14E574">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kern w:val="0"/>
                <w:sz w:val="24"/>
                <w:lang w:bidi="ar"/>
              </w:rPr>
            </w:pPr>
            <w:r>
              <w:rPr>
                <w:rFonts w:hint="eastAsia"/>
                <w:kern w:val="0"/>
                <w:sz w:val="24"/>
                <w:lang w:bidi="ar"/>
              </w:rPr>
              <w:t>（1）本项目施工期</w:t>
            </w:r>
            <w:r>
              <w:rPr>
                <w:kern w:val="0"/>
                <w:sz w:val="24"/>
                <w:lang w:bidi="ar"/>
              </w:rPr>
              <w:t>生活污水主要为施工人员盥洗废水，生活污水水质较简单，</w:t>
            </w:r>
            <w:r>
              <w:rPr>
                <w:rFonts w:hint="eastAsia"/>
                <w:kern w:val="0"/>
                <w:sz w:val="24"/>
                <w:lang w:bidi="ar"/>
              </w:rPr>
              <w:t>沉淀后泼洒抑尘</w:t>
            </w:r>
            <w:r>
              <w:rPr>
                <w:kern w:val="0"/>
                <w:sz w:val="24"/>
                <w:lang w:bidi="ar"/>
              </w:rPr>
              <w:t>。</w:t>
            </w:r>
          </w:p>
          <w:p w14:paraId="0E73CA85">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kern w:val="0"/>
                <w:sz w:val="24"/>
                <w:lang w:bidi="ar"/>
              </w:rPr>
            </w:pPr>
            <w:r>
              <w:rPr>
                <w:rFonts w:hint="eastAsia"/>
                <w:kern w:val="0"/>
                <w:sz w:val="24"/>
                <w:lang w:bidi="ar"/>
              </w:rPr>
              <w:t>（2）</w:t>
            </w:r>
            <w:r>
              <w:rPr>
                <w:kern w:val="0"/>
                <w:sz w:val="24"/>
                <w:lang w:bidi="ar"/>
              </w:rPr>
              <w:t>施工机械和车辆冲洗产生的废水，其主要污染物为SS和石油类，经隔油沉淀池沉淀后回用施工洒水降尘，不外排。</w:t>
            </w:r>
          </w:p>
          <w:p w14:paraId="7B13A480">
            <w:pPr>
              <w:keepNext w:val="0"/>
              <w:keepLines w:val="0"/>
              <w:pageBreakBefore w:val="0"/>
              <w:widowControl/>
              <w:kinsoku/>
              <w:wordWrap/>
              <w:overflowPunct/>
              <w:topLinePunct w:val="0"/>
              <w:autoSpaceDE/>
              <w:autoSpaceDN/>
              <w:bidi w:val="0"/>
              <w:adjustRightInd/>
              <w:snapToGrid/>
              <w:spacing w:line="480" w:lineRule="exact"/>
              <w:ind w:firstLine="482" w:firstLineChars="200"/>
              <w:textAlignment w:val="auto"/>
              <w:rPr>
                <w:b/>
                <w:bCs/>
                <w:kern w:val="0"/>
                <w:sz w:val="24"/>
                <w:lang w:bidi="ar"/>
              </w:rPr>
            </w:pPr>
            <w:r>
              <w:rPr>
                <w:rFonts w:hint="eastAsia"/>
                <w:b/>
                <w:bCs/>
                <w:kern w:val="0"/>
                <w:sz w:val="24"/>
                <w:lang w:bidi="ar"/>
              </w:rPr>
              <w:t>3.施工期</w:t>
            </w:r>
            <w:r>
              <w:rPr>
                <w:b/>
                <w:bCs/>
                <w:kern w:val="0"/>
                <w:sz w:val="24"/>
                <w:lang w:bidi="ar"/>
              </w:rPr>
              <w:t>噪声污染治理及防范措施</w:t>
            </w:r>
          </w:p>
          <w:p w14:paraId="751D9652">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kern w:val="0"/>
                <w:sz w:val="24"/>
                <w:lang w:bidi="ar"/>
              </w:rPr>
            </w:pPr>
            <w:r>
              <w:rPr>
                <w:kern w:val="0"/>
                <w:sz w:val="24"/>
                <w:lang w:bidi="ar"/>
              </w:rPr>
              <w:t>项目施工期噪声源主要来自施工机械噪声和运输车辆噪声，各设备的噪声源强约为75~90dB（A）。施工单位应合理安排施工时间，原则上禁止夜间施工</w:t>
            </w:r>
            <w:r>
              <w:rPr>
                <w:rFonts w:hint="eastAsia"/>
                <w:kern w:val="0"/>
                <w:sz w:val="24"/>
                <w:lang w:bidi="ar"/>
              </w:rPr>
              <w:t>。</w:t>
            </w:r>
            <w:r>
              <w:rPr>
                <w:kern w:val="0"/>
                <w:sz w:val="24"/>
                <w:lang w:bidi="ar"/>
              </w:rPr>
              <w:t>加强与周围居民沟通，张贴公示施工时间及施工活动等内容。尽管施工噪声对环境的不利影响是短期的行为，随着施工结束，施工噪声的影响将结束，但仍需要采取相应的减缓措施。本工程可采用的措施如下：</w:t>
            </w:r>
          </w:p>
          <w:p w14:paraId="119442F7">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kern w:val="0"/>
                <w:sz w:val="24"/>
                <w:lang w:bidi="ar"/>
              </w:rPr>
            </w:pPr>
            <w:r>
              <w:rPr>
                <w:rFonts w:hint="eastAsia"/>
                <w:kern w:val="0"/>
                <w:sz w:val="24"/>
                <w:lang w:bidi="ar"/>
              </w:rPr>
              <w:t>（</w:t>
            </w:r>
            <w:r>
              <w:rPr>
                <w:kern w:val="0"/>
                <w:sz w:val="24"/>
                <w:lang w:bidi="ar"/>
              </w:rPr>
              <w:t>1）本项目原则上禁止夜间施工，同时尽量避开中午休息时间施工。加强与周围居民沟通，张贴公示施工时间及施工活动等内容。</w:t>
            </w:r>
          </w:p>
          <w:p w14:paraId="72AB142B">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kern w:val="0"/>
                <w:sz w:val="24"/>
                <w:lang w:bidi="ar"/>
              </w:rPr>
            </w:pPr>
            <w:r>
              <w:rPr>
                <w:rFonts w:hint="eastAsia"/>
                <w:kern w:val="0"/>
                <w:sz w:val="24"/>
                <w:lang w:bidi="ar"/>
              </w:rPr>
              <w:t>（2</w:t>
            </w:r>
            <w:r>
              <w:rPr>
                <w:kern w:val="0"/>
                <w:sz w:val="24"/>
                <w:lang w:bidi="ar"/>
              </w:rPr>
              <w:t>）施工单位应尽量选用先进的低噪声设备，加强对施工机械的维修保养，避免由于设备性能差而增大机械噪声。同时采用先进的施工工艺，合理选用施工设备。</w:t>
            </w:r>
          </w:p>
          <w:p w14:paraId="4BD038DC">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kern w:val="0"/>
                <w:sz w:val="24"/>
                <w:lang w:bidi="ar"/>
              </w:rPr>
            </w:pPr>
            <w:r>
              <w:rPr>
                <w:rFonts w:hint="eastAsia"/>
                <w:kern w:val="0"/>
                <w:sz w:val="24"/>
                <w:lang w:bidi="ar"/>
              </w:rPr>
              <w:t>（3</w:t>
            </w:r>
            <w:r>
              <w:rPr>
                <w:kern w:val="0"/>
                <w:sz w:val="24"/>
                <w:lang w:bidi="ar"/>
              </w:rPr>
              <w:t>）加强施工场所及周边道路的维护，合理安排弃土及运输车辆管理，</w:t>
            </w:r>
            <w:r>
              <w:rPr>
                <w:sz w:val="24"/>
              </w:rPr>
              <w:t>运输要采用车况良好的车辆，并应注意定期维修、养护；</w:t>
            </w:r>
          </w:p>
          <w:p w14:paraId="2F71E944">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kern w:val="0"/>
                <w:sz w:val="24"/>
                <w:lang w:bidi="ar"/>
              </w:rPr>
            </w:pPr>
            <w:r>
              <w:rPr>
                <w:rFonts w:hint="eastAsia"/>
                <w:kern w:val="0"/>
                <w:sz w:val="24"/>
                <w:lang w:bidi="ar"/>
              </w:rPr>
              <w:t>（4</w:t>
            </w:r>
            <w:r>
              <w:rPr>
                <w:kern w:val="0"/>
                <w:sz w:val="24"/>
                <w:lang w:bidi="ar"/>
              </w:rPr>
              <w:t>）针对靠近敏感点较近的路段，</w:t>
            </w:r>
            <w:r>
              <w:rPr>
                <w:sz w:val="24"/>
              </w:rPr>
              <w:t>禁止鸣笛</w:t>
            </w:r>
            <w:r>
              <w:rPr>
                <w:rFonts w:hint="eastAsia"/>
                <w:sz w:val="24"/>
              </w:rPr>
              <w:t>、减速行驶</w:t>
            </w:r>
            <w:r>
              <w:rPr>
                <w:kern w:val="0"/>
                <w:sz w:val="24"/>
                <w:lang w:bidi="ar"/>
              </w:rPr>
              <w:t>。</w:t>
            </w:r>
          </w:p>
          <w:p w14:paraId="3D300552">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kern w:val="0"/>
                <w:sz w:val="24"/>
                <w:lang w:bidi="ar"/>
              </w:rPr>
            </w:pPr>
            <w:r>
              <w:rPr>
                <w:kern w:val="0"/>
                <w:sz w:val="24"/>
                <w:lang w:bidi="ar"/>
              </w:rPr>
              <w:t>在采取相应措施后，噪声随距离的衰减，可将施工期噪声对附近居民的影响程度降低至可接受的范围内。建设期施工噪声影响是短期的，一旦施工活动结束，施工期的噪声影响也将随之结束。</w:t>
            </w:r>
          </w:p>
          <w:p w14:paraId="75A88861">
            <w:pPr>
              <w:keepNext w:val="0"/>
              <w:keepLines w:val="0"/>
              <w:pageBreakBefore w:val="0"/>
              <w:widowControl/>
              <w:kinsoku/>
              <w:wordWrap/>
              <w:overflowPunct/>
              <w:topLinePunct w:val="0"/>
              <w:autoSpaceDE/>
              <w:autoSpaceDN/>
              <w:bidi w:val="0"/>
              <w:adjustRightInd/>
              <w:snapToGrid/>
              <w:spacing w:line="480" w:lineRule="exact"/>
              <w:ind w:firstLine="482" w:firstLineChars="200"/>
              <w:textAlignment w:val="auto"/>
              <w:rPr>
                <w:b/>
                <w:bCs/>
                <w:kern w:val="0"/>
                <w:sz w:val="24"/>
                <w:lang w:bidi="ar"/>
              </w:rPr>
            </w:pPr>
            <w:r>
              <w:rPr>
                <w:rFonts w:hint="eastAsia"/>
                <w:b/>
                <w:bCs/>
                <w:kern w:val="0"/>
                <w:sz w:val="24"/>
                <w:lang w:bidi="ar"/>
              </w:rPr>
              <w:t>4.施工期</w:t>
            </w:r>
            <w:r>
              <w:rPr>
                <w:b/>
                <w:bCs/>
                <w:kern w:val="0"/>
                <w:sz w:val="24"/>
                <w:lang w:bidi="ar"/>
              </w:rPr>
              <w:t>固体废物污染防治措施</w:t>
            </w:r>
          </w:p>
          <w:p w14:paraId="50CAE1D6">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kern w:val="0"/>
                <w:sz w:val="24"/>
                <w:lang w:bidi="ar"/>
              </w:rPr>
            </w:pPr>
            <w:r>
              <w:rPr>
                <w:kern w:val="0"/>
                <w:sz w:val="24"/>
                <w:lang w:bidi="ar"/>
              </w:rPr>
              <w:t>施工期固体废物主要来源于</w:t>
            </w:r>
            <w:r>
              <w:rPr>
                <w:rFonts w:hint="eastAsia"/>
                <w:kern w:val="0"/>
                <w:sz w:val="24"/>
                <w:lang w:bidi="ar"/>
              </w:rPr>
              <w:t>建筑垃圾、废弃土方</w:t>
            </w:r>
            <w:r>
              <w:rPr>
                <w:kern w:val="0"/>
                <w:sz w:val="24"/>
                <w:lang w:bidi="ar"/>
              </w:rPr>
              <w:t>和施工人员生活垃圾等。如不妥善处理，及时清运，对周围环境也会造成一定的影响。为了控制施工期产生的固废对环境的污染，减少堆放和运输过程中对环境的影响，建议采取如下措施：</w:t>
            </w:r>
          </w:p>
          <w:p w14:paraId="5258E5AE">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kern w:val="0"/>
                <w:sz w:val="24"/>
                <w:lang w:bidi="ar"/>
              </w:rPr>
            </w:pPr>
            <w:r>
              <w:rPr>
                <w:rFonts w:hint="eastAsia"/>
                <w:kern w:val="0"/>
                <w:sz w:val="24"/>
                <w:lang w:bidi="ar"/>
              </w:rPr>
              <w:t>（1）</w:t>
            </w:r>
            <w:r>
              <w:rPr>
                <w:kern w:val="0"/>
                <w:sz w:val="24"/>
                <w:lang w:bidi="ar"/>
              </w:rPr>
              <w:t>对于施工人员产生的生活垃圾，应采用定点收集方式，设立专门的容器加以收集，并及时清运处置。</w:t>
            </w:r>
          </w:p>
          <w:p w14:paraId="0D7FE1E9">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kern w:val="0"/>
                <w:sz w:val="24"/>
                <w:lang w:bidi="ar"/>
              </w:rPr>
            </w:pPr>
            <w:r>
              <w:rPr>
                <w:rFonts w:hint="eastAsia"/>
                <w:kern w:val="0"/>
                <w:sz w:val="24"/>
                <w:lang w:bidi="ar"/>
              </w:rPr>
              <w:t>（2）</w:t>
            </w:r>
            <w:r>
              <w:rPr>
                <w:kern w:val="0"/>
                <w:sz w:val="24"/>
                <w:lang w:bidi="ar"/>
              </w:rPr>
              <w:t>对施工过程中</w:t>
            </w:r>
            <w:r>
              <w:rPr>
                <w:rFonts w:hint="eastAsia"/>
                <w:kern w:val="0"/>
                <w:sz w:val="24"/>
                <w:lang w:bidi="ar"/>
              </w:rPr>
              <w:t>产生的建筑垃圾、弃土等，运至当地建筑垃圾填埋场进行处置</w:t>
            </w:r>
            <w:r>
              <w:rPr>
                <w:kern w:val="0"/>
                <w:sz w:val="24"/>
                <w:lang w:bidi="ar"/>
              </w:rPr>
              <w:t>。</w:t>
            </w:r>
          </w:p>
          <w:p w14:paraId="76C6CF1E">
            <w:pPr>
              <w:pStyle w:val="13"/>
              <w:ind w:right="25" w:firstLine="461"/>
            </w:pPr>
          </w:p>
          <w:p w14:paraId="4EA9807D">
            <w:pPr>
              <w:pStyle w:val="13"/>
              <w:ind w:right="25" w:firstLine="461"/>
              <w:rPr>
                <w:kern w:val="0"/>
                <w:lang w:bidi="ar"/>
              </w:rPr>
            </w:pPr>
          </w:p>
          <w:p w14:paraId="10360D31">
            <w:pPr>
              <w:pStyle w:val="14"/>
              <w:ind w:firstLine="0" w:firstLineChars="0"/>
              <w:rPr>
                <w:lang w:bidi="ar"/>
              </w:rPr>
            </w:pPr>
          </w:p>
          <w:p w14:paraId="5904DC05">
            <w:pPr>
              <w:pStyle w:val="14"/>
              <w:ind w:firstLine="0" w:firstLineChars="0"/>
              <w:rPr>
                <w:lang w:bidi="ar"/>
              </w:rPr>
            </w:pPr>
          </w:p>
          <w:p w14:paraId="6B431791">
            <w:pPr>
              <w:pStyle w:val="14"/>
              <w:ind w:firstLine="0" w:firstLineChars="0"/>
              <w:rPr>
                <w:lang w:bidi="ar"/>
              </w:rPr>
            </w:pPr>
          </w:p>
        </w:tc>
      </w:tr>
      <w:tr w14:paraId="0CB51DB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22" w:type="dxa"/>
            <w:tcMar>
              <w:left w:w="28" w:type="dxa"/>
              <w:right w:w="28" w:type="dxa"/>
            </w:tcMar>
            <w:vAlign w:val="center"/>
          </w:tcPr>
          <w:p w14:paraId="15D8A19A">
            <w:pPr>
              <w:adjustRightInd w:val="0"/>
              <w:snapToGrid w:val="0"/>
              <w:jc w:val="center"/>
              <w:rPr>
                <w:rFonts w:ascii="宋体" w:hAnsi="宋体" w:cs="宋体"/>
                <w:bCs/>
                <w:color w:val="000000" w:themeColor="text1"/>
                <w:spacing w:val="10"/>
                <w:sz w:val="24"/>
                <w14:textFill>
                  <w14:solidFill>
                    <w14:schemeClr w14:val="tx1"/>
                  </w14:solidFill>
                </w14:textFill>
              </w:rPr>
            </w:pPr>
            <w:r>
              <w:rPr>
                <w:rFonts w:hint="eastAsia" w:ascii="宋体" w:hAnsi="宋体" w:cs="宋体"/>
                <w:bCs/>
                <w:color w:val="000000" w:themeColor="text1"/>
                <w:spacing w:val="10"/>
                <w:sz w:val="24"/>
                <w14:textFill>
                  <w14:solidFill>
                    <w14:schemeClr w14:val="tx1"/>
                  </w14:solidFill>
                </w14:textFill>
              </w:rPr>
              <w:t>运营期生态环境保护措施</w:t>
            </w:r>
          </w:p>
        </w:tc>
        <w:tc>
          <w:tcPr>
            <w:tcW w:w="8388" w:type="dxa"/>
            <w:vAlign w:val="center"/>
          </w:tcPr>
          <w:p w14:paraId="4F64BD53">
            <w:pPr>
              <w:keepNext w:val="0"/>
              <w:keepLines w:val="0"/>
              <w:pageBreakBefore w:val="0"/>
              <w:widowControl/>
              <w:kinsoku/>
              <w:wordWrap/>
              <w:overflowPunct/>
              <w:topLinePunct w:val="0"/>
              <w:autoSpaceDE/>
              <w:autoSpaceDN/>
              <w:bidi w:val="0"/>
              <w:adjustRightInd/>
              <w:snapToGrid/>
              <w:spacing w:line="480" w:lineRule="exact"/>
              <w:textAlignment w:val="auto"/>
              <w:rPr>
                <w:b/>
                <w:bCs/>
                <w:kern w:val="0"/>
                <w:sz w:val="24"/>
                <w:highlight w:val="none"/>
                <w:lang w:bidi="ar"/>
              </w:rPr>
            </w:pPr>
            <w:r>
              <w:rPr>
                <w:rFonts w:hint="eastAsia"/>
                <w:b/>
                <w:bCs/>
                <w:kern w:val="0"/>
                <w:sz w:val="24"/>
                <w:highlight w:val="none"/>
                <w:lang w:bidi="ar"/>
              </w:rPr>
              <w:t>一</w:t>
            </w:r>
            <w:r>
              <w:rPr>
                <w:b/>
                <w:bCs/>
                <w:kern w:val="0"/>
                <w:sz w:val="24"/>
                <w:highlight w:val="none"/>
                <w:lang w:bidi="ar"/>
              </w:rPr>
              <w:t>、运营期生态</w:t>
            </w:r>
            <w:r>
              <w:rPr>
                <w:rFonts w:hint="eastAsia"/>
                <w:b/>
                <w:bCs/>
                <w:kern w:val="0"/>
                <w:sz w:val="24"/>
                <w:highlight w:val="none"/>
                <w:lang w:bidi="ar"/>
              </w:rPr>
              <w:t>环境保护措施</w:t>
            </w:r>
          </w:p>
          <w:p w14:paraId="0FD5240B">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kern w:val="0"/>
                <w:sz w:val="24"/>
                <w:highlight w:val="none"/>
                <w:lang w:bidi="ar"/>
              </w:rPr>
            </w:pPr>
            <w:r>
              <w:rPr>
                <w:rFonts w:hint="eastAsia"/>
                <w:kern w:val="0"/>
                <w:sz w:val="24"/>
                <w:highlight w:val="none"/>
                <w:lang w:bidi="ar"/>
              </w:rPr>
              <w:t>项目运营期生态环境影响主要体现在土地占用、陆生植物、陆生动物、区域生物多样性、景观环境等方面，项目需采取切实有效的生态环境保护措施，降低生态环境的影响。</w:t>
            </w:r>
          </w:p>
          <w:p w14:paraId="7A9A1697">
            <w:pPr>
              <w:keepNext w:val="0"/>
              <w:keepLines w:val="0"/>
              <w:pageBreakBefore w:val="0"/>
              <w:widowControl/>
              <w:kinsoku/>
              <w:wordWrap/>
              <w:overflowPunct/>
              <w:topLinePunct w:val="0"/>
              <w:autoSpaceDE/>
              <w:autoSpaceDN/>
              <w:bidi w:val="0"/>
              <w:adjustRightInd/>
              <w:snapToGrid/>
              <w:spacing w:line="480" w:lineRule="exact"/>
              <w:ind w:firstLine="482" w:firstLineChars="200"/>
              <w:textAlignment w:val="auto"/>
              <w:rPr>
                <w:b/>
                <w:bCs/>
                <w:kern w:val="0"/>
                <w:sz w:val="24"/>
                <w:highlight w:val="none"/>
                <w:lang w:bidi="ar"/>
              </w:rPr>
            </w:pPr>
            <w:r>
              <w:rPr>
                <w:rFonts w:hint="eastAsia"/>
                <w:b/>
                <w:bCs/>
                <w:kern w:val="0"/>
                <w:sz w:val="24"/>
                <w:highlight w:val="none"/>
                <w:lang w:bidi="ar"/>
              </w:rPr>
              <w:t>1.土地资源保护措施</w:t>
            </w:r>
          </w:p>
          <w:p w14:paraId="3C3F9BD1">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kern w:val="0"/>
                <w:sz w:val="24"/>
                <w:highlight w:val="none"/>
                <w:lang w:bidi="ar"/>
              </w:rPr>
            </w:pPr>
            <w:r>
              <w:rPr>
                <w:rFonts w:hint="eastAsia"/>
                <w:kern w:val="0"/>
                <w:sz w:val="24"/>
                <w:highlight w:val="none"/>
                <w:lang w:bidi="ar"/>
              </w:rPr>
              <w:t>针对土地资源提出如下保护措施：</w:t>
            </w:r>
          </w:p>
          <w:p w14:paraId="25D503C7">
            <w:pPr>
              <w:pStyle w:val="13"/>
              <w:keepNext w:val="0"/>
              <w:keepLines w:val="0"/>
              <w:pageBreakBefore w:val="0"/>
              <w:widowControl w:val="0"/>
              <w:numPr>
                <w:ilvl w:val="0"/>
                <w:numId w:val="0"/>
              </w:numPr>
              <w:kinsoku/>
              <w:wordWrap/>
              <w:overflowPunct/>
              <w:topLinePunct w:val="0"/>
              <w:autoSpaceDE/>
              <w:autoSpaceDN/>
              <w:bidi w:val="0"/>
              <w:adjustRightInd/>
              <w:snapToGrid/>
              <w:ind w:leftChars="0" w:right="0" w:rightChars="0" w:firstLine="480" w:firstLineChars="200"/>
              <w:textAlignment w:val="auto"/>
              <w:rPr>
                <w:kern w:val="0"/>
                <w:highlight w:val="none"/>
                <w:lang w:bidi="ar"/>
              </w:rPr>
            </w:pPr>
            <w:r>
              <w:rPr>
                <w:rFonts w:hint="eastAsia"/>
                <w:kern w:val="0"/>
                <w:highlight w:val="none"/>
                <w:lang w:eastAsia="zh-CN" w:bidi="ar"/>
              </w:rPr>
              <w:t>（</w:t>
            </w:r>
            <w:r>
              <w:rPr>
                <w:rFonts w:hint="eastAsia"/>
                <w:kern w:val="0"/>
                <w:highlight w:val="none"/>
                <w:lang w:val="en-US" w:eastAsia="zh-CN" w:bidi="ar"/>
              </w:rPr>
              <w:t>1</w:t>
            </w:r>
            <w:r>
              <w:rPr>
                <w:rFonts w:hint="eastAsia"/>
                <w:kern w:val="0"/>
                <w:highlight w:val="none"/>
                <w:lang w:eastAsia="zh-CN" w:bidi="ar"/>
              </w:rPr>
              <w:t>）</w:t>
            </w:r>
            <w:r>
              <w:rPr>
                <w:rFonts w:hint="eastAsia"/>
                <w:kern w:val="0"/>
                <w:highlight w:val="none"/>
                <w:lang w:bidi="ar"/>
              </w:rPr>
              <w:t>土地利用优化：合理规划矿区内的土地利用，减少非必要占用，提高土地利用效率，对临时用地进行科学管理，确保使用完毕后及时恢复；</w:t>
            </w:r>
          </w:p>
          <w:p w14:paraId="1FED07B3">
            <w:pPr>
              <w:pStyle w:val="13"/>
              <w:keepNext w:val="0"/>
              <w:keepLines w:val="0"/>
              <w:pageBreakBefore w:val="0"/>
              <w:widowControl w:val="0"/>
              <w:numPr>
                <w:ilvl w:val="0"/>
                <w:numId w:val="0"/>
              </w:numPr>
              <w:kinsoku/>
              <w:wordWrap/>
              <w:overflowPunct/>
              <w:topLinePunct w:val="0"/>
              <w:autoSpaceDE/>
              <w:autoSpaceDN/>
              <w:bidi w:val="0"/>
              <w:adjustRightInd/>
              <w:snapToGrid/>
              <w:ind w:leftChars="0" w:right="0" w:rightChars="0" w:firstLine="480" w:firstLineChars="200"/>
              <w:textAlignment w:val="auto"/>
              <w:rPr>
                <w:kern w:val="0"/>
                <w:highlight w:val="none"/>
                <w:lang w:bidi="ar"/>
              </w:rPr>
            </w:pPr>
            <w:r>
              <w:rPr>
                <w:rFonts w:hint="eastAsia"/>
                <w:kern w:val="0"/>
                <w:highlight w:val="none"/>
                <w:lang w:eastAsia="zh-CN" w:bidi="ar"/>
              </w:rPr>
              <w:t>（</w:t>
            </w:r>
            <w:r>
              <w:rPr>
                <w:rFonts w:hint="eastAsia"/>
                <w:kern w:val="0"/>
                <w:highlight w:val="none"/>
                <w:lang w:val="en-US" w:eastAsia="zh-CN" w:bidi="ar"/>
              </w:rPr>
              <w:t>2</w:t>
            </w:r>
            <w:r>
              <w:rPr>
                <w:rFonts w:hint="eastAsia"/>
                <w:kern w:val="0"/>
                <w:highlight w:val="none"/>
                <w:lang w:eastAsia="zh-CN" w:bidi="ar"/>
              </w:rPr>
              <w:t>）</w:t>
            </w:r>
            <w:r>
              <w:rPr>
                <w:rFonts w:hint="eastAsia"/>
                <w:kern w:val="0"/>
                <w:highlight w:val="none"/>
                <w:lang w:bidi="ar"/>
              </w:rPr>
              <w:t>引入先进技术：采用先进的采矿技术和设备，提高矿山开采的效率和资源利用率，提高矿山开采的效率和资源利用率，减少土地开采面积。同时，推动矿山景观修复技术的研发，以恢复矿山区域的生态系统功能；</w:t>
            </w:r>
          </w:p>
          <w:p w14:paraId="40E95792">
            <w:pPr>
              <w:pStyle w:val="13"/>
              <w:keepNext w:val="0"/>
              <w:keepLines w:val="0"/>
              <w:pageBreakBefore w:val="0"/>
              <w:widowControl w:val="0"/>
              <w:numPr>
                <w:ilvl w:val="0"/>
                <w:numId w:val="0"/>
              </w:numPr>
              <w:kinsoku/>
              <w:wordWrap/>
              <w:overflowPunct/>
              <w:topLinePunct w:val="0"/>
              <w:autoSpaceDE/>
              <w:autoSpaceDN/>
              <w:bidi w:val="0"/>
              <w:adjustRightInd/>
              <w:snapToGrid/>
              <w:ind w:leftChars="0" w:right="0" w:rightChars="0" w:firstLine="480" w:firstLineChars="200"/>
              <w:textAlignment w:val="auto"/>
              <w:rPr>
                <w:kern w:val="0"/>
                <w:highlight w:val="none"/>
                <w:lang w:bidi="ar"/>
              </w:rPr>
            </w:pPr>
            <w:r>
              <w:rPr>
                <w:rFonts w:hint="eastAsia"/>
                <w:kern w:val="0"/>
                <w:highlight w:val="none"/>
                <w:lang w:eastAsia="zh-CN" w:bidi="ar"/>
              </w:rPr>
              <w:t>（</w:t>
            </w:r>
            <w:r>
              <w:rPr>
                <w:rFonts w:hint="eastAsia"/>
                <w:kern w:val="0"/>
                <w:highlight w:val="none"/>
                <w:lang w:val="en-US" w:eastAsia="zh-CN" w:bidi="ar"/>
              </w:rPr>
              <w:t>3</w:t>
            </w:r>
            <w:r>
              <w:rPr>
                <w:rFonts w:hint="eastAsia"/>
                <w:kern w:val="0"/>
                <w:highlight w:val="none"/>
                <w:lang w:eastAsia="zh-CN" w:bidi="ar"/>
              </w:rPr>
              <w:t>）</w:t>
            </w:r>
            <w:r>
              <w:rPr>
                <w:rFonts w:hint="eastAsia"/>
                <w:kern w:val="0"/>
                <w:highlight w:val="none"/>
                <w:lang w:bidi="ar"/>
              </w:rPr>
              <w:t>资源综合利用：在开采过程中，注重矿产资源的综合利用，减少废弃物排放，降低对土地资源的压力；</w:t>
            </w:r>
          </w:p>
          <w:p w14:paraId="625C744D">
            <w:pPr>
              <w:pStyle w:val="13"/>
              <w:keepNext w:val="0"/>
              <w:keepLines w:val="0"/>
              <w:pageBreakBefore w:val="0"/>
              <w:widowControl w:val="0"/>
              <w:numPr>
                <w:ilvl w:val="0"/>
                <w:numId w:val="0"/>
              </w:numPr>
              <w:kinsoku/>
              <w:wordWrap/>
              <w:overflowPunct/>
              <w:topLinePunct w:val="0"/>
              <w:autoSpaceDE/>
              <w:autoSpaceDN/>
              <w:bidi w:val="0"/>
              <w:adjustRightInd/>
              <w:snapToGrid/>
              <w:ind w:leftChars="0" w:right="0" w:rightChars="0" w:firstLine="480" w:firstLineChars="200"/>
              <w:textAlignment w:val="auto"/>
              <w:rPr>
                <w:kern w:val="0"/>
                <w:highlight w:val="none"/>
                <w:lang w:bidi="ar"/>
              </w:rPr>
            </w:pPr>
            <w:r>
              <w:rPr>
                <w:rFonts w:hint="eastAsia"/>
                <w:kern w:val="0"/>
                <w:highlight w:val="none"/>
                <w:lang w:eastAsia="zh-CN" w:bidi="ar"/>
              </w:rPr>
              <w:t>（</w:t>
            </w:r>
            <w:r>
              <w:rPr>
                <w:rFonts w:hint="eastAsia"/>
                <w:kern w:val="0"/>
                <w:highlight w:val="none"/>
                <w:lang w:val="en-US" w:eastAsia="zh-CN" w:bidi="ar"/>
              </w:rPr>
              <w:t>4</w:t>
            </w:r>
            <w:r>
              <w:rPr>
                <w:rFonts w:hint="eastAsia"/>
                <w:kern w:val="0"/>
                <w:highlight w:val="none"/>
                <w:lang w:eastAsia="zh-CN" w:bidi="ar"/>
              </w:rPr>
              <w:t>）</w:t>
            </w:r>
            <w:r>
              <w:rPr>
                <w:rFonts w:hint="eastAsia"/>
                <w:kern w:val="0"/>
                <w:highlight w:val="none"/>
                <w:lang w:bidi="ar"/>
              </w:rPr>
              <w:t>土地复垦：针对矿山开采造成的地表破坏、水土流失等问题，采用工程措施和生物措施相结合的方式进行生态修复。通过种植植被、建设防护林等措施，恢复矿区的生态平衡。</w:t>
            </w:r>
          </w:p>
          <w:p w14:paraId="36E9FA23">
            <w:pPr>
              <w:keepNext w:val="0"/>
              <w:keepLines w:val="0"/>
              <w:pageBreakBefore w:val="0"/>
              <w:widowControl/>
              <w:kinsoku/>
              <w:wordWrap/>
              <w:overflowPunct/>
              <w:topLinePunct w:val="0"/>
              <w:autoSpaceDE/>
              <w:autoSpaceDN/>
              <w:bidi w:val="0"/>
              <w:adjustRightInd/>
              <w:snapToGrid/>
              <w:spacing w:line="480" w:lineRule="exact"/>
              <w:ind w:firstLine="482" w:firstLineChars="200"/>
              <w:textAlignment w:val="auto"/>
              <w:rPr>
                <w:b/>
                <w:bCs/>
                <w:kern w:val="0"/>
                <w:sz w:val="24"/>
                <w:highlight w:val="none"/>
                <w:lang w:bidi="ar"/>
              </w:rPr>
            </w:pPr>
            <w:r>
              <w:rPr>
                <w:rFonts w:hint="eastAsia"/>
                <w:b/>
                <w:bCs/>
                <w:kern w:val="0"/>
                <w:sz w:val="24"/>
                <w:highlight w:val="none"/>
                <w:lang w:bidi="ar"/>
              </w:rPr>
              <w:t>2.陆生植物保护措施</w:t>
            </w:r>
          </w:p>
          <w:p w14:paraId="640CE2B7">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kern w:val="0"/>
                <w:sz w:val="24"/>
                <w:highlight w:val="none"/>
                <w:lang w:bidi="ar"/>
              </w:rPr>
            </w:pPr>
            <w:r>
              <w:rPr>
                <w:rFonts w:hint="eastAsia"/>
                <w:kern w:val="0"/>
                <w:sz w:val="24"/>
                <w:highlight w:val="none"/>
                <w:lang w:bidi="ar"/>
              </w:rPr>
              <w:t>矿区范围内不存在珍稀濒危保护植物及古树名木，影响的植被为常见种，区域分布广，矿山开发不会对矿区植物种群的年龄结构、空间分布格局、种群更新等产生根本性影响，更不会使现有植物群落的物种组成及其比例发生改变，也不会造成某一种物种的消失，且在矿山闭坑后，在人工辅助下，通过恢复植被等措施可逐步弥补由矿山建设造成生物量和多样性减少的损失。</w:t>
            </w:r>
          </w:p>
          <w:p w14:paraId="74469612">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kern w:val="0"/>
                <w:sz w:val="24"/>
                <w:highlight w:val="none"/>
                <w:lang w:bidi="ar"/>
              </w:rPr>
            </w:pPr>
            <w:r>
              <w:rPr>
                <w:rFonts w:hint="eastAsia"/>
                <w:kern w:val="0"/>
                <w:sz w:val="24"/>
                <w:highlight w:val="none"/>
                <w:lang w:bidi="ar"/>
              </w:rPr>
              <w:t>项目运营期间需保护好非规划用地植被，减少生态环境破坏；主要陆生植物保护措施如下：</w:t>
            </w:r>
          </w:p>
          <w:p w14:paraId="2CBE4509">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kern w:val="0"/>
                <w:sz w:val="24"/>
                <w:highlight w:val="none"/>
                <w:lang w:bidi="ar"/>
              </w:rPr>
            </w:pPr>
            <w:r>
              <w:rPr>
                <w:rFonts w:hint="eastAsia"/>
                <w:kern w:val="0"/>
                <w:sz w:val="24"/>
                <w:highlight w:val="none"/>
                <w:lang w:bidi="ar"/>
              </w:rPr>
              <w:t>（1）不得随意开挖、填埋、毁坏矿区及周边区域原有灌木林地；</w:t>
            </w:r>
          </w:p>
          <w:p w14:paraId="560AFB3B">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kern w:val="0"/>
                <w:sz w:val="24"/>
                <w:highlight w:val="none"/>
                <w:lang w:bidi="ar"/>
              </w:rPr>
            </w:pPr>
            <w:r>
              <w:rPr>
                <w:rFonts w:hint="eastAsia"/>
                <w:kern w:val="0"/>
                <w:sz w:val="24"/>
                <w:highlight w:val="none"/>
                <w:lang w:bidi="ar"/>
              </w:rPr>
              <w:t>（2）禁止在非规划用地毁林开荒、放火烧山，不得随意砍伐矿区周边现有树木；</w:t>
            </w:r>
          </w:p>
          <w:p w14:paraId="5DC61BED">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kern w:val="0"/>
                <w:sz w:val="24"/>
                <w:highlight w:val="none"/>
                <w:lang w:bidi="ar"/>
              </w:rPr>
            </w:pPr>
            <w:r>
              <w:rPr>
                <w:rFonts w:hint="eastAsia"/>
                <w:kern w:val="0"/>
                <w:sz w:val="24"/>
                <w:highlight w:val="none"/>
                <w:lang w:bidi="ar"/>
              </w:rPr>
              <w:t>（3）通过“边开采、边复垦”方式及时植树绿化、恢复植被、尽快清理滑落到山坡植被上的土方，恢复原有植被生长状态。</w:t>
            </w:r>
          </w:p>
          <w:p w14:paraId="1EF03BAE">
            <w:pPr>
              <w:keepNext w:val="0"/>
              <w:keepLines w:val="0"/>
              <w:pageBreakBefore w:val="0"/>
              <w:widowControl/>
              <w:kinsoku/>
              <w:wordWrap/>
              <w:overflowPunct/>
              <w:topLinePunct w:val="0"/>
              <w:autoSpaceDE/>
              <w:autoSpaceDN/>
              <w:bidi w:val="0"/>
              <w:adjustRightInd/>
              <w:snapToGrid/>
              <w:spacing w:line="480" w:lineRule="exact"/>
              <w:ind w:firstLine="482" w:firstLineChars="200"/>
              <w:textAlignment w:val="auto"/>
              <w:rPr>
                <w:b/>
                <w:bCs/>
                <w:kern w:val="0"/>
                <w:sz w:val="24"/>
                <w:highlight w:val="none"/>
                <w:lang w:bidi="ar"/>
              </w:rPr>
            </w:pPr>
            <w:r>
              <w:rPr>
                <w:rFonts w:hint="eastAsia"/>
                <w:b/>
                <w:bCs/>
                <w:kern w:val="0"/>
                <w:sz w:val="24"/>
                <w:highlight w:val="none"/>
                <w:lang w:bidi="ar"/>
              </w:rPr>
              <w:t>3.陆生动物保护措施</w:t>
            </w:r>
          </w:p>
          <w:p w14:paraId="62AEF8C8">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kern w:val="0"/>
                <w:sz w:val="24"/>
                <w:highlight w:val="none"/>
                <w:lang w:bidi="ar"/>
              </w:rPr>
            </w:pPr>
            <w:r>
              <w:rPr>
                <w:rFonts w:hint="eastAsia"/>
                <w:kern w:val="0"/>
                <w:sz w:val="24"/>
                <w:highlight w:val="none"/>
                <w:lang w:bidi="ar"/>
              </w:rPr>
              <w:t>矿区野生动物种类少，无大型野生哺乳动物，现有的野生动物多为一些常见的</w:t>
            </w:r>
            <w:r>
              <w:rPr>
                <w:rFonts w:hint="eastAsia"/>
                <w:kern w:val="0"/>
                <w:sz w:val="24"/>
                <w:highlight w:val="none"/>
                <w:lang w:val="en-US" w:eastAsia="zh-CN" w:bidi="ar"/>
              </w:rPr>
              <w:t>鼠类</w:t>
            </w:r>
            <w:r>
              <w:rPr>
                <w:rFonts w:hint="eastAsia"/>
                <w:kern w:val="0"/>
                <w:sz w:val="24"/>
                <w:highlight w:val="none"/>
                <w:lang w:bidi="ar"/>
              </w:rPr>
              <w:t>、</w:t>
            </w:r>
            <w:r>
              <w:rPr>
                <w:rFonts w:hint="eastAsia"/>
                <w:kern w:val="0"/>
                <w:sz w:val="24"/>
                <w:highlight w:val="none"/>
                <w:lang w:val="en-US" w:eastAsia="zh-CN" w:bidi="ar"/>
              </w:rPr>
              <w:t>鸟类</w:t>
            </w:r>
            <w:r>
              <w:rPr>
                <w:rFonts w:hint="eastAsia"/>
                <w:kern w:val="0"/>
                <w:sz w:val="24"/>
                <w:highlight w:val="none"/>
                <w:lang w:bidi="ar"/>
              </w:rPr>
              <w:t>等，未发现珍稀野生保护动物，运营期对陆生动物不利影响是轻微的，矿山闭坑后通过生态治理可恢复。项目运营期禁止破坏矿区外环境，保护矿区周边野生动物生境，确保矿区周边野生动物生境与矿区内动物生境类似，主要陆生动物保护措施如下：</w:t>
            </w:r>
          </w:p>
          <w:p w14:paraId="1A94F5CA">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kern w:val="0"/>
                <w:sz w:val="24"/>
                <w:highlight w:val="none"/>
                <w:lang w:bidi="ar"/>
              </w:rPr>
            </w:pPr>
            <w:r>
              <w:rPr>
                <w:rFonts w:hint="eastAsia"/>
                <w:kern w:val="0"/>
                <w:sz w:val="24"/>
                <w:highlight w:val="none"/>
                <w:lang w:bidi="ar"/>
              </w:rPr>
              <w:t>（1）控制项目劳动定员，减少人类活动范围，加强员工教育管理；</w:t>
            </w:r>
          </w:p>
          <w:p w14:paraId="302F59C1">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kern w:val="0"/>
                <w:sz w:val="24"/>
                <w:highlight w:val="none"/>
                <w:lang w:bidi="ar"/>
              </w:rPr>
            </w:pPr>
            <w:r>
              <w:rPr>
                <w:rFonts w:hint="eastAsia"/>
                <w:kern w:val="0"/>
                <w:sz w:val="24"/>
                <w:highlight w:val="none"/>
                <w:lang w:bidi="ar"/>
              </w:rPr>
              <w:t>（2）增强员工野生动物保护意识，加强法纪观念，禁止乱捕滥杀，禁止捕食野生动物。</w:t>
            </w:r>
          </w:p>
          <w:p w14:paraId="42BEECCA">
            <w:pPr>
              <w:keepNext w:val="0"/>
              <w:keepLines w:val="0"/>
              <w:pageBreakBefore w:val="0"/>
              <w:widowControl/>
              <w:kinsoku/>
              <w:wordWrap/>
              <w:overflowPunct/>
              <w:topLinePunct w:val="0"/>
              <w:autoSpaceDE/>
              <w:autoSpaceDN/>
              <w:bidi w:val="0"/>
              <w:adjustRightInd/>
              <w:snapToGrid/>
              <w:spacing w:line="480" w:lineRule="exact"/>
              <w:ind w:firstLine="482" w:firstLineChars="200"/>
              <w:textAlignment w:val="auto"/>
              <w:rPr>
                <w:b/>
                <w:bCs/>
                <w:kern w:val="0"/>
                <w:sz w:val="24"/>
                <w:highlight w:val="none"/>
                <w:lang w:bidi="ar"/>
              </w:rPr>
            </w:pPr>
            <w:r>
              <w:rPr>
                <w:rFonts w:hint="eastAsia"/>
                <w:b/>
                <w:bCs/>
                <w:kern w:val="0"/>
                <w:sz w:val="24"/>
                <w:highlight w:val="none"/>
                <w:lang w:bidi="ar"/>
              </w:rPr>
              <w:t>4.水土流失防治措施</w:t>
            </w:r>
          </w:p>
          <w:p w14:paraId="73BA3B84">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kern w:val="0"/>
                <w:sz w:val="24"/>
                <w:highlight w:val="none"/>
                <w:lang w:bidi="ar"/>
              </w:rPr>
            </w:pPr>
            <w:r>
              <w:rPr>
                <w:rFonts w:hint="eastAsia"/>
                <w:kern w:val="0"/>
                <w:sz w:val="24"/>
                <w:highlight w:val="none"/>
                <w:lang w:bidi="ar"/>
              </w:rPr>
              <w:t>针对本项目运营期对水土流失的影响，提出如下防治措施：</w:t>
            </w:r>
          </w:p>
          <w:p w14:paraId="23426E76">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kern w:val="0"/>
                <w:sz w:val="24"/>
                <w:highlight w:val="none"/>
                <w:lang w:bidi="ar"/>
              </w:rPr>
            </w:pPr>
            <w:r>
              <w:rPr>
                <w:rFonts w:hint="eastAsia"/>
                <w:kern w:val="0"/>
                <w:sz w:val="24"/>
                <w:highlight w:val="none"/>
                <w:lang w:bidi="ar"/>
              </w:rPr>
              <w:t>（1）建设排水系统：</w:t>
            </w:r>
          </w:p>
          <w:p w14:paraId="128F81AD">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color w:val="auto"/>
                <w:kern w:val="0"/>
                <w:sz w:val="24"/>
                <w:highlight w:val="none"/>
                <w:lang w:bidi="ar"/>
              </w:rPr>
            </w:pPr>
            <w:r>
              <w:rPr>
                <w:rFonts w:hint="eastAsia"/>
                <w:color w:val="auto"/>
                <w:kern w:val="0"/>
                <w:sz w:val="24"/>
                <w:highlight w:val="none"/>
                <w:lang w:bidi="ar"/>
              </w:rPr>
              <w:t>在采场平台内缘挖设排水沟，排水沟断面为矩形，规格：0.4m（上宽）×0.4m（下宽）×0.5m（深度）。每一级平台设置一处集水池，收集的雨水经沉淀后用于</w:t>
            </w:r>
            <w:r>
              <w:rPr>
                <w:rFonts w:hint="eastAsia"/>
                <w:color w:val="auto"/>
                <w:sz w:val="24"/>
                <w:highlight w:val="none"/>
              </w:rPr>
              <w:t>采场</w:t>
            </w:r>
            <w:r>
              <w:rPr>
                <w:rFonts w:hint="eastAsia"/>
                <w:color w:val="auto"/>
                <w:kern w:val="0"/>
                <w:sz w:val="24"/>
                <w:highlight w:val="none"/>
                <w:lang w:bidi="ar"/>
              </w:rPr>
              <w:t>洒水抑尘。</w:t>
            </w:r>
          </w:p>
          <w:p w14:paraId="69BEC4B8">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color w:val="auto"/>
                <w:kern w:val="0"/>
                <w:sz w:val="24"/>
                <w:highlight w:val="none"/>
                <w:lang w:bidi="ar"/>
              </w:rPr>
            </w:pPr>
            <w:r>
              <w:rPr>
                <w:rFonts w:hint="eastAsia"/>
                <w:color w:val="auto"/>
                <w:kern w:val="0"/>
                <w:sz w:val="24"/>
                <w:highlight w:val="none"/>
                <w:lang w:bidi="ar"/>
              </w:rPr>
              <w:t>在排土场周边布设截水沟，采用浆砌石矩形断面形式，规格：0.5m（上宽）×0.4m（下宽）×0.4m（深度），最终汇入消力池。在台阶平台靠近边坡一侧设置马道排水沟（0.5m（上宽）×0.4m（下宽）×0.4m（深度）），沟壁与护坡联合设置，沟壁坡度1:1.5，底宽0.3m，净高0.3m，采用浆砌石结构。雨水漫流汇入马道排水沟后接入排土场外围截水沟内。</w:t>
            </w:r>
          </w:p>
          <w:p w14:paraId="0D945061">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color w:val="auto"/>
                <w:kern w:val="0"/>
                <w:sz w:val="24"/>
                <w:highlight w:val="none"/>
                <w:lang w:bidi="ar"/>
              </w:rPr>
            </w:pPr>
            <w:r>
              <w:rPr>
                <w:rFonts w:hint="eastAsia"/>
                <w:color w:val="auto"/>
                <w:kern w:val="0"/>
                <w:sz w:val="24"/>
                <w:highlight w:val="none"/>
                <w:lang w:bidi="ar"/>
              </w:rPr>
              <w:t>新建运矿道路靠山侧设置排水沟，排水沟断面为矩形，规格：0.4m（上宽）×0.4m（下宽）×0.5m（深度）。</w:t>
            </w:r>
          </w:p>
          <w:p w14:paraId="05678E4F">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kern w:val="0"/>
                <w:sz w:val="24"/>
                <w:highlight w:val="none"/>
                <w:lang w:bidi="ar"/>
              </w:rPr>
            </w:pPr>
            <w:r>
              <w:rPr>
                <w:rFonts w:hint="eastAsia"/>
                <w:kern w:val="0"/>
                <w:sz w:val="24"/>
                <w:highlight w:val="none"/>
                <w:lang w:bidi="ar"/>
              </w:rPr>
              <w:t>（2）废弃物处理：合理堆放和处理采矿废弃物，如废石、废渣等，避免其随意倾倒造成的水土流失和环境污染。</w:t>
            </w:r>
          </w:p>
          <w:p w14:paraId="70617614">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kern w:val="0"/>
                <w:sz w:val="24"/>
                <w:highlight w:val="none"/>
                <w:lang w:bidi="ar"/>
              </w:rPr>
            </w:pPr>
            <w:r>
              <w:rPr>
                <w:rFonts w:hint="eastAsia"/>
                <w:kern w:val="0"/>
                <w:sz w:val="24"/>
                <w:highlight w:val="none"/>
                <w:lang w:bidi="ar"/>
              </w:rPr>
              <w:t>（3）土地复垦：在采矿过程中及采矿结束后及时进行植被恢复，种植紫花苜蓿，对地面覆盖度大，在改良土壤理化性质、增加透水性、拦阻径流、防止冲刷效果明显的植物，以提高土壤抗蚀能力，减少水土流失。</w:t>
            </w:r>
          </w:p>
          <w:p w14:paraId="7EC70E49">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kern w:val="0"/>
                <w:sz w:val="24"/>
                <w:highlight w:val="none"/>
                <w:lang w:bidi="ar"/>
              </w:rPr>
            </w:pPr>
            <w:r>
              <w:rPr>
                <w:rFonts w:hint="eastAsia"/>
                <w:kern w:val="0"/>
                <w:sz w:val="24"/>
                <w:highlight w:val="none"/>
                <w:lang w:bidi="ar"/>
              </w:rPr>
              <w:t>（4）</w:t>
            </w:r>
            <w:r>
              <w:rPr>
                <w:kern w:val="0"/>
                <w:sz w:val="24"/>
                <w:highlight w:val="none"/>
                <w:lang w:bidi="ar"/>
              </w:rPr>
              <w:t>开展宣传教育：通过宣传教育，提高矿山企业和员工的水土保持意识，鼓励其积极参与水土流失防治工作。</w:t>
            </w:r>
          </w:p>
          <w:p w14:paraId="064C3CAB">
            <w:pPr>
              <w:pStyle w:val="13"/>
              <w:keepNext w:val="0"/>
              <w:keepLines w:val="0"/>
              <w:pageBreakBefore w:val="0"/>
              <w:kinsoku/>
              <w:wordWrap/>
              <w:overflowPunct/>
              <w:topLinePunct w:val="0"/>
              <w:autoSpaceDE/>
              <w:autoSpaceDN/>
              <w:bidi w:val="0"/>
              <w:adjustRightInd/>
              <w:snapToGrid/>
              <w:ind w:left="0" w:right="0" w:rightChars="0" w:firstLine="480" w:firstLineChars="200"/>
              <w:textAlignment w:val="auto"/>
              <w:rPr>
                <w:color w:val="FF0000"/>
                <w:highlight w:val="none"/>
              </w:rPr>
            </w:pPr>
            <w:r>
              <w:rPr>
                <w:rFonts w:hint="eastAsia"/>
                <w:bCs w:val="0"/>
                <w:kern w:val="0"/>
                <w:highlight w:val="none"/>
                <w:lang w:bidi="ar"/>
              </w:rPr>
              <w:t>通过采取以上措施，可有效降低运营期对水土流失的影响。</w:t>
            </w:r>
          </w:p>
          <w:p w14:paraId="3C9A57EC">
            <w:pPr>
              <w:keepNext w:val="0"/>
              <w:keepLines w:val="0"/>
              <w:pageBreakBefore w:val="0"/>
              <w:widowControl/>
              <w:kinsoku/>
              <w:wordWrap/>
              <w:overflowPunct/>
              <w:topLinePunct w:val="0"/>
              <w:autoSpaceDE/>
              <w:autoSpaceDN/>
              <w:bidi w:val="0"/>
              <w:adjustRightInd/>
              <w:snapToGrid/>
              <w:spacing w:line="480" w:lineRule="exact"/>
              <w:ind w:firstLine="482" w:firstLineChars="200"/>
              <w:textAlignment w:val="auto"/>
              <w:rPr>
                <w:kern w:val="0"/>
                <w:sz w:val="24"/>
                <w:highlight w:val="none"/>
                <w:lang w:bidi="ar"/>
              </w:rPr>
            </w:pPr>
            <w:r>
              <w:rPr>
                <w:rFonts w:hint="eastAsia"/>
                <w:b/>
                <w:bCs/>
                <w:kern w:val="0"/>
                <w:sz w:val="24"/>
                <w:highlight w:val="none"/>
                <w:lang w:bidi="ar"/>
              </w:rPr>
              <w:t>5.区域生物多样性保护措施</w:t>
            </w:r>
          </w:p>
          <w:p w14:paraId="066EB771">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kern w:val="0"/>
                <w:sz w:val="24"/>
                <w:highlight w:val="none"/>
                <w:lang w:bidi="ar"/>
              </w:rPr>
            </w:pPr>
            <w:r>
              <w:rPr>
                <w:rFonts w:hint="eastAsia"/>
                <w:kern w:val="0"/>
                <w:sz w:val="24"/>
                <w:highlight w:val="none"/>
                <w:lang w:bidi="ar"/>
              </w:rPr>
              <w:t>项目区域生物多样性一般，项目矿区范围所占土地用地类型主要为林地，植被物种均为自然植被和区域常见、分布广泛物种，组成结构较为简单，矿区内植被在矿区周边均有分布。区域野生动物数量较少，无国家重点保护野生动物，仅有鼠、蛙、兔、鸟类等常见野生动物，主要区域生物多样性保护措施如下：</w:t>
            </w:r>
          </w:p>
          <w:p w14:paraId="19FF6F5C">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kern w:val="0"/>
                <w:sz w:val="24"/>
                <w:highlight w:val="none"/>
                <w:lang w:bidi="ar"/>
              </w:rPr>
            </w:pPr>
            <w:r>
              <w:rPr>
                <w:rFonts w:hint="eastAsia"/>
                <w:kern w:val="0"/>
                <w:sz w:val="24"/>
                <w:highlight w:val="none"/>
                <w:lang w:bidi="ar"/>
              </w:rPr>
              <w:t>（1）控制矿山开采范围，坚决不破坏矿区周边生态，即可有效保护区域多样性；</w:t>
            </w:r>
          </w:p>
          <w:p w14:paraId="100B4C3C">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kern w:val="0"/>
                <w:sz w:val="24"/>
                <w:highlight w:val="none"/>
                <w:lang w:bidi="ar"/>
              </w:rPr>
            </w:pPr>
            <w:r>
              <w:rPr>
                <w:rFonts w:hint="eastAsia"/>
                <w:kern w:val="0"/>
                <w:sz w:val="24"/>
                <w:highlight w:val="none"/>
                <w:lang w:bidi="ar"/>
              </w:rPr>
              <w:t>（2）通过设立护林防火、野生动植物保护标牌及张贴标语等手段，提高员工、当地群众对生物多样性保护意识，杜绝滥捕</w:t>
            </w:r>
            <w:r>
              <w:rPr>
                <w:rFonts w:hint="eastAsia"/>
                <w:kern w:val="0"/>
                <w:sz w:val="24"/>
                <w:highlight w:val="none"/>
                <w:lang w:eastAsia="zh-CN" w:bidi="ar"/>
              </w:rPr>
              <w:t>滥</w:t>
            </w:r>
            <w:r>
              <w:rPr>
                <w:rFonts w:hint="eastAsia"/>
                <w:kern w:val="0"/>
                <w:sz w:val="24"/>
                <w:highlight w:val="none"/>
                <w:lang w:bidi="ar"/>
              </w:rPr>
              <w:t>猎等人为干扰现象破坏地区某些野生动物种群数量，保护生态系统的多样性。</w:t>
            </w:r>
          </w:p>
          <w:p w14:paraId="7C11DFB5">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kern w:val="0"/>
                <w:sz w:val="24"/>
                <w:highlight w:val="none"/>
                <w:lang w:bidi="ar"/>
              </w:rPr>
            </w:pPr>
            <w:r>
              <w:rPr>
                <w:kern w:val="0"/>
                <w:sz w:val="24"/>
                <w:highlight w:val="none"/>
                <w:lang w:bidi="ar"/>
              </w:rPr>
              <w:t>③</w:t>
            </w:r>
            <w:r>
              <w:rPr>
                <w:rFonts w:hint="eastAsia"/>
                <w:kern w:val="0"/>
                <w:sz w:val="24"/>
                <w:highlight w:val="none"/>
                <w:lang w:bidi="ar"/>
              </w:rPr>
              <w:t>做好矿山绿色工作，将因矿山开采破坏而分散的绿色节点联系起来，形成生物活动绿色廊道网以削弱生态环境隔离效应，同时降低矿山生产噪音、空气污染程度，从而达到保护生物栖息、繁殖地的目的。</w:t>
            </w:r>
          </w:p>
          <w:p w14:paraId="2669501B">
            <w:pPr>
              <w:keepNext w:val="0"/>
              <w:keepLines w:val="0"/>
              <w:pageBreakBefore w:val="0"/>
              <w:widowControl/>
              <w:kinsoku/>
              <w:wordWrap/>
              <w:overflowPunct/>
              <w:topLinePunct w:val="0"/>
              <w:autoSpaceDE/>
              <w:autoSpaceDN/>
              <w:bidi w:val="0"/>
              <w:adjustRightInd/>
              <w:snapToGrid/>
              <w:spacing w:line="480" w:lineRule="exact"/>
              <w:ind w:firstLine="482" w:firstLineChars="200"/>
              <w:textAlignment w:val="auto"/>
              <w:rPr>
                <w:b/>
                <w:bCs/>
                <w:kern w:val="0"/>
                <w:sz w:val="24"/>
                <w:highlight w:val="none"/>
                <w:lang w:bidi="ar"/>
              </w:rPr>
            </w:pPr>
            <w:r>
              <w:rPr>
                <w:rFonts w:hint="eastAsia"/>
                <w:b/>
                <w:bCs/>
                <w:kern w:val="0"/>
                <w:sz w:val="24"/>
                <w:highlight w:val="none"/>
                <w:lang w:bidi="ar"/>
              </w:rPr>
              <w:t>6.景观环境保护措施</w:t>
            </w:r>
          </w:p>
          <w:p w14:paraId="06609FD0">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kern w:val="0"/>
                <w:sz w:val="24"/>
                <w:highlight w:val="none"/>
                <w:lang w:bidi="ar"/>
              </w:rPr>
            </w:pPr>
            <w:r>
              <w:rPr>
                <w:rFonts w:hint="eastAsia"/>
                <w:kern w:val="0"/>
                <w:sz w:val="24"/>
                <w:highlight w:val="none"/>
                <w:lang w:bidi="ar"/>
              </w:rPr>
              <w:t>景观环境影响来源于破坏地表原有植被、改变原有景观结构，使简单的自然景观向复杂的工业景观发展，项目运营期间禁止破坏矿区外周边景观环境，将景观影响控制在矿区范围内，减少景观破坏面积。主要景观环境保护措施如下：</w:t>
            </w:r>
          </w:p>
          <w:p w14:paraId="2FD26B4A">
            <w:pPr>
              <w:keepNext w:val="0"/>
              <w:keepLines w:val="0"/>
              <w:pageBreakBefore w:val="0"/>
              <w:widowControl/>
              <w:numPr>
                <w:ilvl w:val="0"/>
                <w:numId w:val="0"/>
              </w:numPr>
              <w:kinsoku/>
              <w:wordWrap/>
              <w:overflowPunct/>
              <w:topLinePunct w:val="0"/>
              <w:autoSpaceDE/>
              <w:autoSpaceDN/>
              <w:bidi w:val="0"/>
              <w:adjustRightInd/>
              <w:snapToGrid/>
              <w:spacing w:line="480" w:lineRule="exact"/>
              <w:ind w:firstLine="480" w:firstLineChars="200"/>
              <w:textAlignment w:val="auto"/>
              <w:rPr>
                <w:kern w:val="0"/>
                <w:sz w:val="24"/>
                <w:highlight w:val="none"/>
                <w:lang w:bidi="ar"/>
              </w:rPr>
            </w:pPr>
            <w:r>
              <w:rPr>
                <w:rFonts w:hint="eastAsia"/>
                <w:kern w:val="0"/>
                <w:sz w:val="24"/>
                <w:highlight w:val="none"/>
                <w:lang w:eastAsia="zh-CN" w:bidi="ar"/>
              </w:rPr>
              <w:t>（</w:t>
            </w:r>
            <w:r>
              <w:rPr>
                <w:rFonts w:hint="eastAsia"/>
                <w:kern w:val="0"/>
                <w:sz w:val="24"/>
                <w:highlight w:val="none"/>
                <w:lang w:val="en-US" w:eastAsia="zh-CN" w:bidi="ar"/>
              </w:rPr>
              <w:t>1</w:t>
            </w:r>
            <w:r>
              <w:rPr>
                <w:rFonts w:hint="eastAsia"/>
                <w:kern w:val="0"/>
                <w:sz w:val="24"/>
                <w:highlight w:val="none"/>
                <w:lang w:eastAsia="zh-CN" w:bidi="ar"/>
              </w:rPr>
              <w:t>）</w:t>
            </w:r>
            <w:r>
              <w:rPr>
                <w:rFonts w:hint="eastAsia"/>
                <w:kern w:val="0"/>
                <w:sz w:val="24"/>
                <w:highlight w:val="none"/>
                <w:lang w:bidi="ar"/>
              </w:rPr>
              <w:t>做好剥离废土的合理堆放，剥离物及时用于后续道路修建或送至排土场进行规范化处置；</w:t>
            </w:r>
          </w:p>
          <w:p w14:paraId="18555829">
            <w:pPr>
              <w:keepNext w:val="0"/>
              <w:keepLines w:val="0"/>
              <w:pageBreakBefore w:val="0"/>
              <w:widowControl/>
              <w:numPr>
                <w:ilvl w:val="0"/>
                <w:numId w:val="0"/>
              </w:numPr>
              <w:kinsoku/>
              <w:wordWrap/>
              <w:overflowPunct/>
              <w:topLinePunct w:val="0"/>
              <w:autoSpaceDE/>
              <w:autoSpaceDN/>
              <w:bidi w:val="0"/>
              <w:adjustRightInd/>
              <w:snapToGrid/>
              <w:spacing w:line="480" w:lineRule="exact"/>
              <w:ind w:firstLine="480" w:firstLineChars="200"/>
              <w:textAlignment w:val="auto"/>
              <w:rPr>
                <w:kern w:val="0"/>
                <w:sz w:val="24"/>
                <w:highlight w:val="none"/>
                <w:lang w:bidi="ar"/>
              </w:rPr>
            </w:pPr>
            <w:r>
              <w:rPr>
                <w:rFonts w:hint="eastAsia"/>
                <w:kern w:val="0"/>
                <w:sz w:val="24"/>
                <w:highlight w:val="none"/>
                <w:lang w:eastAsia="zh-CN" w:bidi="ar"/>
              </w:rPr>
              <w:t>（</w:t>
            </w:r>
            <w:r>
              <w:rPr>
                <w:rFonts w:hint="eastAsia"/>
                <w:kern w:val="0"/>
                <w:sz w:val="24"/>
                <w:highlight w:val="none"/>
                <w:lang w:val="en-US" w:eastAsia="zh-CN" w:bidi="ar"/>
              </w:rPr>
              <w:t>2</w:t>
            </w:r>
            <w:r>
              <w:rPr>
                <w:rFonts w:hint="eastAsia"/>
                <w:kern w:val="0"/>
                <w:sz w:val="24"/>
                <w:highlight w:val="none"/>
                <w:lang w:eastAsia="zh-CN" w:bidi="ar"/>
              </w:rPr>
              <w:t>）</w:t>
            </w:r>
            <w:r>
              <w:rPr>
                <w:rFonts w:hint="eastAsia"/>
                <w:kern w:val="0"/>
                <w:sz w:val="24"/>
                <w:highlight w:val="none"/>
                <w:lang w:bidi="ar"/>
              </w:rPr>
              <w:t>按照矿山生态保护修复方案，按照“边开采、边修复”的原则进行矿山复垦，最大限度恢复矿山原有景观，维持景观破坏面积动态平衡，降低景观影响。</w:t>
            </w:r>
          </w:p>
          <w:p w14:paraId="7030CB7E">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kern w:val="0"/>
                <w:sz w:val="24"/>
                <w:highlight w:val="none"/>
                <w:lang w:bidi="ar"/>
              </w:rPr>
            </w:pPr>
            <w:r>
              <w:rPr>
                <w:rFonts w:hint="eastAsia"/>
                <w:kern w:val="0"/>
                <w:sz w:val="24"/>
                <w:highlight w:val="none"/>
                <w:lang w:bidi="ar"/>
              </w:rPr>
              <w:t>（3）生产建设中，通过现场实地巡查和测量对地形地貌景观破坏面积、植被破坏面积和类型进行监测。</w:t>
            </w:r>
          </w:p>
          <w:p w14:paraId="10E43906">
            <w:pPr>
              <w:keepNext w:val="0"/>
              <w:keepLines w:val="0"/>
              <w:pageBreakBefore w:val="0"/>
              <w:widowControl/>
              <w:kinsoku/>
              <w:wordWrap/>
              <w:overflowPunct/>
              <w:topLinePunct w:val="0"/>
              <w:autoSpaceDE/>
              <w:autoSpaceDN/>
              <w:bidi w:val="0"/>
              <w:adjustRightInd/>
              <w:snapToGrid/>
              <w:spacing w:line="480" w:lineRule="exact"/>
              <w:ind w:firstLine="482" w:firstLineChars="200"/>
              <w:textAlignment w:val="auto"/>
              <w:rPr>
                <w:b/>
                <w:bCs/>
                <w:kern w:val="0"/>
                <w:sz w:val="24"/>
                <w:lang w:bidi="ar"/>
              </w:rPr>
            </w:pPr>
            <w:r>
              <w:rPr>
                <w:rFonts w:hint="eastAsia"/>
                <w:b/>
                <w:bCs/>
                <w:kern w:val="0"/>
                <w:sz w:val="24"/>
                <w:lang w:bidi="ar"/>
              </w:rPr>
              <w:t>7.生态恢复治理措施</w:t>
            </w:r>
          </w:p>
          <w:p w14:paraId="362C86C8">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kern w:val="0"/>
                <w:sz w:val="24"/>
                <w:highlight w:val="red"/>
                <w:lang w:bidi="ar"/>
              </w:rPr>
            </w:pPr>
            <w:r>
              <w:rPr>
                <w:rFonts w:hint="eastAsia"/>
                <w:kern w:val="0"/>
                <w:sz w:val="24"/>
                <w:lang w:bidi="ar"/>
              </w:rPr>
              <w:t>根据《山西省盂县石鑫矿业有限公司饰面用花岗岩矿资源开发利用和矿山环境保护与土地复垦方案》，原盂县西潘乡鑫盛石矿周边存在已采区。本次恢复治理范围为：</w:t>
            </w:r>
            <w:r>
              <w:rPr>
                <w:rFonts w:hint="eastAsia"/>
                <w:sz w:val="24"/>
              </w:rPr>
              <w:t>矿界内采场、运矿道路、排土场、办公生活区及矿界周边</w:t>
            </w:r>
            <w:r>
              <w:rPr>
                <w:rFonts w:hint="eastAsia"/>
                <w:kern w:val="0"/>
                <w:sz w:val="24"/>
                <w:lang w:bidi="ar"/>
              </w:rPr>
              <w:t>已采区</w:t>
            </w:r>
            <w:r>
              <w:rPr>
                <w:rFonts w:hint="eastAsia"/>
                <w:sz w:val="24"/>
              </w:rPr>
              <w:t>等</w:t>
            </w:r>
            <w:r>
              <w:rPr>
                <w:rFonts w:hint="eastAsia"/>
                <w:kern w:val="0"/>
                <w:sz w:val="24"/>
                <w:lang w:bidi="ar"/>
              </w:rPr>
              <w:t>。本矿生态环境恢复措施如下：</w:t>
            </w:r>
          </w:p>
          <w:p w14:paraId="03EEC7E1">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kern w:val="0"/>
                <w:sz w:val="24"/>
                <w:lang w:bidi="ar"/>
              </w:rPr>
            </w:pPr>
            <w:r>
              <w:rPr>
                <w:rFonts w:hint="eastAsia"/>
                <w:kern w:val="0"/>
                <w:sz w:val="24"/>
                <w:lang w:bidi="ar"/>
              </w:rPr>
              <w:t>（1）运营期生态绿化措施</w:t>
            </w:r>
          </w:p>
          <w:p w14:paraId="47C475F5">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color w:val="000000"/>
                <w:kern w:val="0"/>
                <w:sz w:val="24"/>
                <w:highlight w:val="red"/>
                <w:lang w:bidi="ar"/>
              </w:rPr>
            </w:pPr>
            <w:r>
              <w:rPr>
                <w:rFonts w:hint="eastAsia"/>
                <w:color w:val="000000"/>
                <w:kern w:val="0"/>
                <w:sz w:val="24"/>
                <w:lang w:bidi="ar"/>
              </w:rPr>
              <w:t>运矿道路</w:t>
            </w:r>
          </w:p>
          <w:p w14:paraId="0DF6E16D">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color w:val="0000FF"/>
                <w:kern w:val="0"/>
                <w:sz w:val="24"/>
                <w:lang w:bidi="ar"/>
              </w:rPr>
            </w:pPr>
            <w:r>
              <w:rPr>
                <w:rFonts w:hint="eastAsia"/>
                <w:color w:val="000000"/>
                <w:kern w:val="0"/>
                <w:sz w:val="24"/>
                <w:lang w:bidi="ar"/>
              </w:rPr>
              <w:t>本矿拟在运矿道路两侧种植行道树进行绿化，栽种新疆杨（五年生裸根）为主，间距3米，形成林带。</w:t>
            </w:r>
            <w:r>
              <w:rPr>
                <w:rFonts w:hint="eastAsia"/>
                <w:color w:val="000000"/>
                <w:kern w:val="0"/>
                <w:sz w:val="24"/>
                <w:lang w:val="en-US" w:eastAsia="zh-CN" w:bidi="ar"/>
              </w:rPr>
              <w:t>运矿</w:t>
            </w:r>
            <w:r>
              <w:rPr>
                <w:rFonts w:hint="eastAsia"/>
                <w:color w:val="000000"/>
                <w:kern w:val="0"/>
                <w:sz w:val="24"/>
                <w:lang w:bidi="ar"/>
              </w:rPr>
              <w:t>道路</w:t>
            </w:r>
            <w:r>
              <w:rPr>
                <w:rFonts w:hint="eastAsia"/>
                <w:color w:val="000000"/>
                <w:kern w:val="0"/>
                <w:sz w:val="24"/>
                <w:lang w:val="en-US" w:eastAsia="zh-CN" w:bidi="ar"/>
              </w:rPr>
              <w:t>总</w:t>
            </w:r>
            <w:r>
              <w:rPr>
                <w:rFonts w:hint="eastAsia"/>
                <w:color w:val="000000"/>
                <w:kern w:val="0"/>
                <w:sz w:val="24"/>
                <w:lang w:bidi="ar"/>
              </w:rPr>
              <w:t>长约</w:t>
            </w:r>
            <w:r>
              <w:rPr>
                <w:color w:val="000000"/>
                <w:kern w:val="0"/>
                <w:sz w:val="24"/>
                <w:lang w:bidi="ar"/>
              </w:rPr>
              <w:t>3410</w:t>
            </w:r>
            <w:r>
              <w:rPr>
                <w:rFonts w:hint="eastAsia"/>
                <w:color w:val="000000"/>
                <w:kern w:val="0"/>
                <w:sz w:val="24"/>
                <w:lang w:bidi="ar"/>
              </w:rPr>
              <w:t>m，共种植新疆杨</w:t>
            </w:r>
            <w:r>
              <w:rPr>
                <w:color w:val="000000"/>
                <w:kern w:val="0"/>
                <w:sz w:val="24"/>
                <w:lang w:bidi="ar"/>
              </w:rPr>
              <w:t>2274</w:t>
            </w:r>
            <w:r>
              <w:rPr>
                <w:rFonts w:hint="eastAsia"/>
                <w:color w:val="000000"/>
                <w:kern w:val="0"/>
                <w:sz w:val="24"/>
                <w:lang w:bidi="ar"/>
              </w:rPr>
              <w:t>株。</w:t>
            </w:r>
          </w:p>
          <w:p w14:paraId="4BB21F32">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rFonts w:hint="eastAsia"/>
                <w:kern w:val="0"/>
                <w:sz w:val="24"/>
                <w:lang w:val="en-US" w:eastAsia="zh-CN" w:bidi="ar"/>
              </w:rPr>
            </w:pPr>
            <w:r>
              <w:rPr>
                <w:rFonts w:hint="eastAsia"/>
                <w:kern w:val="0"/>
                <w:sz w:val="24"/>
                <w:lang w:val="en-US" w:eastAsia="zh-CN" w:bidi="ar"/>
              </w:rPr>
              <w:t>办公生活区</w:t>
            </w:r>
          </w:p>
          <w:p w14:paraId="0E0E0286">
            <w:pPr>
              <w:pStyle w:val="2"/>
              <w:keepNext w:val="0"/>
              <w:keepLines w:val="0"/>
              <w:pageBreakBefore w:val="0"/>
              <w:widowControl w:val="0"/>
              <w:kinsoku/>
              <w:wordWrap/>
              <w:overflowPunct/>
              <w:topLinePunct w:val="0"/>
              <w:autoSpaceDE/>
              <w:autoSpaceDN/>
              <w:bidi w:val="0"/>
              <w:adjustRightInd/>
              <w:snapToGrid/>
              <w:spacing w:after="0" w:line="480" w:lineRule="exact"/>
              <w:ind w:left="0" w:leftChars="0" w:firstLine="480" w:firstLineChars="200"/>
              <w:textAlignment w:val="auto"/>
              <w:rPr>
                <w:rFonts w:hint="eastAsia"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总绿化面积600m</w:t>
            </w:r>
            <w:r>
              <w:rPr>
                <w:rFonts w:hint="eastAsia" w:ascii="Times New Roman" w:hAnsi="Times New Roman" w:eastAsia="宋体" w:cs="Times New Roman"/>
                <w:color w:val="000000"/>
                <w:kern w:val="0"/>
                <w:sz w:val="24"/>
                <w:szCs w:val="24"/>
                <w:vertAlign w:val="superscript"/>
                <w:lang w:val="en-US" w:eastAsia="zh-CN" w:bidi="ar"/>
              </w:rPr>
              <w:t>2</w:t>
            </w:r>
            <w:r>
              <w:rPr>
                <w:rFonts w:hint="eastAsia" w:ascii="Times New Roman" w:hAnsi="Times New Roman" w:eastAsia="宋体" w:cs="Times New Roman"/>
                <w:color w:val="000000"/>
                <w:kern w:val="0"/>
                <w:sz w:val="24"/>
                <w:szCs w:val="24"/>
                <w:lang w:val="en-US" w:eastAsia="zh-CN" w:bidi="ar"/>
              </w:rPr>
              <w:t>，共计需种植垂柳300株、丁香100株、连翘100株、榆叶梅100株、播撒黑麦草0.03hm</w:t>
            </w:r>
            <w:r>
              <w:rPr>
                <w:rFonts w:hint="eastAsia" w:ascii="Times New Roman" w:hAnsi="Times New Roman" w:eastAsia="宋体" w:cs="Times New Roman"/>
                <w:color w:val="000000"/>
                <w:kern w:val="0"/>
                <w:sz w:val="24"/>
                <w:szCs w:val="24"/>
                <w:vertAlign w:val="superscript"/>
                <w:lang w:val="en-US" w:eastAsia="zh-CN" w:bidi="ar"/>
              </w:rPr>
              <w:t>2</w:t>
            </w:r>
            <w:r>
              <w:rPr>
                <w:rFonts w:hint="eastAsia" w:ascii="Times New Roman" w:hAnsi="Times New Roman" w:eastAsia="宋体" w:cs="Times New Roman"/>
                <w:color w:val="000000"/>
                <w:kern w:val="0"/>
                <w:sz w:val="24"/>
                <w:szCs w:val="24"/>
                <w:lang w:val="en-US" w:eastAsia="zh-CN" w:bidi="ar"/>
              </w:rPr>
              <w:t>、白三叶0.02hm</w:t>
            </w:r>
            <w:r>
              <w:rPr>
                <w:rFonts w:hint="eastAsia" w:ascii="Times New Roman" w:hAnsi="Times New Roman" w:eastAsia="宋体" w:cs="Times New Roman"/>
                <w:color w:val="000000"/>
                <w:kern w:val="0"/>
                <w:sz w:val="24"/>
                <w:szCs w:val="24"/>
                <w:vertAlign w:val="superscript"/>
                <w:lang w:val="en-US" w:eastAsia="zh-CN" w:bidi="ar"/>
              </w:rPr>
              <w:t>2</w:t>
            </w:r>
            <w:r>
              <w:rPr>
                <w:rFonts w:hint="eastAsia" w:ascii="Times New Roman" w:hAnsi="Times New Roman" w:eastAsia="宋体" w:cs="Times New Roman"/>
                <w:color w:val="000000"/>
                <w:kern w:val="0"/>
                <w:sz w:val="24"/>
                <w:szCs w:val="24"/>
                <w:lang w:val="en-US" w:eastAsia="zh-CN" w:bidi="ar"/>
              </w:rPr>
              <w:t>、八宝景天0.01hm</w:t>
            </w:r>
            <w:r>
              <w:rPr>
                <w:rFonts w:hint="eastAsia" w:ascii="Times New Roman" w:hAnsi="Times New Roman" w:eastAsia="宋体" w:cs="Times New Roman"/>
                <w:color w:val="000000"/>
                <w:kern w:val="0"/>
                <w:sz w:val="24"/>
                <w:szCs w:val="24"/>
                <w:vertAlign w:val="superscript"/>
                <w:lang w:val="en-US" w:eastAsia="zh-CN" w:bidi="ar"/>
              </w:rPr>
              <w:t>2</w:t>
            </w:r>
            <w:r>
              <w:rPr>
                <w:rFonts w:hint="eastAsia" w:ascii="Times New Roman" w:hAnsi="Times New Roman" w:eastAsia="宋体" w:cs="Times New Roman"/>
                <w:color w:val="000000"/>
                <w:kern w:val="0"/>
                <w:sz w:val="24"/>
                <w:szCs w:val="24"/>
                <w:lang w:val="en-US" w:eastAsia="zh-CN" w:bidi="ar"/>
              </w:rPr>
              <w:t>。</w:t>
            </w:r>
          </w:p>
          <w:p w14:paraId="5CB259B6">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kern w:val="0"/>
                <w:sz w:val="24"/>
                <w:lang w:bidi="ar"/>
              </w:rPr>
            </w:pPr>
            <w:r>
              <w:rPr>
                <w:rFonts w:hint="eastAsia"/>
                <w:kern w:val="0"/>
                <w:sz w:val="24"/>
                <w:lang w:bidi="ar"/>
              </w:rPr>
              <w:t>（2）生态恢复方案</w:t>
            </w:r>
          </w:p>
          <w:p w14:paraId="66B6AC3F">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kern w:val="0"/>
                <w:sz w:val="24"/>
                <w:lang w:bidi="ar"/>
              </w:rPr>
            </w:pPr>
            <w:r>
              <w:rPr>
                <w:rFonts w:hint="eastAsia"/>
                <w:kern w:val="0"/>
                <w:sz w:val="24"/>
                <w:lang w:bidi="ar"/>
              </w:rPr>
              <w:t>1）适宜性评价</w:t>
            </w:r>
          </w:p>
          <w:p w14:paraId="3B8D4D63">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kern w:val="0"/>
                <w:sz w:val="24"/>
                <w:lang w:bidi="ar"/>
              </w:rPr>
            </w:pPr>
            <w:r>
              <w:rPr>
                <w:rFonts w:hint="eastAsia"/>
                <w:sz w:val="24"/>
              </w:rPr>
              <w:t>盂县石鑫矿业有限公司</w:t>
            </w:r>
            <w:r>
              <w:rPr>
                <w:rFonts w:hint="eastAsia"/>
                <w:kern w:val="0"/>
                <w:sz w:val="24"/>
                <w:lang w:bidi="ar"/>
              </w:rPr>
              <w:t>土地复垦责任范围包括服务年限内生产建设过程中的露天采场对土地造成的挖损损毁区域，排土场、新建运矿道路的压占损毁区域，</w:t>
            </w:r>
            <w:r>
              <w:rPr>
                <w:rFonts w:hint="eastAsia"/>
                <w:sz w:val="24"/>
              </w:rPr>
              <w:t>矿界周边已采区等</w:t>
            </w:r>
            <w:r>
              <w:rPr>
                <w:rFonts w:hint="eastAsia"/>
                <w:kern w:val="0"/>
                <w:sz w:val="24"/>
                <w:lang w:bidi="ar"/>
              </w:rPr>
              <w:t>。</w:t>
            </w:r>
          </w:p>
          <w:p w14:paraId="0B193D33">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b/>
                <w:bCs/>
                <w:kern w:val="0"/>
                <w:sz w:val="24"/>
                <w:lang w:bidi="ar"/>
              </w:rPr>
            </w:pPr>
            <w:r>
              <w:rPr>
                <w:rFonts w:hint="eastAsia"/>
                <w:kern w:val="0"/>
                <w:sz w:val="24"/>
                <w:lang w:bidi="ar"/>
              </w:rPr>
              <w:t>结合本矿区的实际情况及其他矿区的复垦经验，参考《土地复垦质量控制标准》等确定复垦区土地复垦适宜性评价的等级标准，根据初步确定的复垦方向，结合考虑项目区的实际情况和损毁预测结果，确定以地形坡度、有效土层厚度、土壤质地、土壤有机质等四项因素建立评价指标，见</w:t>
            </w:r>
            <w:r>
              <w:rPr>
                <w:rFonts w:hint="eastAsia"/>
                <w:kern w:val="0"/>
                <w:sz w:val="24"/>
              </w:rPr>
              <w:t>表5-1。</w:t>
            </w:r>
          </w:p>
          <w:p w14:paraId="18ACD08B">
            <w:pPr>
              <w:pStyle w:val="72"/>
              <w:keepNext w:val="0"/>
              <w:keepLines w:val="0"/>
              <w:pageBreakBefore w:val="0"/>
              <w:kinsoku/>
              <w:wordWrap/>
              <w:overflowPunct/>
              <w:topLinePunct w:val="0"/>
              <w:autoSpaceDE/>
              <w:autoSpaceDN/>
              <w:bidi w:val="0"/>
              <w:adjustRightInd/>
              <w:snapToGrid/>
              <w:spacing w:line="480" w:lineRule="exact"/>
              <w:ind w:firstLine="0" w:firstLineChars="0"/>
              <w:jc w:val="center"/>
              <w:textAlignment w:val="auto"/>
              <w:rPr>
                <w:rFonts w:hAnsi="宋体" w:cs="宋体"/>
                <w:bCs w:val="0"/>
                <w:color w:val="auto"/>
                <w:sz w:val="21"/>
                <w:szCs w:val="21"/>
                <w:lang w:val="zh-CN" w:bidi="ar"/>
              </w:rPr>
            </w:pPr>
            <w:r>
              <w:rPr>
                <w:rFonts w:ascii="Times New Roman"/>
                <w:bCs w:val="0"/>
                <w:color w:val="auto"/>
                <w:sz w:val="21"/>
                <w:szCs w:val="21"/>
                <w:lang w:val="zh-CN" w:bidi="ar"/>
              </w:rPr>
              <w:t>表</w:t>
            </w:r>
            <w:r>
              <w:rPr>
                <w:rFonts w:ascii="Times New Roman"/>
                <w:bCs w:val="0"/>
                <w:color w:val="auto"/>
                <w:sz w:val="21"/>
                <w:szCs w:val="21"/>
                <w:lang w:bidi="ar"/>
              </w:rPr>
              <w:t xml:space="preserve">5-1  </w:t>
            </w:r>
            <w:r>
              <w:rPr>
                <w:rFonts w:ascii="Times New Roman"/>
                <w:bCs w:val="0"/>
                <w:color w:val="auto"/>
                <w:sz w:val="21"/>
                <w:szCs w:val="21"/>
                <w:lang w:val="zh-CN" w:bidi="ar"/>
              </w:rPr>
              <w:t>土地适宜性等级评价体系表</w:t>
            </w:r>
          </w:p>
          <w:tbl>
            <w:tblPr>
              <w:tblStyle w:val="29"/>
              <w:tblW w:w="4999" w:type="pct"/>
              <w:tblInd w:w="0" w:type="dxa"/>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Layout w:type="autofit"/>
              <w:tblCellMar>
                <w:top w:w="15" w:type="dxa"/>
                <w:left w:w="15" w:type="dxa"/>
                <w:bottom w:w="15" w:type="dxa"/>
                <w:right w:w="15" w:type="dxa"/>
              </w:tblCellMar>
            </w:tblPr>
            <w:tblGrid>
              <w:gridCol w:w="1097"/>
              <w:gridCol w:w="1363"/>
              <w:gridCol w:w="1627"/>
              <w:gridCol w:w="1355"/>
              <w:gridCol w:w="1355"/>
              <w:gridCol w:w="1363"/>
            </w:tblGrid>
            <w:tr w14:paraId="25E1EC6A">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15" w:type="dxa"/>
                  <w:left w:w="15" w:type="dxa"/>
                  <w:bottom w:w="15" w:type="dxa"/>
                  <w:right w:w="15" w:type="dxa"/>
                </w:tblCellMar>
              </w:tblPrEx>
              <w:trPr>
                <w:trHeight w:val="340" w:hRule="atLeast"/>
              </w:trPr>
              <w:tc>
                <w:tcPr>
                  <w:tcW w:w="1508" w:type="pct"/>
                  <w:gridSpan w:val="2"/>
                  <w:vAlign w:val="center"/>
                </w:tcPr>
                <w:p w14:paraId="160A677A">
                  <w:pPr>
                    <w:widowControl/>
                    <w:jc w:val="center"/>
                    <w:rPr>
                      <w:kern w:val="0"/>
                    </w:rPr>
                  </w:pPr>
                  <w:r>
                    <w:rPr>
                      <w:kern w:val="0"/>
                    </w:rPr>
                    <w:t>地类及等级</w:t>
                  </w:r>
                </w:p>
              </w:tc>
              <w:tc>
                <w:tcPr>
                  <w:tcW w:w="3492" w:type="pct"/>
                  <w:gridSpan w:val="4"/>
                  <w:vAlign w:val="center"/>
                </w:tcPr>
                <w:p w14:paraId="4B4ACE50">
                  <w:pPr>
                    <w:widowControl/>
                    <w:jc w:val="center"/>
                    <w:rPr>
                      <w:kern w:val="0"/>
                    </w:rPr>
                  </w:pPr>
                  <w:r>
                    <w:rPr>
                      <w:kern w:val="0"/>
                    </w:rPr>
                    <w:t>限制因素</w:t>
                  </w:r>
                </w:p>
              </w:tc>
            </w:tr>
            <w:tr w14:paraId="0D559499">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15" w:type="dxa"/>
                  <w:left w:w="15" w:type="dxa"/>
                  <w:bottom w:w="15" w:type="dxa"/>
                  <w:right w:w="15" w:type="dxa"/>
                </w:tblCellMar>
              </w:tblPrEx>
              <w:trPr>
                <w:trHeight w:val="340" w:hRule="atLeast"/>
              </w:trPr>
              <w:tc>
                <w:tcPr>
                  <w:tcW w:w="673" w:type="pct"/>
                  <w:vAlign w:val="center"/>
                </w:tcPr>
                <w:p w14:paraId="543368D6">
                  <w:pPr>
                    <w:widowControl/>
                    <w:jc w:val="center"/>
                    <w:rPr>
                      <w:kern w:val="0"/>
                    </w:rPr>
                  </w:pPr>
                  <w:r>
                    <w:rPr>
                      <w:kern w:val="0"/>
                    </w:rPr>
                    <w:t>类型</w:t>
                  </w:r>
                </w:p>
              </w:tc>
              <w:tc>
                <w:tcPr>
                  <w:tcW w:w="835" w:type="pct"/>
                  <w:vAlign w:val="center"/>
                </w:tcPr>
                <w:p w14:paraId="2C3FA1EA">
                  <w:pPr>
                    <w:widowControl/>
                    <w:jc w:val="center"/>
                    <w:rPr>
                      <w:kern w:val="0"/>
                    </w:rPr>
                  </w:pPr>
                  <w:r>
                    <w:rPr>
                      <w:kern w:val="0"/>
                    </w:rPr>
                    <w:t>适宜等级</w:t>
                  </w:r>
                </w:p>
              </w:tc>
              <w:tc>
                <w:tcPr>
                  <w:tcW w:w="997" w:type="pct"/>
                  <w:vAlign w:val="center"/>
                </w:tcPr>
                <w:p w14:paraId="16A508F3">
                  <w:pPr>
                    <w:widowControl/>
                    <w:jc w:val="center"/>
                    <w:rPr>
                      <w:kern w:val="0"/>
                    </w:rPr>
                  </w:pPr>
                  <w:r>
                    <w:rPr>
                      <w:kern w:val="0"/>
                    </w:rPr>
                    <w:t>地面坡度</w:t>
                  </w:r>
                </w:p>
              </w:tc>
              <w:tc>
                <w:tcPr>
                  <w:tcW w:w="830" w:type="pct"/>
                  <w:vAlign w:val="center"/>
                </w:tcPr>
                <w:p w14:paraId="038A313A">
                  <w:pPr>
                    <w:widowControl/>
                    <w:jc w:val="center"/>
                    <w:rPr>
                      <w:kern w:val="0"/>
                    </w:rPr>
                  </w:pPr>
                  <w:r>
                    <w:rPr>
                      <w:kern w:val="0"/>
                    </w:rPr>
                    <w:t>有效土层厚度</w:t>
                  </w:r>
                  <w:r>
                    <w:rPr>
                      <w:rFonts w:hint="eastAsia"/>
                      <w:kern w:val="0"/>
                    </w:rPr>
                    <w:t>（</w:t>
                  </w:r>
                  <w:r>
                    <w:rPr>
                      <w:kern w:val="0"/>
                    </w:rPr>
                    <w:t>cm</w:t>
                  </w:r>
                  <w:r>
                    <w:rPr>
                      <w:rFonts w:hint="eastAsia"/>
                      <w:kern w:val="0"/>
                    </w:rPr>
                    <w:t>）</w:t>
                  </w:r>
                </w:p>
              </w:tc>
              <w:tc>
                <w:tcPr>
                  <w:tcW w:w="830" w:type="pct"/>
                  <w:vAlign w:val="center"/>
                </w:tcPr>
                <w:p w14:paraId="00577E6E">
                  <w:pPr>
                    <w:widowControl/>
                    <w:jc w:val="center"/>
                    <w:rPr>
                      <w:kern w:val="0"/>
                    </w:rPr>
                  </w:pPr>
                  <w:r>
                    <w:rPr>
                      <w:kern w:val="0"/>
                    </w:rPr>
                    <w:t>土壤有机质</w:t>
                  </w:r>
                  <w:r>
                    <w:rPr>
                      <w:rFonts w:hint="eastAsia"/>
                      <w:kern w:val="0"/>
                    </w:rPr>
                    <w:t>（</w:t>
                  </w:r>
                  <w:r>
                    <w:rPr>
                      <w:kern w:val="0"/>
                    </w:rPr>
                    <w:t>g/kg</w:t>
                  </w:r>
                  <w:r>
                    <w:rPr>
                      <w:rFonts w:hint="eastAsia"/>
                      <w:kern w:val="0"/>
                    </w:rPr>
                    <w:t>）</w:t>
                  </w:r>
                </w:p>
              </w:tc>
              <w:tc>
                <w:tcPr>
                  <w:tcW w:w="835" w:type="pct"/>
                  <w:vAlign w:val="center"/>
                </w:tcPr>
                <w:p w14:paraId="66A2E702">
                  <w:pPr>
                    <w:widowControl/>
                    <w:jc w:val="center"/>
                    <w:rPr>
                      <w:kern w:val="0"/>
                    </w:rPr>
                  </w:pPr>
                  <w:r>
                    <w:rPr>
                      <w:kern w:val="0"/>
                    </w:rPr>
                    <w:t>交通条件</w:t>
                  </w:r>
                </w:p>
              </w:tc>
            </w:tr>
            <w:tr w14:paraId="6CB32446">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15" w:type="dxa"/>
                  <w:left w:w="15" w:type="dxa"/>
                  <w:bottom w:w="15" w:type="dxa"/>
                  <w:right w:w="15" w:type="dxa"/>
                </w:tblCellMar>
              </w:tblPrEx>
              <w:trPr>
                <w:trHeight w:val="340" w:hRule="atLeast"/>
              </w:trPr>
              <w:tc>
                <w:tcPr>
                  <w:tcW w:w="673" w:type="pct"/>
                  <w:vMerge w:val="restart"/>
                  <w:vAlign w:val="center"/>
                </w:tcPr>
                <w:p w14:paraId="2422658D">
                  <w:pPr>
                    <w:widowControl/>
                    <w:jc w:val="center"/>
                    <w:rPr>
                      <w:kern w:val="0"/>
                    </w:rPr>
                  </w:pPr>
                  <w:r>
                    <w:rPr>
                      <w:kern w:val="0"/>
                    </w:rPr>
                    <w:t>林地</w:t>
                  </w:r>
                </w:p>
              </w:tc>
              <w:tc>
                <w:tcPr>
                  <w:tcW w:w="835" w:type="pct"/>
                  <w:vAlign w:val="center"/>
                </w:tcPr>
                <w:p w14:paraId="2FF122C8">
                  <w:pPr>
                    <w:widowControl/>
                    <w:jc w:val="center"/>
                    <w:rPr>
                      <w:kern w:val="0"/>
                    </w:rPr>
                  </w:pPr>
                  <w:r>
                    <w:rPr>
                      <w:kern w:val="0"/>
                    </w:rPr>
                    <w:t>1等</w:t>
                  </w:r>
                </w:p>
              </w:tc>
              <w:tc>
                <w:tcPr>
                  <w:tcW w:w="997" w:type="pct"/>
                  <w:vAlign w:val="center"/>
                </w:tcPr>
                <w:p w14:paraId="5CCD6727">
                  <w:pPr>
                    <w:widowControl/>
                    <w:jc w:val="center"/>
                    <w:rPr>
                      <w:kern w:val="0"/>
                    </w:rPr>
                  </w:pPr>
                  <w:r>
                    <w:rPr>
                      <w:kern w:val="0"/>
                    </w:rPr>
                    <w:t>&lt;15°</w:t>
                  </w:r>
                </w:p>
              </w:tc>
              <w:tc>
                <w:tcPr>
                  <w:tcW w:w="830" w:type="pct"/>
                  <w:vAlign w:val="center"/>
                </w:tcPr>
                <w:p w14:paraId="196B1926">
                  <w:pPr>
                    <w:widowControl/>
                    <w:jc w:val="center"/>
                    <w:rPr>
                      <w:kern w:val="0"/>
                    </w:rPr>
                  </w:pPr>
                  <w:r>
                    <w:rPr>
                      <w:kern w:val="0"/>
                    </w:rPr>
                    <w:t>≥80</w:t>
                  </w:r>
                </w:p>
              </w:tc>
              <w:tc>
                <w:tcPr>
                  <w:tcW w:w="830" w:type="pct"/>
                  <w:vAlign w:val="center"/>
                </w:tcPr>
                <w:p w14:paraId="0AFB9096">
                  <w:pPr>
                    <w:widowControl/>
                    <w:jc w:val="center"/>
                    <w:rPr>
                      <w:kern w:val="0"/>
                    </w:rPr>
                  </w:pPr>
                  <w:r>
                    <w:rPr>
                      <w:kern w:val="0"/>
                    </w:rPr>
                    <w:t>≥7</w:t>
                  </w:r>
                </w:p>
              </w:tc>
              <w:tc>
                <w:tcPr>
                  <w:tcW w:w="835" w:type="pct"/>
                  <w:vAlign w:val="center"/>
                </w:tcPr>
                <w:p w14:paraId="38DBDAE0">
                  <w:pPr>
                    <w:widowControl/>
                    <w:jc w:val="center"/>
                  </w:pPr>
                  <w:r>
                    <w:rPr>
                      <w:kern w:val="0"/>
                    </w:rPr>
                    <w:t>便利</w:t>
                  </w:r>
                </w:p>
              </w:tc>
            </w:tr>
            <w:tr w14:paraId="54AD8E0A">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15" w:type="dxa"/>
                  <w:left w:w="15" w:type="dxa"/>
                  <w:bottom w:w="15" w:type="dxa"/>
                  <w:right w:w="15" w:type="dxa"/>
                </w:tblCellMar>
              </w:tblPrEx>
              <w:trPr>
                <w:trHeight w:val="340" w:hRule="atLeast"/>
              </w:trPr>
              <w:tc>
                <w:tcPr>
                  <w:tcW w:w="673" w:type="pct"/>
                  <w:vMerge w:val="continue"/>
                  <w:vAlign w:val="center"/>
                </w:tcPr>
                <w:p w14:paraId="501F8CD0">
                  <w:pPr>
                    <w:widowControl/>
                    <w:jc w:val="center"/>
                    <w:rPr>
                      <w:kern w:val="0"/>
                    </w:rPr>
                  </w:pPr>
                </w:p>
              </w:tc>
              <w:tc>
                <w:tcPr>
                  <w:tcW w:w="835" w:type="pct"/>
                  <w:vAlign w:val="center"/>
                </w:tcPr>
                <w:p w14:paraId="77E25FFB">
                  <w:pPr>
                    <w:widowControl/>
                    <w:jc w:val="center"/>
                    <w:rPr>
                      <w:kern w:val="0"/>
                    </w:rPr>
                  </w:pPr>
                  <w:r>
                    <w:rPr>
                      <w:kern w:val="0"/>
                    </w:rPr>
                    <w:t>2等</w:t>
                  </w:r>
                </w:p>
              </w:tc>
              <w:tc>
                <w:tcPr>
                  <w:tcW w:w="997" w:type="pct"/>
                  <w:vAlign w:val="center"/>
                </w:tcPr>
                <w:p w14:paraId="5F37BCEA">
                  <w:pPr>
                    <w:widowControl/>
                    <w:jc w:val="center"/>
                    <w:rPr>
                      <w:kern w:val="0"/>
                    </w:rPr>
                  </w:pPr>
                  <w:r>
                    <w:rPr>
                      <w:kern w:val="0"/>
                    </w:rPr>
                    <w:t>15°</w:t>
                  </w:r>
                  <w:r>
                    <w:rPr>
                      <w:rFonts w:hint="eastAsia"/>
                      <w:kern w:val="0"/>
                    </w:rPr>
                    <w:t>~</w:t>
                  </w:r>
                  <w:r>
                    <w:rPr>
                      <w:kern w:val="0"/>
                    </w:rPr>
                    <w:t>25°</w:t>
                  </w:r>
                </w:p>
              </w:tc>
              <w:tc>
                <w:tcPr>
                  <w:tcW w:w="830" w:type="pct"/>
                  <w:vAlign w:val="center"/>
                </w:tcPr>
                <w:p w14:paraId="298EB953">
                  <w:pPr>
                    <w:widowControl/>
                    <w:jc w:val="center"/>
                    <w:rPr>
                      <w:kern w:val="0"/>
                    </w:rPr>
                  </w:pPr>
                  <w:r>
                    <w:rPr>
                      <w:kern w:val="0"/>
                    </w:rPr>
                    <w:t>60-80</w:t>
                  </w:r>
                </w:p>
              </w:tc>
              <w:tc>
                <w:tcPr>
                  <w:tcW w:w="830" w:type="pct"/>
                  <w:vAlign w:val="center"/>
                </w:tcPr>
                <w:p w14:paraId="38C15BB9">
                  <w:pPr>
                    <w:widowControl/>
                    <w:jc w:val="center"/>
                    <w:rPr>
                      <w:kern w:val="0"/>
                    </w:rPr>
                  </w:pPr>
                  <w:r>
                    <w:rPr>
                      <w:kern w:val="0"/>
                    </w:rPr>
                    <w:t>3</w:t>
                  </w:r>
                  <w:r>
                    <w:rPr>
                      <w:rFonts w:hint="eastAsia"/>
                      <w:kern w:val="0"/>
                    </w:rPr>
                    <w:t>~</w:t>
                  </w:r>
                  <w:r>
                    <w:rPr>
                      <w:kern w:val="0"/>
                    </w:rPr>
                    <w:t>7</w:t>
                  </w:r>
                </w:p>
              </w:tc>
              <w:tc>
                <w:tcPr>
                  <w:tcW w:w="835" w:type="pct"/>
                  <w:vAlign w:val="center"/>
                </w:tcPr>
                <w:p w14:paraId="12017288">
                  <w:pPr>
                    <w:widowControl/>
                    <w:jc w:val="center"/>
                  </w:pPr>
                  <w:r>
                    <w:rPr>
                      <w:kern w:val="0"/>
                    </w:rPr>
                    <w:t>较好</w:t>
                  </w:r>
                </w:p>
              </w:tc>
            </w:tr>
            <w:tr w14:paraId="79D45130">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15" w:type="dxa"/>
                  <w:left w:w="15" w:type="dxa"/>
                  <w:bottom w:w="15" w:type="dxa"/>
                  <w:right w:w="15" w:type="dxa"/>
                </w:tblCellMar>
              </w:tblPrEx>
              <w:trPr>
                <w:trHeight w:val="340" w:hRule="atLeast"/>
              </w:trPr>
              <w:tc>
                <w:tcPr>
                  <w:tcW w:w="673" w:type="pct"/>
                  <w:vMerge w:val="continue"/>
                  <w:vAlign w:val="center"/>
                </w:tcPr>
                <w:p w14:paraId="04821779">
                  <w:pPr>
                    <w:widowControl/>
                    <w:jc w:val="center"/>
                    <w:rPr>
                      <w:kern w:val="0"/>
                    </w:rPr>
                  </w:pPr>
                </w:p>
              </w:tc>
              <w:tc>
                <w:tcPr>
                  <w:tcW w:w="835" w:type="pct"/>
                  <w:vAlign w:val="center"/>
                </w:tcPr>
                <w:p w14:paraId="10FDFF4B">
                  <w:pPr>
                    <w:widowControl/>
                    <w:jc w:val="center"/>
                    <w:rPr>
                      <w:kern w:val="0"/>
                    </w:rPr>
                  </w:pPr>
                  <w:r>
                    <w:rPr>
                      <w:kern w:val="0"/>
                    </w:rPr>
                    <w:t>3等</w:t>
                  </w:r>
                </w:p>
              </w:tc>
              <w:tc>
                <w:tcPr>
                  <w:tcW w:w="997" w:type="pct"/>
                  <w:vAlign w:val="center"/>
                </w:tcPr>
                <w:p w14:paraId="163292D1">
                  <w:pPr>
                    <w:widowControl/>
                    <w:jc w:val="center"/>
                    <w:rPr>
                      <w:kern w:val="0"/>
                    </w:rPr>
                  </w:pPr>
                  <w:r>
                    <w:rPr>
                      <w:kern w:val="0"/>
                    </w:rPr>
                    <w:t>25°</w:t>
                  </w:r>
                  <w:r>
                    <w:rPr>
                      <w:rFonts w:hint="eastAsia"/>
                      <w:kern w:val="0"/>
                    </w:rPr>
                    <w:t>~</w:t>
                  </w:r>
                  <w:r>
                    <w:rPr>
                      <w:kern w:val="0"/>
                    </w:rPr>
                    <w:t>35°</w:t>
                  </w:r>
                </w:p>
              </w:tc>
              <w:tc>
                <w:tcPr>
                  <w:tcW w:w="830" w:type="pct"/>
                  <w:vAlign w:val="center"/>
                </w:tcPr>
                <w:p w14:paraId="7948297D">
                  <w:pPr>
                    <w:widowControl/>
                    <w:jc w:val="center"/>
                    <w:rPr>
                      <w:kern w:val="0"/>
                    </w:rPr>
                  </w:pPr>
                  <w:r>
                    <w:rPr>
                      <w:kern w:val="0"/>
                    </w:rPr>
                    <w:t>40-60</w:t>
                  </w:r>
                </w:p>
              </w:tc>
              <w:tc>
                <w:tcPr>
                  <w:tcW w:w="830" w:type="pct"/>
                  <w:vAlign w:val="center"/>
                </w:tcPr>
                <w:p w14:paraId="12D0E89B">
                  <w:pPr>
                    <w:widowControl/>
                    <w:jc w:val="center"/>
                    <w:rPr>
                      <w:kern w:val="0"/>
                    </w:rPr>
                  </w:pPr>
                  <w:r>
                    <w:rPr>
                      <w:kern w:val="0"/>
                    </w:rPr>
                    <w:t>0.5</w:t>
                  </w:r>
                  <w:r>
                    <w:rPr>
                      <w:rFonts w:hint="eastAsia"/>
                      <w:kern w:val="0"/>
                    </w:rPr>
                    <w:t>~</w:t>
                  </w:r>
                  <w:r>
                    <w:rPr>
                      <w:kern w:val="0"/>
                    </w:rPr>
                    <w:t>3</w:t>
                  </w:r>
                </w:p>
              </w:tc>
              <w:tc>
                <w:tcPr>
                  <w:tcW w:w="835" w:type="pct"/>
                  <w:vAlign w:val="center"/>
                </w:tcPr>
                <w:p w14:paraId="5BCE96DF">
                  <w:pPr>
                    <w:widowControl/>
                    <w:jc w:val="center"/>
                  </w:pPr>
                  <w:r>
                    <w:rPr>
                      <w:kern w:val="0"/>
                    </w:rPr>
                    <w:t>一般</w:t>
                  </w:r>
                </w:p>
              </w:tc>
            </w:tr>
            <w:tr w14:paraId="2D8F9B2D">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15" w:type="dxa"/>
                  <w:left w:w="15" w:type="dxa"/>
                  <w:bottom w:w="15" w:type="dxa"/>
                  <w:right w:w="15" w:type="dxa"/>
                </w:tblCellMar>
              </w:tblPrEx>
              <w:trPr>
                <w:trHeight w:val="340" w:hRule="atLeast"/>
              </w:trPr>
              <w:tc>
                <w:tcPr>
                  <w:tcW w:w="673" w:type="pct"/>
                  <w:vMerge w:val="continue"/>
                  <w:vAlign w:val="center"/>
                </w:tcPr>
                <w:p w14:paraId="488483D0">
                  <w:pPr>
                    <w:widowControl/>
                    <w:jc w:val="center"/>
                    <w:rPr>
                      <w:kern w:val="0"/>
                    </w:rPr>
                  </w:pPr>
                </w:p>
              </w:tc>
              <w:tc>
                <w:tcPr>
                  <w:tcW w:w="835" w:type="pct"/>
                  <w:vAlign w:val="center"/>
                </w:tcPr>
                <w:p w14:paraId="61CB7482">
                  <w:pPr>
                    <w:widowControl/>
                    <w:jc w:val="center"/>
                    <w:rPr>
                      <w:kern w:val="0"/>
                    </w:rPr>
                  </w:pPr>
                  <w:r>
                    <w:rPr>
                      <w:kern w:val="0"/>
                    </w:rPr>
                    <w:t>不适宜</w:t>
                  </w:r>
                </w:p>
              </w:tc>
              <w:tc>
                <w:tcPr>
                  <w:tcW w:w="997" w:type="pct"/>
                  <w:vAlign w:val="center"/>
                </w:tcPr>
                <w:p w14:paraId="5CCABB3B">
                  <w:pPr>
                    <w:widowControl/>
                    <w:jc w:val="center"/>
                    <w:rPr>
                      <w:kern w:val="0"/>
                    </w:rPr>
                  </w:pPr>
                  <w:r>
                    <w:rPr>
                      <w:kern w:val="0"/>
                    </w:rPr>
                    <w:t>&gt;35°</w:t>
                  </w:r>
                </w:p>
              </w:tc>
              <w:tc>
                <w:tcPr>
                  <w:tcW w:w="830" w:type="pct"/>
                  <w:vAlign w:val="center"/>
                </w:tcPr>
                <w:p w14:paraId="676A8B4B">
                  <w:pPr>
                    <w:widowControl/>
                    <w:jc w:val="center"/>
                    <w:rPr>
                      <w:kern w:val="0"/>
                    </w:rPr>
                  </w:pPr>
                  <w:r>
                    <w:rPr>
                      <w:kern w:val="0"/>
                    </w:rPr>
                    <w:t>&lt;40</w:t>
                  </w:r>
                </w:p>
              </w:tc>
              <w:tc>
                <w:tcPr>
                  <w:tcW w:w="830" w:type="pct"/>
                  <w:vAlign w:val="center"/>
                </w:tcPr>
                <w:p w14:paraId="7AF9EBC1">
                  <w:pPr>
                    <w:widowControl/>
                    <w:jc w:val="center"/>
                    <w:rPr>
                      <w:kern w:val="0"/>
                    </w:rPr>
                  </w:pPr>
                  <w:r>
                    <w:rPr>
                      <w:kern w:val="0"/>
                    </w:rPr>
                    <w:t>&lt;0.5</w:t>
                  </w:r>
                </w:p>
              </w:tc>
              <w:tc>
                <w:tcPr>
                  <w:tcW w:w="835" w:type="pct"/>
                  <w:vAlign w:val="center"/>
                </w:tcPr>
                <w:p w14:paraId="1805E965">
                  <w:pPr>
                    <w:widowControl/>
                    <w:jc w:val="center"/>
                  </w:pPr>
                  <w:r>
                    <w:rPr>
                      <w:kern w:val="0"/>
                    </w:rPr>
                    <w:t>无道路</w:t>
                  </w:r>
                </w:p>
              </w:tc>
            </w:tr>
            <w:tr w14:paraId="213554CF">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15" w:type="dxa"/>
                  <w:left w:w="15" w:type="dxa"/>
                  <w:bottom w:w="15" w:type="dxa"/>
                  <w:right w:w="15" w:type="dxa"/>
                </w:tblCellMar>
              </w:tblPrEx>
              <w:trPr>
                <w:trHeight w:val="340" w:hRule="atLeast"/>
              </w:trPr>
              <w:tc>
                <w:tcPr>
                  <w:tcW w:w="673" w:type="pct"/>
                  <w:vMerge w:val="restart"/>
                  <w:vAlign w:val="center"/>
                </w:tcPr>
                <w:p w14:paraId="36F468D9">
                  <w:pPr>
                    <w:widowControl/>
                    <w:jc w:val="center"/>
                    <w:rPr>
                      <w:kern w:val="0"/>
                    </w:rPr>
                  </w:pPr>
                  <w:r>
                    <w:rPr>
                      <w:kern w:val="0"/>
                    </w:rPr>
                    <w:t>草地</w:t>
                  </w:r>
                </w:p>
              </w:tc>
              <w:tc>
                <w:tcPr>
                  <w:tcW w:w="835" w:type="pct"/>
                  <w:vAlign w:val="center"/>
                </w:tcPr>
                <w:p w14:paraId="24C9CFAF">
                  <w:pPr>
                    <w:widowControl/>
                    <w:jc w:val="center"/>
                    <w:rPr>
                      <w:kern w:val="0"/>
                    </w:rPr>
                  </w:pPr>
                  <w:r>
                    <w:rPr>
                      <w:kern w:val="0"/>
                    </w:rPr>
                    <w:t>1等</w:t>
                  </w:r>
                </w:p>
              </w:tc>
              <w:tc>
                <w:tcPr>
                  <w:tcW w:w="997" w:type="pct"/>
                  <w:vAlign w:val="center"/>
                </w:tcPr>
                <w:p w14:paraId="1D66092E">
                  <w:pPr>
                    <w:widowControl/>
                    <w:jc w:val="center"/>
                    <w:rPr>
                      <w:kern w:val="0"/>
                    </w:rPr>
                  </w:pPr>
                  <w:r>
                    <w:rPr>
                      <w:kern w:val="0"/>
                    </w:rPr>
                    <w:t>&lt;15°</w:t>
                  </w:r>
                </w:p>
              </w:tc>
              <w:tc>
                <w:tcPr>
                  <w:tcW w:w="830" w:type="pct"/>
                  <w:vAlign w:val="center"/>
                </w:tcPr>
                <w:p w14:paraId="0D15BDE6">
                  <w:pPr>
                    <w:widowControl/>
                    <w:jc w:val="center"/>
                    <w:rPr>
                      <w:kern w:val="0"/>
                    </w:rPr>
                  </w:pPr>
                  <w:r>
                    <w:rPr>
                      <w:kern w:val="0"/>
                    </w:rPr>
                    <w:t>&gt;80</w:t>
                  </w:r>
                </w:p>
              </w:tc>
              <w:tc>
                <w:tcPr>
                  <w:tcW w:w="830" w:type="pct"/>
                  <w:vAlign w:val="center"/>
                </w:tcPr>
                <w:p w14:paraId="73D0CD8E">
                  <w:pPr>
                    <w:widowControl/>
                    <w:jc w:val="center"/>
                    <w:rPr>
                      <w:kern w:val="0"/>
                    </w:rPr>
                  </w:pPr>
                  <w:r>
                    <w:rPr>
                      <w:kern w:val="0"/>
                    </w:rPr>
                    <w:t>≥7</w:t>
                  </w:r>
                </w:p>
              </w:tc>
              <w:tc>
                <w:tcPr>
                  <w:tcW w:w="835" w:type="pct"/>
                  <w:vAlign w:val="center"/>
                </w:tcPr>
                <w:p w14:paraId="579A1719">
                  <w:pPr>
                    <w:widowControl/>
                    <w:jc w:val="center"/>
                  </w:pPr>
                  <w:r>
                    <w:rPr>
                      <w:kern w:val="0"/>
                    </w:rPr>
                    <w:t>便利</w:t>
                  </w:r>
                </w:p>
              </w:tc>
            </w:tr>
            <w:tr w14:paraId="25F37655">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15" w:type="dxa"/>
                  <w:left w:w="15" w:type="dxa"/>
                  <w:bottom w:w="15" w:type="dxa"/>
                  <w:right w:w="15" w:type="dxa"/>
                </w:tblCellMar>
              </w:tblPrEx>
              <w:trPr>
                <w:trHeight w:val="340" w:hRule="atLeast"/>
              </w:trPr>
              <w:tc>
                <w:tcPr>
                  <w:tcW w:w="673" w:type="pct"/>
                  <w:vMerge w:val="continue"/>
                  <w:vAlign w:val="center"/>
                </w:tcPr>
                <w:p w14:paraId="24E37C14">
                  <w:pPr>
                    <w:widowControl/>
                    <w:jc w:val="center"/>
                    <w:rPr>
                      <w:kern w:val="0"/>
                    </w:rPr>
                  </w:pPr>
                </w:p>
              </w:tc>
              <w:tc>
                <w:tcPr>
                  <w:tcW w:w="835" w:type="pct"/>
                  <w:vAlign w:val="center"/>
                </w:tcPr>
                <w:p w14:paraId="0567F4E7">
                  <w:pPr>
                    <w:widowControl/>
                    <w:jc w:val="center"/>
                    <w:rPr>
                      <w:kern w:val="0"/>
                    </w:rPr>
                  </w:pPr>
                  <w:r>
                    <w:rPr>
                      <w:kern w:val="0"/>
                    </w:rPr>
                    <w:t>2等</w:t>
                  </w:r>
                </w:p>
              </w:tc>
              <w:tc>
                <w:tcPr>
                  <w:tcW w:w="997" w:type="pct"/>
                  <w:vAlign w:val="center"/>
                </w:tcPr>
                <w:p w14:paraId="19CC21C9">
                  <w:pPr>
                    <w:widowControl/>
                    <w:jc w:val="center"/>
                    <w:rPr>
                      <w:kern w:val="0"/>
                    </w:rPr>
                  </w:pPr>
                  <w:r>
                    <w:rPr>
                      <w:kern w:val="0"/>
                    </w:rPr>
                    <w:t>15°</w:t>
                  </w:r>
                  <w:r>
                    <w:rPr>
                      <w:rFonts w:hint="eastAsia"/>
                      <w:kern w:val="0"/>
                    </w:rPr>
                    <w:t>~</w:t>
                  </w:r>
                  <w:r>
                    <w:rPr>
                      <w:kern w:val="0"/>
                    </w:rPr>
                    <w:t>25°</w:t>
                  </w:r>
                </w:p>
              </w:tc>
              <w:tc>
                <w:tcPr>
                  <w:tcW w:w="830" w:type="pct"/>
                  <w:vAlign w:val="center"/>
                </w:tcPr>
                <w:p w14:paraId="303AF82A">
                  <w:pPr>
                    <w:widowControl/>
                    <w:jc w:val="center"/>
                    <w:rPr>
                      <w:kern w:val="0"/>
                    </w:rPr>
                  </w:pPr>
                  <w:r>
                    <w:rPr>
                      <w:kern w:val="0"/>
                    </w:rPr>
                    <w:t>60-80</w:t>
                  </w:r>
                </w:p>
              </w:tc>
              <w:tc>
                <w:tcPr>
                  <w:tcW w:w="830" w:type="pct"/>
                  <w:vAlign w:val="center"/>
                </w:tcPr>
                <w:p w14:paraId="0FBB3027">
                  <w:pPr>
                    <w:widowControl/>
                    <w:jc w:val="center"/>
                    <w:rPr>
                      <w:kern w:val="0"/>
                    </w:rPr>
                  </w:pPr>
                  <w:r>
                    <w:rPr>
                      <w:kern w:val="0"/>
                    </w:rPr>
                    <w:t>3</w:t>
                  </w:r>
                  <w:r>
                    <w:rPr>
                      <w:rFonts w:hint="eastAsia"/>
                      <w:kern w:val="0"/>
                    </w:rPr>
                    <w:t>~</w:t>
                  </w:r>
                  <w:r>
                    <w:rPr>
                      <w:kern w:val="0"/>
                    </w:rPr>
                    <w:t>7</w:t>
                  </w:r>
                </w:p>
              </w:tc>
              <w:tc>
                <w:tcPr>
                  <w:tcW w:w="835" w:type="pct"/>
                  <w:vAlign w:val="center"/>
                </w:tcPr>
                <w:p w14:paraId="6BF667B5">
                  <w:pPr>
                    <w:widowControl/>
                    <w:jc w:val="center"/>
                  </w:pPr>
                  <w:r>
                    <w:rPr>
                      <w:kern w:val="0"/>
                    </w:rPr>
                    <w:t>较好</w:t>
                  </w:r>
                </w:p>
              </w:tc>
            </w:tr>
            <w:tr w14:paraId="49389A34">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15" w:type="dxa"/>
                  <w:left w:w="15" w:type="dxa"/>
                  <w:bottom w:w="15" w:type="dxa"/>
                  <w:right w:w="15" w:type="dxa"/>
                </w:tblCellMar>
              </w:tblPrEx>
              <w:trPr>
                <w:trHeight w:val="340" w:hRule="atLeast"/>
              </w:trPr>
              <w:tc>
                <w:tcPr>
                  <w:tcW w:w="673" w:type="pct"/>
                  <w:vMerge w:val="continue"/>
                  <w:vAlign w:val="center"/>
                </w:tcPr>
                <w:p w14:paraId="6A45775B">
                  <w:pPr>
                    <w:widowControl/>
                    <w:jc w:val="center"/>
                    <w:rPr>
                      <w:kern w:val="0"/>
                    </w:rPr>
                  </w:pPr>
                </w:p>
              </w:tc>
              <w:tc>
                <w:tcPr>
                  <w:tcW w:w="835" w:type="pct"/>
                  <w:vAlign w:val="center"/>
                </w:tcPr>
                <w:p w14:paraId="3D5737DB">
                  <w:pPr>
                    <w:widowControl/>
                    <w:jc w:val="center"/>
                    <w:rPr>
                      <w:kern w:val="0"/>
                    </w:rPr>
                  </w:pPr>
                  <w:r>
                    <w:rPr>
                      <w:kern w:val="0"/>
                    </w:rPr>
                    <w:t>3等</w:t>
                  </w:r>
                </w:p>
              </w:tc>
              <w:tc>
                <w:tcPr>
                  <w:tcW w:w="997" w:type="pct"/>
                  <w:vAlign w:val="center"/>
                </w:tcPr>
                <w:p w14:paraId="5D20BA37">
                  <w:pPr>
                    <w:widowControl/>
                    <w:jc w:val="center"/>
                    <w:rPr>
                      <w:kern w:val="0"/>
                    </w:rPr>
                  </w:pPr>
                  <w:r>
                    <w:rPr>
                      <w:kern w:val="0"/>
                    </w:rPr>
                    <w:t>25°</w:t>
                  </w:r>
                  <w:r>
                    <w:rPr>
                      <w:rFonts w:hint="eastAsia"/>
                      <w:kern w:val="0"/>
                    </w:rPr>
                    <w:t>~</w:t>
                  </w:r>
                  <w:r>
                    <w:rPr>
                      <w:kern w:val="0"/>
                    </w:rPr>
                    <w:t>60°</w:t>
                  </w:r>
                </w:p>
              </w:tc>
              <w:tc>
                <w:tcPr>
                  <w:tcW w:w="830" w:type="pct"/>
                  <w:vAlign w:val="center"/>
                </w:tcPr>
                <w:p w14:paraId="155B328E">
                  <w:pPr>
                    <w:widowControl/>
                    <w:jc w:val="center"/>
                    <w:rPr>
                      <w:kern w:val="0"/>
                    </w:rPr>
                  </w:pPr>
                  <w:r>
                    <w:rPr>
                      <w:kern w:val="0"/>
                    </w:rPr>
                    <w:t>40-60</w:t>
                  </w:r>
                </w:p>
              </w:tc>
              <w:tc>
                <w:tcPr>
                  <w:tcW w:w="830" w:type="pct"/>
                  <w:vAlign w:val="center"/>
                </w:tcPr>
                <w:p w14:paraId="3793E591">
                  <w:pPr>
                    <w:widowControl/>
                    <w:jc w:val="center"/>
                    <w:rPr>
                      <w:kern w:val="0"/>
                    </w:rPr>
                  </w:pPr>
                  <w:r>
                    <w:rPr>
                      <w:kern w:val="0"/>
                    </w:rPr>
                    <w:t>0.5</w:t>
                  </w:r>
                  <w:r>
                    <w:rPr>
                      <w:rFonts w:hint="eastAsia"/>
                      <w:kern w:val="0"/>
                    </w:rPr>
                    <w:t>~</w:t>
                  </w:r>
                  <w:r>
                    <w:rPr>
                      <w:kern w:val="0"/>
                    </w:rPr>
                    <w:t>3</w:t>
                  </w:r>
                </w:p>
              </w:tc>
              <w:tc>
                <w:tcPr>
                  <w:tcW w:w="835" w:type="pct"/>
                  <w:vAlign w:val="center"/>
                </w:tcPr>
                <w:p w14:paraId="1A9EC640">
                  <w:pPr>
                    <w:widowControl/>
                    <w:jc w:val="center"/>
                  </w:pPr>
                  <w:r>
                    <w:rPr>
                      <w:kern w:val="0"/>
                    </w:rPr>
                    <w:t>一般</w:t>
                  </w:r>
                </w:p>
              </w:tc>
            </w:tr>
            <w:tr w14:paraId="7729AB07">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15" w:type="dxa"/>
                  <w:left w:w="15" w:type="dxa"/>
                  <w:bottom w:w="15" w:type="dxa"/>
                  <w:right w:w="15" w:type="dxa"/>
                </w:tblCellMar>
              </w:tblPrEx>
              <w:trPr>
                <w:trHeight w:val="340" w:hRule="atLeast"/>
              </w:trPr>
              <w:tc>
                <w:tcPr>
                  <w:tcW w:w="673" w:type="pct"/>
                  <w:vMerge w:val="continue"/>
                  <w:vAlign w:val="center"/>
                </w:tcPr>
                <w:p w14:paraId="0E73CEF6">
                  <w:pPr>
                    <w:widowControl/>
                    <w:jc w:val="center"/>
                    <w:rPr>
                      <w:kern w:val="0"/>
                    </w:rPr>
                  </w:pPr>
                </w:p>
              </w:tc>
              <w:tc>
                <w:tcPr>
                  <w:tcW w:w="835" w:type="pct"/>
                  <w:vAlign w:val="center"/>
                </w:tcPr>
                <w:p w14:paraId="77366292">
                  <w:pPr>
                    <w:widowControl/>
                    <w:jc w:val="center"/>
                    <w:rPr>
                      <w:kern w:val="0"/>
                    </w:rPr>
                  </w:pPr>
                  <w:r>
                    <w:rPr>
                      <w:kern w:val="0"/>
                    </w:rPr>
                    <w:t>不适宜</w:t>
                  </w:r>
                </w:p>
              </w:tc>
              <w:tc>
                <w:tcPr>
                  <w:tcW w:w="997" w:type="pct"/>
                  <w:vAlign w:val="center"/>
                </w:tcPr>
                <w:p w14:paraId="5DB6B1EC">
                  <w:pPr>
                    <w:widowControl/>
                    <w:jc w:val="center"/>
                    <w:rPr>
                      <w:kern w:val="0"/>
                    </w:rPr>
                  </w:pPr>
                  <w:r>
                    <w:rPr>
                      <w:kern w:val="0"/>
                    </w:rPr>
                    <w:t>&gt;60°</w:t>
                  </w:r>
                </w:p>
              </w:tc>
              <w:tc>
                <w:tcPr>
                  <w:tcW w:w="830" w:type="pct"/>
                  <w:vAlign w:val="center"/>
                </w:tcPr>
                <w:p w14:paraId="31EC67AA">
                  <w:pPr>
                    <w:widowControl/>
                    <w:jc w:val="center"/>
                    <w:rPr>
                      <w:kern w:val="0"/>
                    </w:rPr>
                  </w:pPr>
                  <w:r>
                    <w:rPr>
                      <w:kern w:val="0"/>
                    </w:rPr>
                    <w:t>&lt;40</w:t>
                  </w:r>
                </w:p>
              </w:tc>
              <w:tc>
                <w:tcPr>
                  <w:tcW w:w="830" w:type="pct"/>
                  <w:vAlign w:val="center"/>
                </w:tcPr>
                <w:p w14:paraId="2ECFE501">
                  <w:pPr>
                    <w:widowControl/>
                    <w:jc w:val="center"/>
                    <w:rPr>
                      <w:kern w:val="0"/>
                    </w:rPr>
                  </w:pPr>
                  <w:r>
                    <w:rPr>
                      <w:kern w:val="0"/>
                    </w:rPr>
                    <w:t>&lt;0.5</w:t>
                  </w:r>
                </w:p>
              </w:tc>
              <w:tc>
                <w:tcPr>
                  <w:tcW w:w="835" w:type="pct"/>
                  <w:vAlign w:val="center"/>
                </w:tcPr>
                <w:p w14:paraId="007E708C">
                  <w:pPr>
                    <w:widowControl/>
                    <w:jc w:val="center"/>
                  </w:pPr>
                  <w:r>
                    <w:rPr>
                      <w:kern w:val="0"/>
                    </w:rPr>
                    <w:t>无道路</w:t>
                  </w:r>
                </w:p>
              </w:tc>
            </w:tr>
          </w:tbl>
          <w:p w14:paraId="335E9047">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kern w:val="0"/>
                <w:sz w:val="24"/>
                <w:lang w:bidi="ar"/>
              </w:rPr>
            </w:pPr>
            <w:r>
              <w:rPr>
                <w:rFonts w:hint="eastAsia"/>
                <w:kern w:val="0"/>
                <w:sz w:val="24"/>
                <w:lang w:bidi="ar"/>
              </w:rPr>
              <w:t>在对压占、挖损区损毁土地进行适宜性评价的过程中，将不同的复垦单元现状进行评价，最后得到需要复垦的土地适宜性评价结果现状统计，见</w:t>
            </w:r>
            <w:r>
              <w:rPr>
                <w:rFonts w:hint="eastAsia"/>
                <w:kern w:val="0"/>
                <w:sz w:val="24"/>
              </w:rPr>
              <w:t>表5-2。</w:t>
            </w:r>
          </w:p>
          <w:p w14:paraId="362EBB10">
            <w:pPr>
              <w:pStyle w:val="72"/>
              <w:keepNext w:val="0"/>
              <w:keepLines w:val="0"/>
              <w:pageBreakBefore w:val="0"/>
              <w:widowControl/>
              <w:kinsoku/>
              <w:wordWrap/>
              <w:overflowPunct/>
              <w:topLinePunct w:val="0"/>
              <w:autoSpaceDE/>
              <w:autoSpaceDN/>
              <w:bidi w:val="0"/>
              <w:adjustRightInd/>
              <w:snapToGrid/>
              <w:spacing w:line="480" w:lineRule="exact"/>
              <w:ind w:firstLine="0" w:firstLineChars="0"/>
              <w:jc w:val="center"/>
              <w:textAlignment w:val="auto"/>
              <w:rPr>
                <w:rFonts w:hAnsi="宋体" w:cs="宋体"/>
                <w:bCs w:val="0"/>
                <w:color w:val="auto"/>
                <w:sz w:val="21"/>
                <w:szCs w:val="21"/>
                <w:lang w:val="zh-CN" w:bidi="ar"/>
              </w:rPr>
            </w:pPr>
            <w:r>
              <w:rPr>
                <w:rFonts w:hint="eastAsia" w:hAnsi="宋体" w:cs="宋体"/>
                <w:bCs w:val="0"/>
                <w:color w:val="auto"/>
                <w:sz w:val="21"/>
                <w:szCs w:val="21"/>
                <w:lang w:val="zh-CN" w:bidi="ar"/>
              </w:rPr>
              <w:t>表</w:t>
            </w:r>
            <w:r>
              <w:rPr>
                <w:rFonts w:ascii="Times New Roman"/>
                <w:bCs w:val="0"/>
                <w:color w:val="auto"/>
                <w:sz w:val="21"/>
                <w:szCs w:val="21"/>
                <w:lang w:bidi="ar"/>
              </w:rPr>
              <w:t>5-2</w:t>
            </w:r>
            <w:r>
              <w:rPr>
                <w:rFonts w:hint="eastAsia" w:hAnsi="宋体" w:cs="宋体"/>
                <w:bCs w:val="0"/>
                <w:color w:val="auto"/>
                <w:sz w:val="21"/>
                <w:szCs w:val="21"/>
                <w:lang w:val="zh-CN" w:bidi="ar"/>
              </w:rPr>
              <w:t xml:space="preserve">  土地适宜性评价现状统计表</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48"/>
              <w:gridCol w:w="1645"/>
              <w:gridCol w:w="2837"/>
              <w:gridCol w:w="2132"/>
            </w:tblGrid>
            <w:tr w14:paraId="10A3E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jc w:val="center"/>
              </w:trPr>
              <w:tc>
                <w:tcPr>
                  <w:tcW w:w="948" w:type="pct"/>
                  <w:tcBorders>
                    <w:tl2br w:val="single" w:color="auto" w:sz="4" w:space="0"/>
                  </w:tcBorders>
                  <w:vAlign w:val="center"/>
                </w:tcPr>
                <w:p w14:paraId="63F1B77F">
                  <w:pPr>
                    <w:ind w:firstLine="420" w:firstLineChars="200"/>
                    <w:rPr>
                      <w:kern w:val="0"/>
                    </w:rPr>
                  </w:pPr>
                  <w:r>
                    <w:rPr>
                      <w:kern w:val="0"/>
                    </w:rPr>
                    <w:t>评价单元</w:t>
                  </w:r>
                </w:p>
                <w:p w14:paraId="35ED376F">
                  <w:pPr>
                    <w:rPr>
                      <w:kern w:val="0"/>
                    </w:rPr>
                  </w:pPr>
                  <w:r>
                    <w:rPr>
                      <w:kern w:val="0"/>
                    </w:rPr>
                    <w:t>指标体系</w:t>
                  </w:r>
                </w:p>
              </w:tc>
              <w:tc>
                <w:tcPr>
                  <w:tcW w:w="1008" w:type="pct"/>
                  <w:vAlign w:val="center"/>
                </w:tcPr>
                <w:p w14:paraId="7B6E62C9">
                  <w:pPr>
                    <w:jc w:val="center"/>
                    <w:rPr>
                      <w:kern w:val="0"/>
                    </w:rPr>
                  </w:pPr>
                  <w:r>
                    <w:rPr>
                      <w:kern w:val="0"/>
                    </w:rPr>
                    <w:t>露天采场边坡</w:t>
                  </w:r>
                </w:p>
              </w:tc>
              <w:tc>
                <w:tcPr>
                  <w:tcW w:w="1738" w:type="pct"/>
                  <w:vAlign w:val="center"/>
                </w:tcPr>
                <w:p w14:paraId="110B9847">
                  <w:pPr>
                    <w:jc w:val="center"/>
                    <w:rPr>
                      <w:kern w:val="0"/>
                    </w:rPr>
                  </w:pPr>
                  <w:r>
                    <w:rPr>
                      <w:rFonts w:hint="eastAsia"/>
                      <w:kern w:val="0"/>
                    </w:rPr>
                    <w:t>露天采场底平台、露天采场台阶平台、排土场平台、办公生活区</w:t>
                  </w:r>
                </w:p>
              </w:tc>
              <w:tc>
                <w:tcPr>
                  <w:tcW w:w="1306" w:type="pct"/>
                  <w:vAlign w:val="center"/>
                </w:tcPr>
                <w:p w14:paraId="6C71E710">
                  <w:pPr>
                    <w:jc w:val="center"/>
                    <w:rPr>
                      <w:kern w:val="0"/>
                    </w:rPr>
                  </w:pPr>
                  <w:r>
                    <w:rPr>
                      <w:kern w:val="0"/>
                    </w:rPr>
                    <w:t>排土场边坡</w:t>
                  </w:r>
                </w:p>
              </w:tc>
            </w:tr>
            <w:tr w14:paraId="0F19E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948" w:type="pct"/>
                  <w:vAlign w:val="center"/>
                </w:tcPr>
                <w:p w14:paraId="4B6D44D6">
                  <w:pPr>
                    <w:jc w:val="center"/>
                    <w:rPr>
                      <w:kern w:val="0"/>
                    </w:rPr>
                  </w:pPr>
                  <w:r>
                    <w:rPr>
                      <w:kern w:val="0"/>
                    </w:rPr>
                    <w:t>地形坡度</w:t>
                  </w:r>
                </w:p>
              </w:tc>
              <w:tc>
                <w:tcPr>
                  <w:tcW w:w="1008" w:type="pct"/>
                  <w:vAlign w:val="center"/>
                </w:tcPr>
                <w:p w14:paraId="5124AC60">
                  <w:pPr>
                    <w:jc w:val="center"/>
                    <w:rPr>
                      <w:kern w:val="0"/>
                    </w:rPr>
                  </w:pPr>
                  <w:r>
                    <w:rPr>
                      <w:kern w:val="0"/>
                    </w:rPr>
                    <w:t>50-70°</w:t>
                  </w:r>
                </w:p>
              </w:tc>
              <w:tc>
                <w:tcPr>
                  <w:tcW w:w="1738" w:type="pct"/>
                  <w:vAlign w:val="center"/>
                </w:tcPr>
                <w:p w14:paraId="4A6C59E9">
                  <w:pPr>
                    <w:jc w:val="center"/>
                    <w:rPr>
                      <w:kern w:val="0"/>
                    </w:rPr>
                  </w:pPr>
                  <w:r>
                    <w:rPr>
                      <w:kern w:val="0"/>
                    </w:rPr>
                    <w:t>15°-20°</w:t>
                  </w:r>
                </w:p>
              </w:tc>
              <w:tc>
                <w:tcPr>
                  <w:tcW w:w="1306" w:type="pct"/>
                  <w:vAlign w:val="center"/>
                </w:tcPr>
                <w:p w14:paraId="55242811">
                  <w:pPr>
                    <w:jc w:val="center"/>
                    <w:rPr>
                      <w:kern w:val="0"/>
                    </w:rPr>
                  </w:pPr>
                  <w:r>
                    <w:rPr>
                      <w:kern w:val="0"/>
                    </w:rPr>
                    <w:t>15°-25°</w:t>
                  </w:r>
                </w:p>
              </w:tc>
            </w:tr>
            <w:tr w14:paraId="268A0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948" w:type="pct"/>
                  <w:vAlign w:val="center"/>
                </w:tcPr>
                <w:p w14:paraId="00132E01">
                  <w:pPr>
                    <w:jc w:val="center"/>
                    <w:rPr>
                      <w:kern w:val="0"/>
                    </w:rPr>
                  </w:pPr>
                  <w:r>
                    <w:rPr>
                      <w:kern w:val="0"/>
                    </w:rPr>
                    <w:t>土壤质地</w:t>
                  </w:r>
                </w:p>
              </w:tc>
              <w:tc>
                <w:tcPr>
                  <w:tcW w:w="1008" w:type="pct"/>
                  <w:vAlign w:val="center"/>
                </w:tcPr>
                <w:p w14:paraId="53C97F25">
                  <w:pPr>
                    <w:jc w:val="center"/>
                    <w:rPr>
                      <w:kern w:val="0"/>
                    </w:rPr>
                  </w:pPr>
                  <w:r>
                    <w:rPr>
                      <w:kern w:val="0"/>
                    </w:rPr>
                    <w:t>砾石土</w:t>
                  </w:r>
                </w:p>
              </w:tc>
              <w:tc>
                <w:tcPr>
                  <w:tcW w:w="1738" w:type="pct"/>
                  <w:vAlign w:val="center"/>
                </w:tcPr>
                <w:p w14:paraId="3BF50011">
                  <w:pPr>
                    <w:jc w:val="center"/>
                    <w:rPr>
                      <w:kern w:val="0"/>
                    </w:rPr>
                  </w:pPr>
                  <w:r>
                    <w:rPr>
                      <w:rFonts w:hint="eastAsia"/>
                      <w:kern w:val="0"/>
                      <w:lang w:eastAsia="zh-CN"/>
                    </w:rPr>
                    <w:t>黏</w:t>
                  </w:r>
                  <w:r>
                    <w:rPr>
                      <w:kern w:val="0"/>
                    </w:rPr>
                    <w:t>壤土</w:t>
                  </w:r>
                </w:p>
              </w:tc>
              <w:tc>
                <w:tcPr>
                  <w:tcW w:w="1306" w:type="pct"/>
                  <w:vAlign w:val="center"/>
                </w:tcPr>
                <w:p w14:paraId="60424A2F">
                  <w:pPr>
                    <w:jc w:val="center"/>
                    <w:rPr>
                      <w:kern w:val="0"/>
                    </w:rPr>
                  </w:pPr>
                  <w:r>
                    <w:rPr>
                      <w:rFonts w:hint="eastAsia"/>
                      <w:kern w:val="0"/>
                      <w:lang w:eastAsia="zh-CN"/>
                    </w:rPr>
                    <w:t>黏</w:t>
                  </w:r>
                  <w:r>
                    <w:rPr>
                      <w:kern w:val="0"/>
                    </w:rPr>
                    <w:t>壤土</w:t>
                  </w:r>
                </w:p>
              </w:tc>
            </w:tr>
            <w:tr w14:paraId="673E3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948" w:type="pct"/>
                  <w:vAlign w:val="center"/>
                </w:tcPr>
                <w:p w14:paraId="6EC1461C">
                  <w:pPr>
                    <w:jc w:val="center"/>
                    <w:rPr>
                      <w:kern w:val="0"/>
                    </w:rPr>
                  </w:pPr>
                  <w:r>
                    <w:rPr>
                      <w:kern w:val="0"/>
                    </w:rPr>
                    <w:t>有效土层厚度（cm）</w:t>
                  </w:r>
                </w:p>
              </w:tc>
              <w:tc>
                <w:tcPr>
                  <w:tcW w:w="1008" w:type="pct"/>
                  <w:vAlign w:val="center"/>
                </w:tcPr>
                <w:p w14:paraId="1CA26398">
                  <w:pPr>
                    <w:jc w:val="center"/>
                    <w:rPr>
                      <w:kern w:val="0"/>
                    </w:rPr>
                  </w:pPr>
                  <w:r>
                    <w:rPr>
                      <w:kern w:val="0"/>
                    </w:rPr>
                    <w:t>&lt;30</w:t>
                  </w:r>
                </w:p>
              </w:tc>
              <w:tc>
                <w:tcPr>
                  <w:tcW w:w="1738" w:type="pct"/>
                  <w:vAlign w:val="center"/>
                </w:tcPr>
                <w:p w14:paraId="2397F499">
                  <w:pPr>
                    <w:jc w:val="center"/>
                    <w:rPr>
                      <w:kern w:val="0"/>
                    </w:rPr>
                  </w:pPr>
                  <w:r>
                    <w:rPr>
                      <w:kern w:val="0"/>
                    </w:rPr>
                    <w:t>60</w:t>
                  </w:r>
                </w:p>
              </w:tc>
              <w:tc>
                <w:tcPr>
                  <w:tcW w:w="1306" w:type="pct"/>
                  <w:vAlign w:val="center"/>
                </w:tcPr>
                <w:p w14:paraId="69F9FE39">
                  <w:pPr>
                    <w:jc w:val="center"/>
                    <w:rPr>
                      <w:kern w:val="0"/>
                    </w:rPr>
                  </w:pPr>
                  <w:r>
                    <w:rPr>
                      <w:kern w:val="0"/>
                    </w:rPr>
                    <w:t>30</w:t>
                  </w:r>
                </w:p>
              </w:tc>
            </w:tr>
            <w:tr w14:paraId="63750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948" w:type="pct"/>
                  <w:vAlign w:val="center"/>
                </w:tcPr>
                <w:p w14:paraId="6D5FF2F4">
                  <w:pPr>
                    <w:jc w:val="center"/>
                    <w:rPr>
                      <w:kern w:val="0"/>
                    </w:rPr>
                  </w:pPr>
                  <w:r>
                    <w:rPr>
                      <w:kern w:val="0"/>
                    </w:rPr>
                    <w:t>土壤有机质（g/kg）</w:t>
                  </w:r>
                </w:p>
              </w:tc>
              <w:tc>
                <w:tcPr>
                  <w:tcW w:w="1008" w:type="pct"/>
                  <w:vAlign w:val="center"/>
                </w:tcPr>
                <w:p w14:paraId="6BE37597">
                  <w:pPr>
                    <w:jc w:val="center"/>
                    <w:rPr>
                      <w:kern w:val="0"/>
                    </w:rPr>
                  </w:pPr>
                  <w:r>
                    <w:rPr>
                      <w:kern w:val="0"/>
                    </w:rPr>
                    <w:t>3.7</w:t>
                  </w:r>
                </w:p>
              </w:tc>
              <w:tc>
                <w:tcPr>
                  <w:tcW w:w="1738" w:type="pct"/>
                  <w:vAlign w:val="center"/>
                </w:tcPr>
                <w:p w14:paraId="0C2689C6">
                  <w:pPr>
                    <w:jc w:val="center"/>
                    <w:rPr>
                      <w:kern w:val="0"/>
                    </w:rPr>
                  </w:pPr>
                  <w:r>
                    <w:rPr>
                      <w:kern w:val="0"/>
                    </w:rPr>
                    <w:t>6.2</w:t>
                  </w:r>
                </w:p>
              </w:tc>
              <w:tc>
                <w:tcPr>
                  <w:tcW w:w="1306" w:type="pct"/>
                  <w:vAlign w:val="center"/>
                </w:tcPr>
                <w:p w14:paraId="31A0605E">
                  <w:pPr>
                    <w:jc w:val="center"/>
                    <w:rPr>
                      <w:kern w:val="0"/>
                    </w:rPr>
                  </w:pPr>
                  <w:r>
                    <w:rPr>
                      <w:kern w:val="0"/>
                    </w:rPr>
                    <w:t>6.2</w:t>
                  </w:r>
                </w:p>
              </w:tc>
            </w:tr>
            <w:tr w14:paraId="4CBE2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948" w:type="pct"/>
                  <w:vAlign w:val="center"/>
                </w:tcPr>
                <w:p w14:paraId="27B30643">
                  <w:pPr>
                    <w:jc w:val="center"/>
                    <w:rPr>
                      <w:kern w:val="0"/>
                    </w:rPr>
                  </w:pPr>
                  <w:r>
                    <w:rPr>
                      <w:kern w:val="0"/>
                    </w:rPr>
                    <w:t>复垦限制因子</w:t>
                  </w:r>
                </w:p>
              </w:tc>
              <w:tc>
                <w:tcPr>
                  <w:tcW w:w="1008" w:type="pct"/>
                  <w:vAlign w:val="center"/>
                </w:tcPr>
                <w:p w14:paraId="56458041">
                  <w:pPr>
                    <w:jc w:val="center"/>
                    <w:rPr>
                      <w:kern w:val="0"/>
                    </w:rPr>
                  </w:pPr>
                  <w:r>
                    <w:rPr>
                      <w:kern w:val="0"/>
                    </w:rPr>
                    <w:t>终了坡面角大于45°</w:t>
                  </w:r>
                </w:p>
              </w:tc>
              <w:tc>
                <w:tcPr>
                  <w:tcW w:w="1738" w:type="pct"/>
                  <w:vAlign w:val="center"/>
                </w:tcPr>
                <w:p w14:paraId="6B82D506">
                  <w:pPr>
                    <w:jc w:val="center"/>
                    <w:rPr>
                      <w:kern w:val="0"/>
                    </w:rPr>
                  </w:pPr>
                  <w:r>
                    <w:rPr>
                      <w:kern w:val="0"/>
                    </w:rPr>
                    <w:t>有效土层厚度60cm，周围环境及地形条件</w:t>
                  </w:r>
                </w:p>
              </w:tc>
              <w:tc>
                <w:tcPr>
                  <w:tcW w:w="1306" w:type="pct"/>
                  <w:vAlign w:val="center"/>
                </w:tcPr>
                <w:p w14:paraId="50290855">
                  <w:pPr>
                    <w:jc w:val="center"/>
                    <w:rPr>
                      <w:kern w:val="0"/>
                    </w:rPr>
                  </w:pPr>
                  <w:r>
                    <w:rPr>
                      <w:kern w:val="0"/>
                    </w:rPr>
                    <w:t>有效土层厚度30cm，地形坡度15°-25°</w:t>
                  </w:r>
                </w:p>
              </w:tc>
            </w:tr>
            <w:tr w14:paraId="2D3E4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48" w:type="pct"/>
                  <w:vAlign w:val="center"/>
                </w:tcPr>
                <w:p w14:paraId="580D5913">
                  <w:pPr>
                    <w:jc w:val="center"/>
                    <w:rPr>
                      <w:kern w:val="0"/>
                    </w:rPr>
                  </w:pPr>
                  <w:r>
                    <w:rPr>
                      <w:kern w:val="0"/>
                    </w:rPr>
                    <w:t>评价类型及适应性</w:t>
                  </w:r>
                </w:p>
              </w:tc>
              <w:tc>
                <w:tcPr>
                  <w:tcW w:w="1008" w:type="pct"/>
                  <w:vAlign w:val="center"/>
                </w:tcPr>
                <w:p w14:paraId="25857742">
                  <w:pPr>
                    <w:jc w:val="center"/>
                    <w:rPr>
                      <w:kern w:val="0"/>
                    </w:rPr>
                  </w:pPr>
                  <w:r>
                    <w:rPr>
                      <w:kern w:val="0"/>
                    </w:rPr>
                    <w:t>不适宜</w:t>
                  </w:r>
                </w:p>
              </w:tc>
              <w:tc>
                <w:tcPr>
                  <w:tcW w:w="1738" w:type="pct"/>
                  <w:vAlign w:val="center"/>
                </w:tcPr>
                <w:p w14:paraId="6F87450E">
                  <w:pPr>
                    <w:jc w:val="center"/>
                    <w:rPr>
                      <w:kern w:val="0"/>
                    </w:rPr>
                  </w:pPr>
                  <w:r>
                    <w:rPr>
                      <w:kern w:val="0"/>
                    </w:rPr>
                    <w:t>林地二等</w:t>
                  </w:r>
                </w:p>
              </w:tc>
              <w:tc>
                <w:tcPr>
                  <w:tcW w:w="1306" w:type="pct"/>
                  <w:vAlign w:val="center"/>
                </w:tcPr>
                <w:p w14:paraId="1682E70F">
                  <w:pPr>
                    <w:jc w:val="center"/>
                    <w:rPr>
                      <w:kern w:val="0"/>
                    </w:rPr>
                  </w:pPr>
                  <w:r>
                    <w:rPr>
                      <w:kern w:val="0"/>
                    </w:rPr>
                    <w:t>林地三等</w:t>
                  </w:r>
                </w:p>
              </w:tc>
            </w:tr>
          </w:tbl>
          <w:p w14:paraId="0766AB9A">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b/>
                <w:bCs/>
                <w:kern w:val="0"/>
                <w:sz w:val="24"/>
                <w:highlight w:val="yellow"/>
                <w:lang w:bidi="ar"/>
              </w:rPr>
            </w:pPr>
            <w:r>
              <w:rPr>
                <w:rFonts w:hint="eastAsia"/>
                <w:sz w:val="24"/>
              </w:rPr>
              <w:t>由以上适宜性评价分析可以获得各评价对象复垦方向的适宜性，同时综合考虑社会发展、经济水平、环境保障、居民意愿等多方面的因素影响，最终确定项目区各评价单元的土地复垦方向。</w:t>
            </w:r>
          </w:p>
          <w:p w14:paraId="6EDF7C65">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b/>
                <w:bCs/>
                <w:kern w:val="0"/>
                <w:sz w:val="24"/>
                <w:highlight w:val="yellow"/>
                <w:lang w:bidi="ar"/>
              </w:rPr>
            </w:pPr>
            <w:r>
              <w:rPr>
                <w:rFonts w:hint="eastAsia"/>
                <w:sz w:val="24"/>
              </w:rPr>
              <w:t>各评价单元的土地复垦方向见</w:t>
            </w:r>
            <w:r>
              <w:rPr>
                <w:rFonts w:hint="eastAsia"/>
                <w:kern w:val="0"/>
                <w:sz w:val="24"/>
              </w:rPr>
              <w:t>表5-3。</w:t>
            </w:r>
          </w:p>
          <w:p w14:paraId="451BE427">
            <w:pPr>
              <w:keepNext w:val="0"/>
              <w:keepLines w:val="0"/>
              <w:pageBreakBefore w:val="0"/>
              <w:widowControl/>
              <w:kinsoku/>
              <w:wordWrap/>
              <w:overflowPunct/>
              <w:topLinePunct w:val="0"/>
              <w:autoSpaceDE/>
              <w:autoSpaceDN/>
              <w:bidi w:val="0"/>
              <w:adjustRightInd/>
              <w:snapToGrid/>
              <w:spacing w:line="480" w:lineRule="exact"/>
              <w:jc w:val="center"/>
              <w:textAlignment w:val="auto"/>
              <w:rPr>
                <w:rFonts w:ascii="宋体" w:hAnsi="宋体" w:cs="宋体"/>
                <w:szCs w:val="21"/>
                <w:highlight w:val="none"/>
                <w:lang w:bidi="ar"/>
              </w:rPr>
            </w:pPr>
            <w:r>
              <w:rPr>
                <w:rFonts w:hint="eastAsia" w:ascii="宋体" w:hAnsi="宋体" w:cs="宋体"/>
                <w:szCs w:val="21"/>
                <w:highlight w:val="none"/>
                <w:lang w:val="zh-CN" w:bidi="ar"/>
              </w:rPr>
              <w:t>表</w:t>
            </w:r>
            <w:r>
              <w:rPr>
                <w:szCs w:val="21"/>
                <w:highlight w:val="none"/>
                <w:lang w:bidi="ar"/>
              </w:rPr>
              <w:t>5-3</w:t>
            </w:r>
            <w:r>
              <w:rPr>
                <w:rFonts w:hint="eastAsia" w:ascii="宋体" w:hAnsi="宋体" w:cs="宋体"/>
                <w:szCs w:val="21"/>
                <w:highlight w:val="none"/>
                <w:lang w:bidi="ar"/>
              </w:rPr>
              <w:t xml:space="preserve"> 盂县石鑫矿业有限公司土地复垦方向分析</w:t>
            </w:r>
          </w:p>
          <w:tbl>
            <w:tblPr>
              <w:tblStyle w:val="29"/>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7"/>
              <w:gridCol w:w="4481"/>
              <w:gridCol w:w="2466"/>
            </w:tblGrid>
            <w:tr w14:paraId="7526F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jc w:val="center"/>
              </w:trPr>
              <w:tc>
                <w:tcPr>
                  <w:tcW w:w="740" w:type="pct"/>
                  <w:vAlign w:val="center"/>
                </w:tcPr>
                <w:p w14:paraId="64A3FBFD">
                  <w:pPr>
                    <w:widowControl/>
                    <w:adjustRightInd w:val="0"/>
                    <w:snapToGrid w:val="0"/>
                    <w:jc w:val="center"/>
                    <w:rPr>
                      <w:rFonts w:ascii="宋体" w:hAnsi="宋体" w:cs="宋体"/>
                      <w:kern w:val="0"/>
                      <w:szCs w:val="21"/>
                    </w:rPr>
                  </w:pPr>
                  <w:r>
                    <w:rPr>
                      <w:rFonts w:hint="eastAsia" w:ascii="宋体" w:hAnsi="宋体" w:cs="宋体"/>
                      <w:kern w:val="0"/>
                      <w:szCs w:val="21"/>
                    </w:rPr>
                    <w:t>评价单元</w:t>
                  </w:r>
                </w:p>
              </w:tc>
              <w:tc>
                <w:tcPr>
                  <w:tcW w:w="2748" w:type="pct"/>
                  <w:vAlign w:val="center"/>
                </w:tcPr>
                <w:p w14:paraId="11F647FA">
                  <w:pPr>
                    <w:widowControl/>
                    <w:adjustRightInd w:val="0"/>
                    <w:snapToGrid w:val="0"/>
                    <w:jc w:val="center"/>
                    <w:rPr>
                      <w:rFonts w:ascii="宋体" w:hAnsi="宋体" w:cs="宋体"/>
                      <w:kern w:val="0"/>
                      <w:szCs w:val="21"/>
                    </w:rPr>
                  </w:pPr>
                  <w:r>
                    <w:rPr>
                      <w:rFonts w:hint="eastAsia" w:ascii="宋体" w:hAnsi="宋体" w:cs="宋体"/>
                      <w:kern w:val="0"/>
                      <w:szCs w:val="21"/>
                    </w:rPr>
                    <w:t>复垦方向讨论（结合地形特点、气候等因素）</w:t>
                  </w:r>
                </w:p>
              </w:tc>
              <w:tc>
                <w:tcPr>
                  <w:tcW w:w="1512" w:type="pct"/>
                  <w:vAlign w:val="center"/>
                </w:tcPr>
                <w:p w14:paraId="4AAD9064">
                  <w:pPr>
                    <w:widowControl/>
                    <w:adjustRightInd w:val="0"/>
                    <w:snapToGrid w:val="0"/>
                    <w:jc w:val="center"/>
                    <w:rPr>
                      <w:rFonts w:ascii="宋体" w:hAnsi="宋体" w:cs="宋体"/>
                      <w:kern w:val="0"/>
                      <w:szCs w:val="21"/>
                    </w:rPr>
                  </w:pPr>
                  <w:r>
                    <w:rPr>
                      <w:rFonts w:hint="eastAsia" w:ascii="宋体" w:hAnsi="宋体" w:cs="宋体"/>
                      <w:kern w:val="0"/>
                      <w:szCs w:val="21"/>
                    </w:rPr>
                    <w:t>结论</w:t>
                  </w:r>
                </w:p>
              </w:tc>
            </w:tr>
            <w:tr w14:paraId="29A23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atLeast"/>
                <w:jc w:val="center"/>
              </w:trPr>
              <w:tc>
                <w:tcPr>
                  <w:tcW w:w="740" w:type="pct"/>
                  <w:vAlign w:val="center"/>
                </w:tcPr>
                <w:p w14:paraId="037CD396">
                  <w:pPr>
                    <w:jc w:val="center"/>
                  </w:pPr>
                  <w:r>
                    <w:rPr>
                      <w:rFonts w:hint="eastAsia"/>
                    </w:rPr>
                    <w:t>已采区</w:t>
                  </w:r>
                </w:p>
              </w:tc>
              <w:tc>
                <w:tcPr>
                  <w:tcW w:w="2748" w:type="pct"/>
                </w:tcPr>
                <w:p w14:paraId="3A5B8960">
                  <w:r>
                    <w:rPr>
                      <w:rFonts w:hint="eastAsia"/>
                    </w:rPr>
                    <w:t>已采区原土地利用类型为其他草地、采矿用地等；损毁程度为重度。根据评价结果以及当地气候、经济效益、种植环境，确定复垦为灌木林地。</w:t>
                  </w:r>
                </w:p>
              </w:tc>
              <w:tc>
                <w:tcPr>
                  <w:tcW w:w="1512" w:type="pct"/>
                </w:tcPr>
                <w:p w14:paraId="1244E19E">
                  <w:r>
                    <w:rPr>
                      <w:rFonts w:hint="eastAsia"/>
                    </w:rPr>
                    <w:t>该评价单元复垦为灌木林地，植被选择紫穗槐，并撒播草籽紫花苜蓿和披碱草</w:t>
                  </w:r>
                </w:p>
              </w:tc>
            </w:tr>
            <w:tr w14:paraId="4C607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atLeast"/>
                <w:jc w:val="center"/>
              </w:trPr>
              <w:tc>
                <w:tcPr>
                  <w:tcW w:w="740" w:type="pct"/>
                  <w:vAlign w:val="center"/>
                </w:tcPr>
                <w:p w14:paraId="5773C4D4">
                  <w:pPr>
                    <w:jc w:val="center"/>
                    <w:rPr>
                      <w:rFonts w:hint="default" w:eastAsia="宋体"/>
                      <w:lang w:val="en-US" w:eastAsia="zh-CN"/>
                    </w:rPr>
                  </w:pPr>
                  <w:r>
                    <w:rPr>
                      <w:rFonts w:hint="eastAsia"/>
                      <w:lang w:val="en-US" w:eastAsia="zh-CN"/>
                    </w:rPr>
                    <w:t>排土场已形成平台</w:t>
                  </w:r>
                </w:p>
              </w:tc>
              <w:tc>
                <w:tcPr>
                  <w:tcW w:w="2748" w:type="pct"/>
                </w:tcPr>
                <w:p w14:paraId="593E530B">
                  <w:pPr>
                    <w:rPr>
                      <w:rFonts w:hint="eastAsia"/>
                    </w:rPr>
                  </w:pPr>
                  <w:r>
                    <w:rPr>
                      <w:rFonts w:hint="eastAsia"/>
                      <w:lang w:val="en-US" w:eastAsia="zh-CN"/>
                    </w:rPr>
                    <w:t>排土场已形成平台</w:t>
                  </w:r>
                  <w:r>
                    <w:rPr>
                      <w:rFonts w:hint="eastAsia"/>
                    </w:rPr>
                    <w:t>原土地利用类型为</w:t>
                  </w:r>
                  <w:r>
                    <w:rPr>
                      <w:rFonts w:hint="eastAsia"/>
                      <w:lang w:val="en-US" w:eastAsia="zh-CN"/>
                    </w:rPr>
                    <w:t>采矿用地、灌木林地</w:t>
                  </w:r>
                  <w:r>
                    <w:rPr>
                      <w:rFonts w:hint="eastAsia"/>
                    </w:rPr>
                    <w:t>等；损毁程度为重度。根据评价结果以及当地气候、经济效益、种植环境，确定复垦为乔木林地。</w:t>
                  </w:r>
                </w:p>
              </w:tc>
              <w:tc>
                <w:tcPr>
                  <w:tcW w:w="2466" w:type="dxa"/>
                  <w:vAlign w:val="top"/>
                </w:tcPr>
                <w:p w14:paraId="7F010D73">
                  <w:pPr>
                    <w:rPr>
                      <w:rFonts w:hint="eastAsia"/>
                    </w:rPr>
                  </w:pPr>
                  <w:r>
                    <w:rPr>
                      <w:rFonts w:hint="eastAsia"/>
                    </w:rPr>
                    <w:t>该评价单元复垦为乔木林地，植被选择油松，并撒播草籽紫花苜蓿和披碱草</w:t>
                  </w:r>
                </w:p>
              </w:tc>
            </w:tr>
            <w:tr w14:paraId="7951C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atLeast"/>
                <w:jc w:val="center"/>
              </w:trPr>
              <w:tc>
                <w:tcPr>
                  <w:tcW w:w="740" w:type="pct"/>
                  <w:vAlign w:val="center"/>
                </w:tcPr>
                <w:p w14:paraId="3EC7CB5B">
                  <w:pPr>
                    <w:jc w:val="center"/>
                    <w:rPr>
                      <w:rFonts w:hint="eastAsia"/>
                    </w:rPr>
                  </w:pPr>
                  <w:r>
                    <w:rPr>
                      <w:rFonts w:hint="eastAsia"/>
                      <w:lang w:val="en-US" w:eastAsia="zh-CN"/>
                    </w:rPr>
                    <w:t>排土场已形成坡面</w:t>
                  </w:r>
                </w:p>
              </w:tc>
              <w:tc>
                <w:tcPr>
                  <w:tcW w:w="2748" w:type="pct"/>
                </w:tcPr>
                <w:p w14:paraId="054261A1">
                  <w:pPr>
                    <w:rPr>
                      <w:rFonts w:hint="eastAsia"/>
                    </w:rPr>
                  </w:pPr>
                  <w:r>
                    <w:rPr>
                      <w:rFonts w:hint="eastAsia"/>
                      <w:lang w:val="en-US" w:eastAsia="zh-CN"/>
                    </w:rPr>
                    <w:t>排土场已形成坡面</w:t>
                  </w:r>
                  <w:r>
                    <w:rPr>
                      <w:rFonts w:hint="eastAsia"/>
                    </w:rPr>
                    <w:t>原土地利用类型为</w:t>
                  </w:r>
                  <w:r>
                    <w:rPr>
                      <w:rFonts w:hint="eastAsia"/>
                      <w:lang w:val="en-US" w:eastAsia="zh-CN"/>
                    </w:rPr>
                    <w:t>采矿用地、灌木林地</w:t>
                  </w:r>
                  <w:r>
                    <w:rPr>
                      <w:rFonts w:hint="eastAsia"/>
                    </w:rPr>
                    <w:t>等；损毁程度为重度。根据评价结果以及当地气候、经济效益、种植环境，确定复垦为灌木林地。</w:t>
                  </w:r>
                </w:p>
              </w:tc>
              <w:tc>
                <w:tcPr>
                  <w:tcW w:w="2466" w:type="dxa"/>
                  <w:vAlign w:val="top"/>
                </w:tcPr>
                <w:p w14:paraId="237A0BB2">
                  <w:pPr>
                    <w:rPr>
                      <w:rFonts w:hint="eastAsia"/>
                    </w:rPr>
                  </w:pPr>
                  <w:r>
                    <w:rPr>
                      <w:rFonts w:hint="eastAsia"/>
                    </w:rPr>
                    <w:t>该评价单元在开采完毕后复垦为灌木林地，植被选择紫穗槐，并撒播草籽紫花苜蓿和披碱草</w:t>
                  </w:r>
                </w:p>
              </w:tc>
            </w:tr>
            <w:tr w14:paraId="6A42F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3" w:hRule="atLeast"/>
                <w:jc w:val="center"/>
              </w:trPr>
              <w:tc>
                <w:tcPr>
                  <w:tcW w:w="740" w:type="pct"/>
                  <w:vAlign w:val="center"/>
                </w:tcPr>
                <w:p w14:paraId="38B609BA">
                  <w:pPr>
                    <w:jc w:val="center"/>
                  </w:pPr>
                  <w:r>
                    <w:rPr>
                      <w:rFonts w:hint="eastAsia"/>
                    </w:rPr>
                    <w:t>露天采场台阶坡面</w:t>
                  </w:r>
                </w:p>
              </w:tc>
              <w:tc>
                <w:tcPr>
                  <w:tcW w:w="2748" w:type="pct"/>
                </w:tcPr>
                <w:p w14:paraId="5348B9A9">
                  <w:r>
                    <w:rPr>
                      <w:rFonts w:hint="eastAsia"/>
                    </w:rPr>
                    <w:t>露天采场台阶坡面在矿山开采完毕后，形成的最终坡面大于50°，表面为碎石质，不能覆土，在坡脚栽植爬山虎遮盖坡面，采矿后为裸地。</w:t>
                  </w:r>
                </w:p>
              </w:tc>
              <w:tc>
                <w:tcPr>
                  <w:tcW w:w="1512" w:type="pct"/>
                </w:tcPr>
                <w:p w14:paraId="62AD991C">
                  <w:r>
                    <w:rPr>
                      <w:rFonts w:hint="eastAsia"/>
                    </w:rPr>
                    <w:t>该评价单元在开采完毕后为裸地，在相应平台坡脚栽植爬山虎</w:t>
                  </w:r>
                </w:p>
              </w:tc>
            </w:tr>
            <w:tr w14:paraId="578E4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6" w:hRule="atLeast"/>
                <w:jc w:val="center"/>
              </w:trPr>
              <w:tc>
                <w:tcPr>
                  <w:tcW w:w="740" w:type="pct"/>
                  <w:vAlign w:val="center"/>
                </w:tcPr>
                <w:p w14:paraId="738904C5">
                  <w:pPr>
                    <w:jc w:val="center"/>
                  </w:pPr>
                  <w:r>
                    <w:rPr>
                      <w:rFonts w:hint="eastAsia"/>
                    </w:rPr>
                    <w:t>露天采场台阶平台</w:t>
                  </w:r>
                </w:p>
              </w:tc>
              <w:tc>
                <w:tcPr>
                  <w:tcW w:w="2748" w:type="pct"/>
                </w:tcPr>
                <w:p w14:paraId="5582FFF1">
                  <w:r>
                    <w:rPr>
                      <w:rFonts w:hint="eastAsia"/>
                    </w:rPr>
                    <w:t>露天采场底平台原土地利用类型为其他草地等；损毁程度为重度。根据评价结果以及当地气候、经济效益、种植环境，确定复垦为灌木林地。</w:t>
                  </w:r>
                </w:p>
              </w:tc>
              <w:tc>
                <w:tcPr>
                  <w:tcW w:w="1512" w:type="pct"/>
                </w:tcPr>
                <w:p w14:paraId="460246CF">
                  <w:r>
                    <w:rPr>
                      <w:rFonts w:hint="eastAsia"/>
                    </w:rPr>
                    <w:t>该评价单元在开采完毕后复垦为灌木林地，植被选择紫穗槐，并撒播草籽紫花苜蓿和披碱草</w:t>
                  </w:r>
                </w:p>
              </w:tc>
            </w:tr>
            <w:tr w14:paraId="7429F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6" w:hRule="atLeast"/>
                <w:jc w:val="center"/>
              </w:trPr>
              <w:tc>
                <w:tcPr>
                  <w:tcW w:w="740" w:type="pct"/>
                  <w:vAlign w:val="center"/>
                </w:tcPr>
                <w:p w14:paraId="6FB9B058">
                  <w:pPr>
                    <w:jc w:val="center"/>
                  </w:pPr>
                  <w:r>
                    <w:rPr>
                      <w:rFonts w:hint="eastAsia"/>
                    </w:rPr>
                    <w:t>露天采场底平台</w:t>
                  </w:r>
                </w:p>
              </w:tc>
              <w:tc>
                <w:tcPr>
                  <w:tcW w:w="2748" w:type="pct"/>
                </w:tcPr>
                <w:p w14:paraId="5D8344F8">
                  <w:r>
                    <w:rPr>
                      <w:rFonts w:hint="eastAsia"/>
                    </w:rPr>
                    <w:t>露天采场底平台原土地利用类型为其他草地等；损毁程度为重度。根据评价结果以及当地气候、经济效益、种植环境，确定复垦为乔木林地。</w:t>
                  </w:r>
                </w:p>
              </w:tc>
              <w:tc>
                <w:tcPr>
                  <w:tcW w:w="1512" w:type="pct"/>
                </w:tcPr>
                <w:p w14:paraId="7C8289BC">
                  <w:r>
                    <w:rPr>
                      <w:rFonts w:hint="eastAsia"/>
                    </w:rPr>
                    <w:t>该评价单元在开采完毕后复垦为乔木林地，植被选择油松，并撒播草籽紫花苜蓿和披碱草</w:t>
                  </w:r>
                </w:p>
              </w:tc>
            </w:tr>
            <w:tr w14:paraId="1F4C5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740" w:type="pct"/>
                  <w:vAlign w:val="center"/>
                </w:tcPr>
                <w:p w14:paraId="57E964D5">
                  <w:pPr>
                    <w:jc w:val="center"/>
                  </w:pPr>
                  <w:r>
                    <w:rPr>
                      <w:rFonts w:hint="eastAsia"/>
                    </w:rPr>
                    <w:t>办公生活区</w:t>
                  </w:r>
                </w:p>
              </w:tc>
              <w:tc>
                <w:tcPr>
                  <w:tcW w:w="2748" w:type="pct"/>
                </w:tcPr>
                <w:p w14:paraId="6E334DC2">
                  <w:r>
                    <w:rPr>
                      <w:rFonts w:hint="eastAsia"/>
                    </w:rPr>
                    <w:t>露天采场底平台原土地利用类型为其他草地等；损毁程度为重度。根据评价结果以及当地气候、经济效益、种植环境，确定复垦为乔木林地。</w:t>
                  </w:r>
                </w:p>
              </w:tc>
              <w:tc>
                <w:tcPr>
                  <w:tcW w:w="1512" w:type="pct"/>
                </w:tcPr>
                <w:p w14:paraId="697D835E">
                  <w:r>
                    <w:rPr>
                      <w:rFonts w:hint="eastAsia"/>
                    </w:rPr>
                    <w:t>该评价单元在开采完毕后复垦为乔木林地，植被选择油松，并撒播草籽紫花苜蓿和披碱草</w:t>
                  </w:r>
                </w:p>
              </w:tc>
            </w:tr>
            <w:tr w14:paraId="19CDD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740" w:type="pct"/>
                  <w:vAlign w:val="center"/>
                </w:tcPr>
                <w:p w14:paraId="0808372F">
                  <w:pPr>
                    <w:jc w:val="center"/>
                  </w:pPr>
                  <w:r>
                    <w:rPr>
                      <w:rFonts w:hint="eastAsia"/>
                    </w:rPr>
                    <w:t>排土场平台</w:t>
                  </w:r>
                </w:p>
              </w:tc>
              <w:tc>
                <w:tcPr>
                  <w:tcW w:w="2748" w:type="pct"/>
                </w:tcPr>
                <w:p w14:paraId="5ECAA8B7">
                  <w:r>
                    <w:rPr>
                      <w:rFonts w:hint="eastAsia"/>
                    </w:rPr>
                    <w:t>露天采场底平台原土地利用类型为</w:t>
                  </w:r>
                  <w:r>
                    <w:rPr>
                      <w:rFonts w:hint="eastAsia"/>
                      <w:lang w:val="en-US" w:eastAsia="zh-CN"/>
                    </w:rPr>
                    <w:t>采矿用地、灌木林地</w:t>
                  </w:r>
                  <w:r>
                    <w:rPr>
                      <w:rFonts w:hint="eastAsia"/>
                    </w:rPr>
                    <w:t>等；损毁程度为重度。根据评价结果以及当地气候、经济效益、种植环境，确定复垦为乔木林地。</w:t>
                  </w:r>
                </w:p>
              </w:tc>
              <w:tc>
                <w:tcPr>
                  <w:tcW w:w="1512" w:type="pct"/>
                </w:tcPr>
                <w:p w14:paraId="6306C1B5">
                  <w:r>
                    <w:rPr>
                      <w:rFonts w:hint="eastAsia"/>
                    </w:rPr>
                    <w:t>该评价单元在开采完毕后复垦为乔木林地，植被选择油松，并撒播草籽紫花苜蓿和披碱草</w:t>
                  </w:r>
                </w:p>
              </w:tc>
            </w:tr>
            <w:tr w14:paraId="6D863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740" w:type="pct"/>
                  <w:vAlign w:val="center"/>
                </w:tcPr>
                <w:p w14:paraId="69AE2817">
                  <w:pPr>
                    <w:jc w:val="center"/>
                  </w:pPr>
                  <w:r>
                    <w:rPr>
                      <w:rFonts w:hint="eastAsia"/>
                    </w:rPr>
                    <w:t>排土场边坡</w:t>
                  </w:r>
                </w:p>
              </w:tc>
              <w:tc>
                <w:tcPr>
                  <w:tcW w:w="2748" w:type="pct"/>
                </w:tcPr>
                <w:p w14:paraId="49CF49DF">
                  <w:r>
                    <w:rPr>
                      <w:rFonts w:hint="eastAsia"/>
                    </w:rPr>
                    <w:t>排土场土地利用现状为</w:t>
                  </w:r>
                  <w:r>
                    <w:rPr>
                      <w:rFonts w:hint="eastAsia"/>
                      <w:lang w:val="en-US" w:eastAsia="zh-CN"/>
                    </w:rPr>
                    <w:t>采矿用地、灌木林地</w:t>
                  </w:r>
                  <w:r>
                    <w:rPr>
                      <w:rFonts w:hint="eastAsia"/>
                    </w:rPr>
                    <w:t>等，损毁程度为重度。通过对当地气候、经济效益、种植环境等的综合分析，考虑将其优先复垦为灌木林地。</w:t>
                  </w:r>
                </w:p>
              </w:tc>
              <w:tc>
                <w:tcPr>
                  <w:tcW w:w="1512" w:type="pct"/>
                </w:tcPr>
                <w:p w14:paraId="1F9819B4">
                  <w:r>
                    <w:rPr>
                      <w:rFonts w:hint="eastAsia"/>
                    </w:rPr>
                    <w:t>该评价单元在开采完毕后复垦为灌木林地，植被选择紫穗槐，并撒播草籽紫花苜蓿和披碱草</w:t>
                  </w:r>
                </w:p>
              </w:tc>
            </w:tr>
            <w:tr w14:paraId="339F8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740" w:type="pct"/>
                  <w:vAlign w:val="center"/>
                </w:tcPr>
                <w:p w14:paraId="2E3097BA">
                  <w:pPr>
                    <w:jc w:val="center"/>
                  </w:pPr>
                  <w:r>
                    <w:rPr>
                      <w:rFonts w:hint="eastAsia"/>
                    </w:rPr>
                    <w:t>矿山公路</w:t>
                  </w:r>
                </w:p>
              </w:tc>
              <w:tc>
                <w:tcPr>
                  <w:tcW w:w="2748" w:type="pct"/>
                </w:tcPr>
                <w:p w14:paraId="2D8404A4">
                  <w:r>
                    <w:rPr>
                      <w:rFonts w:hint="eastAsia"/>
                    </w:rPr>
                    <w:t>原土地利用类型为灌木林地等，损毁程度为重度。根据评价结果以及当地气候、经济效益、种植环境，确定复垦为农村道路</w:t>
                  </w:r>
                </w:p>
              </w:tc>
              <w:tc>
                <w:tcPr>
                  <w:tcW w:w="1512" w:type="pct"/>
                </w:tcPr>
                <w:p w14:paraId="56A712D1">
                  <w:r>
                    <w:rPr>
                      <w:rFonts w:hint="eastAsia"/>
                    </w:rPr>
                    <w:t>该评价单元在开采完毕后复垦为农村道路，植被选择新疆杨</w:t>
                  </w:r>
                </w:p>
              </w:tc>
            </w:tr>
          </w:tbl>
          <w:p w14:paraId="239FBF32">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b/>
                <w:bCs/>
                <w:kern w:val="0"/>
                <w:sz w:val="24"/>
                <w:highlight w:val="yellow"/>
                <w:lang w:bidi="ar"/>
              </w:rPr>
            </w:pPr>
            <w:r>
              <w:rPr>
                <w:rFonts w:hint="eastAsia"/>
                <w:sz w:val="24"/>
              </w:rPr>
              <w:t>在调查和分析复垦区各评价单元实际情况的基础上，土地复垦初步方向确定后，采用极限条件法评价法和主导因素对各单元进行适宜性等级的评定。综上所述，各个评价单元最终土地复垦评价结果见</w:t>
            </w:r>
            <w:r>
              <w:rPr>
                <w:rFonts w:hint="eastAsia"/>
                <w:kern w:val="0"/>
                <w:sz w:val="24"/>
              </w:rPr>
              <w:t>表5-4</w:t>
            </w:r>
            <w:r>
              <w:rPr>
                <w:rFonts w:hint="eastAsia"/>
                <w:sz w:val="24"/>
              </w:rPr>
              <w:t>。</w:t>
            </w:r>
          </w:p>
          <w:p w14:paraId="574D3304">
            <w:pPr>
              <w:keepNext w:val="0"/>
              <w:keepLines w:val="0"/>
              <w:pageBreakBefore w:val="0"/>
              <w:widowControl/>
              <w:kinsoku/>
              <w:wordWrap/>
              <w:overflowPunct/>
              <w:topLinePunct w:val="0"/>
              <w:autoSpaceDE/>
              <w:autoSpaceDN/>
              <w:bidi w:val="0"/>
              <w:adjustRightInd/>
              <w:snapToGrid/>
              <w:spacing w:line="480" w:lineRule="exact"/>
              <w:jc w:val="center"/>
              <w:textAlignment w:val="auto"/>
              <w:rPr>
                <w:rFonts w:ascii="宋体" w:hAnsi="宋体" w:cs="宋体"/>
                <w:szCs w:val="21"/>
                <w:highlight w:val="red"/>
                <w:lang w:val="zh-CN" w:bidi="ar"/>
              </w:rPr>
            </w:pPr>
            <w:bookmarkStart w:id="24" w:name="_Hlk214493279"/>
            <w:r>
              <w:rPr>
                <w:rFonts w:hint="eastAsia" w:ascii="宋体" w:hAnsi="宋体" w:cs="宋体"/>
                <w:szCs w:val="21"/>
                <w:highlight w:val="none"/>
                <w:lang w:val="zh-CN" w:bidi="ar"/>
              </w:rPr>
              <w:t>表</w:t>
            </w:r>
            <w:r>
              <w:rPr>
                <w:szCs w:val="21"/>
                <w:highlight w:val="none"/>
                <w:lang w:bidi="ar"/>
              </w:rPr>
              <w:t>5-4</w:t>
            </w:r>
            <w:r>
              <w:rPr>
                <w:rFonts w:hint="eastAsia" w:ascii="宋体" w:hAnsi="宋体" w:cs="宋体"/>
                <w:szCs w:val="21"/>
                <w:highlight w:val="none"/>
                <w:lang w:bidi="ar"/>
              </w:rPr>
              <w:t xml:space="preserve"> 盂县石鑫矿业有限公司</w:t>
            </w:r>
            <w:r>
              <w:rPr>
                <w:rFonts w:hint="eastAsia" w:ascii="宋体" w:hAnsi="宋体" w:cs="宋体"/>
                <w:szCs w:val="21"/>
                <w:highlight w:val="none"/>
                <w:lang w:val="zh-CN" w:bidi="ar"/>
              </w:rPr>
              <w:t>土地复垦评价结果表</w:t>
            </w:r>
          </w:p>
          <w:tbl>
            <w:tblPr>
              <w:tblStyle w:val="29"/>
              <w:tblW w:w="8172" w:type="dxa"/>
              <w:tblInd w:w="0" w:type="dxa"/>
              <w:tblLayout w:type="autofit"/>
              <w:tblCellMar>
                <w:top w:w="0" w:type="dxa"/>
                <w:left w:w="108" w:type="dxa"/>
                <w:bottom w:w="0" w:type="dxa"/>
                <w:right w:w="108" w:type="dxa"/>
              </w:tblCellMar>
            </w:tblPr>
            <w:tblGrid>
              <w:gridCol w:w="1726"/>
              <w:gridCol w:w="1963"/>
              <w:gridCol w:w="1450"/>
              <w:gridCol w:w="3033"/>
            </w:tblGrid>
            <w:tr w14:paraId="0F32B79C">
              <w:tblPrEx>
                <w:tblCellMar>
                  <w:top w:w="0" w:type="dxa"/>
                  <w:left w:w="108" w:type="dxa"/>
                  <w:bottom w:w="0" w:type="dxa"/>
                  <w:right w:w="108" w:type="dxa"/>
                </w:tblCellMar>
              </w:tblPrEx>
              <w:trPr>
                <w:trHeight w:val="454" w:hRule="atLeast"/>
              </w:trPr>
              <w:tc>
                <w:tcPr>
                  <w:tcW w:w="1056" w:type="pct"/>
                  <w:tcBorders>
                    <w:top w:val="single" w:color="auto" w:sz="4" w:space="0"/>
                    <w:left w:val="single" w:color="auto" w:sz="4" w:space="0"/>
                    <w:bottom w:val="single" w:color="auto" w:sz="4" w:space="0"/>
                    <w:right w:val="single" w:color="auto" w:sz="4" w:space="0"/>
                  </w:tcBorders>
                  <w:vAlign w:val="center"/>
                </w:tcPr>
                <w:p w14:paraId="331ADCEE">
                  <w:pPr>
                    <w:jc w:val="center"/>
                    <w:rPr>
                      <w:szCs w:val="21"/>
                    </w:rPr>
                  </w:pPr>
                  <w:r>
                    <w:rPr>
                      <w:szCs w:val="21"/>
                    </w:rPr>
                    <w:t>评价单元</w:t>
                  </w:r>
                </w:p>
              </w:tc>
              <w:tc>
                <w:tcPr>
                  <w:tcW w:w="1201" w:type="pct"/>
                  <w:tcBorders>
                    <w:top w:val="single" w:color="auto" w:sz="4" w:space="0"/>
                    <w:left w:val="nil"/>
                    <w:bottom w:val="single" w:color="auto" w:sz="4" w:space="0"/>
                    <w:right w:val="single" w:color="auto" w:sz="4" w:space="0"/>
                  </w:tcBorders>
                  <w:vAlign w:val="center"/>
                </w:tcPr>
                <w:p w14:paraId="2E9C0116">
                  <w:pPr>
                    <w:jc w:val="center"/>
                    <w:rPr>
                      <w:szCs w:val="21"/>
                    </w:rPr>
                  </w:pPr>
                  <w:r>
                    <w:rPr>
                      <w:szCs w:val="21"/>
                    </w:rPr>
                    <w:t>复垦方向</w:t>
                  </w:r>
                </w:p>
              </w:tc>
              <w:tc>
                <w:tcPr>
                  <w:tcW w:w="887" w:type="pct"/>
                  <w:tcBorders>
                    <w:top w:val="single" w:color="auto" w:sz="4" w:space="0"/>
                    <w:left w:val="nil"/>
                    <w:bottom w:val="single" w:color="auto" w:sz="4" w:space="0"/>
                    <w:right w:val="single" w:color="auto" w:sz="4" w:space="0"/>
                  </w:tcBorders>
                  <w:vAlign w:val="center"/>
                </w:tcPr>
                <w:p w14:paraId="33313DE8">
                  <w:pPr>
                    <w:jc w:val="center"/>
                    <w:rPr>
                      <w:szCs w:val="21"/>
                    </w:rPr>
                  </w:pPr>
                  <w:r>
                    <w:rPr>
                      <w:szCs w:val="21"/>
                    </w:rPr>
                    <w:t>面积（hm</w:t>
                  </w:r>
                  <w:r>
                    <w:rPr>
                      <w:szCs w:val="21"/>
                      <w:vertAlign w:val="superscript"/>
                    </w:rPr>
                    <w:t>2</w:t>
                  </w:r>
                  <w:r>
                    <w:rPr>
                      <w:szCs w:val="21"/>
                    </w:rPr>
                    <w:t>）</w:t>
                  </w:r>
                </w:p>
              </w:tc>
              <w:tc>
                <w:tcPr>
                  <w:tcW w:w="1855" w:type="pct"/>
                  <w:tcBorders>
                    <w:top w:val="single" w:color="auto" w:sz="4" w:space="0"/>
                    <w:left w:val="nil"/>
                    <w:bottom w:val="single" w:color="auto" w:sz="4" w:space="0"/>
                    <w:right w:val="single" w:color="auto" w:sz="4" w:space="0"/>
                  </w:tcBorders>
                  <w:vAlign w:val="center"/>
                </w:tcPr>
                <w:p w14:paraId="51FC0861">
                  <w:pPr>
                    <w:jc w:val="center"/>
                    <w:rPr>
                      <w:szCs w:val="21"/>
                    </w:rPr>
                  </w:pPr>
                  <w:r>
                    <w:rPr>
                      <w:szCs w:val="21"/>
                    </w:rPr>
                    <w:t>植被选择</w:t>
                  </w:r>
                </w:p>
              </w:tc>
            </w:tr>
            <w:tr w14:paraId="215F7215">
              <w:tblPrEx>
                <w:tblCellMar>
                  <w:top w:w="0" w:type="dxa"/>
                  <w:left w:w="108" w:type="dxa"/>
                  <w:bottom w:w="0" w:type="dxa"/>
                  <w:right w:w="108" w:type="dxa"/>
                </w:tblCellMar>
              </w:tblPrEx>
              <w:trPr>
                <w:trHeight w:val="454" w:hRule="atLeast"/>
              </w:trPr>
              <w:tc>
                <w:tcPr>
                  <w:tcW w:w="1056" w:type="pct"/>
                  <w:tcBorders>
                    <w:top w:val="nil"/>
                    <w:left w:val="single" w:color="auto" w:sz="4" w:space="0"/>
                    <w:bottom w:val="single" w:color="auto" w:sz="4" w:space="0"/>
                    <w:right w:val="single" w:color="auto" w:sz="4" w:space="0"/>
                  </w:tcBorders>
                  <w:vAlign w:val="center"/>
                </w:tcPr>
                <w:p w14:paraId="60F720E3">
                  <w:pPr>
                    <w:jc w:val="center"/>
                    <w:rPr>
                      <w:szCs w:val="21"/>
                    </w:rPr>
                  </w:pPr>
                  <w:r>
                    <w:rPr>
                      <w:szCs w:val="21"/>
                    </w:rPr>
                    <w:t>已采区</w:t>
                  </w:r>
                </w:p>
              </w:tc>
              <w:tc>
                <w:tcPr>
                  <w:tcW w:w="1201" w:type="pct"/>
                  <w:tcBorders>
                    <w:top w:val="nil"/>
                    <w:left w:val="nil"/>
                    <w:bottom w:val="single" w:color="auto" w:sz="4" w:space="0"/>
                    <w:right w:val="single" w:color="auto" w:sz="4" w:space="0"/>
                  </w:tcBorders>
                  <w:vAlign w:val="center"/>
                </w:tcPr>
                <w:p w14:paraId="2682B1E2">
                  <w:pPr>
                    <w:jc w:val="center"/>
                    <w:rPr>
                      <w:szCs w:val="21"/>
                    </w:rPr>
                  </w:pPr>
                  <w:r>
                    <w:rPr>
                      <w:szCs w:val="21"/>
                    </w:rPr>
                    <w:t>灌木林地（0305）</w:t>
                  </w:r>
                </w:p>
              </w:tc>
              <w:tc>
                <w:tcPr>
                  <w:tcW w:w="887" w:type="pct"/>
                  <w:tcBorders>
                    <w:top w:val="nil"/>
                    <w:left w:val="nil"/>
                    <w:bottom w:val="single" w:color="auto" w:sz="4" w:space="0"/>
                    <w:right w:val="single" w:color="auto" w:sz="4" w:space="0"/>
                  </w:tcBorders>
                  <w:vAlign w:val="center"/>
                </w:tcPr>
                <w:p w14:paraId="330179D2">
                  <w:pPr>
                    <w:jc w:val="center"/>
                    <w:rPr>
                      <w:rFonts w:hint="default" w:eastAsia="宋体"/>
                      <w:szCs w:val="21"/>
                      <w:lang w:val="en-US" w:eastAsia="zh-CN"/>
                    </w:rPr>
                  </w:pPr>
                  <w:r>
                    <w:rPr>
                      <w:szCs w:val="21"/>
                    </w:rPr>
                    <w:t>9.</w:t>
                  </w:r>
                  <w:r>
                    <w:rPr>
                      <w:rFonts w:hint="eastAsia"/>
                      <w:szCs w:val="21"/>
                      <w:lang w:val="en-US" w:eastAsia="zh-CN"/>
                    </w:rPr>
                    <w:t>3020</w:t>
                  </w:r>
                </w:p>
              </w:tc>
              <w:tc>
                <w:tcPr>
                  <w:tcW w:w="1855" w:type="pct"/>
                  <w:tcBorders>
                    <w:top w:val="nil"/>
                    <w:left w:val="nil"/>
                    <w:bottom w:val="single" w:color="auto" w:sz="4" w:space="0"/>
                    <w:right w:val="single" w:color="auto" w:sz="4" w:space="0"/>
                  </w:tcBorders>
                  <w:vAlign w:val="center"/>
                </w:tcPr>
                <w:p w14:paraId="18F5D855">
                  <w:pPr>
                    <w:jc w:val="center"/>
                    <w:rPr>
                      <w:szCs w:val="21"/>
                    </w:rPr>
                  </w:pPr>
                  <w:r>
                    <w:rPr>
                      <w:szCs w:val="21"/>
                    </w:rPr>
                    <w:t>紫穗槐、紫花苜蓿和披碱草</w:t>
                  </w:r>
                </w:p>
              </w:tc>
            </w:tr>
            <w:tr w14:paraId="47BCF2C1">
              <w:tblPrEx>
                <w:tblCellMar>
                  <w:top w:w="0" w:type="dxa"/>
                  <w:left w:w="108" w:type="dxa"/>
                  <w:bottom w:w="0" w:type="dxa"/>
                  <w:right w:w="108" w:type="dxa"/>
                </w:tblCellMar>
              </w:tblPrEx>
              <w:trPr>
                <w:trHeight w:val="454" w:hRule="atLeast"/>
              </w:trPr>
              <w:tc>
                <w:tcPr>
                  <w:tcW w:w="1726" w:type="dxa"/>
                  <w:tcBorders>
                    <w:top w:val="nil"/>
                    <w:left w:val="single" w:color="auto" w:sz="4" w:space="0"/>
                    <w:bottom w:val="single" w:color="auto" w:sz="4" w:space="0"/>
                    <w:right w:val="single" w:color="auto" w:sz="4" w:space="0"/>
                  </w:tcBorders>
                  <w:vAlign w:val="center"/>
                </w:tcPr>
                <w:p w14:paraId="55FAFBB8">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szCs w:val="21"/>
                    </w:rPr>
                  </w:pPr>
                  <w:r>
                    <w:rPr>
                      <w:rFonts w:hint="eastAsia"/>
                      <w:lang w:val="en-US" w:eastAsia="zh-CN"/>
                    </w:rPr>
                    <w:t>排土场已形成平台</w:t>
                  </w:r>
                </w:p>
              </w:tc>
              <w:tc>
                <w:tcPr>
                  <w:tcW w:w="1963" w:type="dxa"/>
                  <w:tcBorders>
                    <w:top w:val="nil"/>
                    <w:left w:val="nil"/>
                    <w:bottom w:val="single" w:color="auto" w:sz="4" w:space="0"/>
                    <w:right w:val="single" w:color="auto" w:sz="4" w:space="0"/>
                  </w:tcBorders>
                  <w:vAlign w:val="center"/>
                </w:tcPr>
                <w:p w14:paraId="5289E274">
                  <w:pPr>
                    <w:jc w:val="center"/>
                    <w:rPr>
                      <w:szCs w:val="21"/>
                    </w:rPr>
                  </w:pPr>
                  <w:r>
                    <w:rPr>
                      <w:szCs w:val="21"/>
                    </w:rPr>
                    <w:t>乔木林地（0301）</w:t>
                  </w:r>
                </w:p>
              </w:tc>
              <w:tc>
                <w:tcPr>
                  <w:tcW w:w="887" w:type="pct"/>
                  <w:tcBorders>
                    <w:top w:val="nil"/>
                    <w:left w:val="nil"/>
                    <w:bottom w:val="single" w:color="auto" w:sz="4" w:space="0"/>
                    <w:right w:val="single" w:color="auto" w:sz="4" w:space="0"/>
                  </w:tcBorders>
                  <w:vAlign w:val="center"/>
                </w:tcPr>
                <w:p w14:paraId="2DAAE448">
                  <w:pPr>
                    <w:jc w:val="center"/>
                    <w:rPr>
                      <w:rFonts w:hint="default" w:eastAsia="宋体"/>
                      <w:szCs w:val="21"/>
                      <w:lang w:val="en-US" w:eastAsia="zh-CN"/>
                    </w:rPr>
                  </w:pPr>
                  <w:r>
                    <w:rPr>
                      <w:rFonts w:hint="eastAsia"/>
                      <w:szCs w:val="21"/>
                      <w:lang w:val="en-US" w:eastAsia="zh-CN"/>
                    </w:rPr>
                    <w:t>0.26</w:t>
                  </w:r>
                </w:p>
              </w:tc>
              <w:tc>
                <w:tcPr>
                  <w:tcW w:w="3033" w:type="dxa"/>
                  <w:tcBorders>
                    <w:top w:val="nil"/>
                    <w:left w:val="nil"/>
                    <w:bottom w:val="single" w:color="auto" w:sz="4" w:space="0"/>
                    <w:right w:val="single" w:color="auto" w:sz="4" w:space="0"/>
                  </w:tcBorders>
                  <w:vAlign w:val="center"/>
                </w:tcPr>
                <w:p w14:paraId="3501C29A">
                  <w:pPr>
                    <w:jc w:val="center"/>
                    <w:rPr>
                      <w:szCs w:val="21"/>
                    </w:rPr>
                  </w:pPr>
                  <w:r>
                    <w:rPr>
                      <w:szCs w:val="21"/>
                    </w:rPr>
                    <w:t>油松、紫花苜蓿和披碱草</w:t>
                  </w:r>
                </w:p>
              </w:tc>
            </w:tr>
            <w:tr w14:paraId="5B7E041A">
              <w:tblPrEx>
                <w:tblCellMar>
                  <w:top w:w="0" w:type="dxa"/>
                  <w:left w:w="108" w:type="dxa"/>
                  <w:bottom w:w="0" w:type="dxa"/>
                  <w:right w:w="108" w:type="dxa"/>
                </w:tblCellMar>
              </w:tblPrEx>
              <w:trPr>
                <w:trHeight w:val="454" w:hRule="atLeast"/>
              </w:trPr>
              <w:tc>
                <w:tcPr>
                  <w:tcW w:w="1726" w:type="dxa"/>
                  <w:tcBorders>
                    <w:top w:val="nil"/>
                    <w:left w:val="single" w:color="auto" w:sz="4" w:space="0"/>
                    <w:bottom w:val="single" w:color="auto" w:sz="4" w:space="0"/>
                    <w:right w:val="single" w:color="auto" w:sz="4" w:space="0"/>
                  </w:tcBorders>
                  <w:vAlign w:val="center"/>
                </w:tcPr>
                <w:p w14:paraId="3D2DF80D">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szCs w:val="21"/>
                    </w:rPr>
                  </w:pPr>
                  <w:r>
                    <w:rPr>
                      <w:rFonts w:hint="eastAsia"/>
                      <w:lang w:val="en-US" w:eastAsia="zh-CN"/>
                    </w:rPr>
                    <w:t>排土场已形成坡面</w:t>
                  </w:r>
                </w:p>
              </w:tc>
              <w:tc>
                <w:tcPr>
                  <w:tcW w:w="1963" w:type="dxa"/>
                  <w:tcBorders>
                    <w:top w:val="nil"/>
                    <w:left w:val="nil"/>
                    <w:bottom w:val="single" w:color="auto" w:sz="4" w:space="0"/>
                    <w:right w:val="single" w:color="auto" w:sz="4" w:space="0"/>
                  </w:tcBorders>
                  <w:vAlign w:val="center"/>
                </w:tcPr>
                <w:p w14:paraId="510AC435">
                  <w:pPr>
                    <w:jc w:val="center"/>
                    <w:rPr>
                      <w:szCs w:val="21"/>
                    </w:rPr>
                  </w:pPr>
                  <w:r>
                    <w:rPr>
                      <w:szCs w:val="21"/>
                    </w:rPr>
                    <w:t>灌木林地（0305）</w:t>
                  </w:r>
                </w:p>
              </w:tc>
              <w:tc>
                <w:tcPr>
                  <w:tcW w:w="887" w:type="pct"/>
                  <w:tcBorders>
                    <w:top w:val="nil"/>
                    <w:left w:val="nil"/>
                    <w:bottom w:val="single" w:color="auto" w:sz="4" w:space="0"/>
                    <w:right w:val="single" w:color="auto" w:sz="4" w:space="0"/>
                  </w:tcBorders>
                  <w:vAlign w:val="center"/>
                </w:tcPr>
                <w:p w14:paraId="041E04D8">
                  <w:pPr>
                    <w:jc w:val="center"/>
                    <w:rPr>
                      <w:rFonts w:hint="default" w:eastAsia="宋体"/>
                      <w:szCs w:val="21"/>
                      <w:lang w:val="en-US" w:eastAsia="zh-CN"/>
                    </w:rPr>
                  </w:pPr>
                  <w:r>
                    <w:rPr>
                      <w:rFonts w:hint="eastAsia"/>
                      <w:szCs w:val="21"/>
                      <w:lang w:val="en-US" w:eastAsia="zh-CN"/>
                    </w:rPr>
                    <w:t>1.1376</w:t>
                  </w:r>
                </w:p>
              </w:tc>
              <w:tc>
                <w:tcPr>
                  <w:tcW w:w="3033" w:type="dxa"/>
                  <w:tcBorders>
                    <w:top w:val="nil"/>
                    <w:left w:val="nil"/>
                    <w:bottom w:val="single" w:color="auto" w:sz="4" w:space="0"/>
                    <w:right w:val="single" w:color="auto" w:sz="4" w:space="0"/>
                  </w:tcBorders>
                  <w:vAlign w:val="center"/>
                </w:tcPr>
                <w:p w14:paraId="1B5D5157">
                  <w:pPr>
                    <w:jc w:val="center"/>
                    <w:rPr>
                      <w:szCs w:val="21"/>
                    </w:rPr>
                  </w:pPr>
                  <w:r>
                    <w:rPr>
                      <w:szCs w:val="21"/>
                    </w:rPr>
                    <w:t>紫穗槐、紫花苜蓿和披碱草</w:t>
                  </w:r>
                </w:p>
              </w:tc>
            </w:tr>
            <w:tr w14:paraId="7A1B053F">
              <w:tblPrEx>
                <w:tblCellMar>
                  <w:top w:w="0" w:type="dxa"/>
                  <w:left w:w="108" w:type="dxa"/>
                  <w:bottom w:w="0" w:type="dxa"/>
                  <w:right w:w="108" w:type="dxa"/>
                </w:tblCellMar>
              </w:tblPrEx>
              <w:trPr>
                <w:trHeight w:val="454" w:hRule="atLeast"/>
              </w:trPr>
              <w:tc>
                <w:tcPr>
                  <w:tcW w:w="1056" w:type="pct"/>
                  <w:tcBorders>
                    <w:top w:val="nil"/>
                    <w:left w:val="single" w:color="auto" w:sz="4" w:space="0"/>
                    <w:bottom w:val="single" w:color="auto" w:sz="4" w:space="0"/>
                    <w:right w:val="single" w:color="auto" w:sz="4" w:space="0"/>
                  </w:tcBorders>
                  <w:vAlign w:val="center"/>
                </w:tcPr>
                <w:p w14:paraId="27360890">
                  <w:pPr>
                    <w:jc w:val="center"/>
                    <w:rPr>
                      <w:szCs w:val="21"/>
                    </w:rPr>
                  </w:pPr>
                  <w:r>
                    <w:rPr>
                      <w:szCs w:val="21"/>
                    </w:rPr>
                    <w:t>露天采场底平台</w:t>
                  </w:r>
                </w:p>
              </w:tc>
              <w:tc>
                <w:tcPr>
                  <w:tcW w:w="1201" w:type="pct"/>
                  <w:tcBorders>
                    <w:top w:val="nil"/>
                    <w:left w:val="nil"/>
                    <w:bottom w:val="single" w:color="auto" w:sz="4" w:space="0"/>
                    <w:right w:val="single" w:color="auto" w:sz="4" w:space="0"/>
                  </w:tcBorders>
                  <w:vAlign w:val="center"/>
                </w:tcPr>
                <w:p w14:paraId="60ED72EC">
                  <w:pPr>
                    <w:jc w:val="center"/>
                    <w:rPr>
                      <w:szCs w:val="21"/>
                    </w:rPr>
                  </w:pPr>
                  <w:r>
                    <w:rPr>
                      <w:szCs w:val="21"/>
                    </w:rPr>
                    <w:t>乔木林地（0301）</w:t>
                  </w:r>
                </w:p>
              </w:tc>
              <w:tc>
                <w:tcPr>
                  <w:tcW w:w="887" w:type="pct"/>
                  <w:tcBorders>
                    <w:top w:val="nil"/>
                    <w:left w:val="nil"/>
                    <w:bottom w:val="single" w:color="auto" w:sz="4" w:space="0"/>
                    <w:right w:val="single" w:color="auto" w:sz="4" w:space="0"/>
                  </w:tcBorders>
                  <w:vAlign w:val="center"/>
                </w:tcPr>
                <w:p w14:paraId="004C3BC0">
                  <w:pPr>
                    <w:jc w:val="center"/>
                    <w:rPr>
                      <w:szCs w:val="21"/>
                    </w:rPr>
                  </w:pPr>
                  <w:r>
                    <w:rPr>
                      <w:szCs w:val="21"/>
                    </w:rPr>
                    <w:t xml:space="preserve">3.7869 </w:t>
                  </w:r>
                </w:p>
              </w:tc>
              <w:tc>
                <w:tcPr>
                  <w:tcW w:w="1855" w:type="pct"/>
                  <w:tcBorders>
                    <w:top w:val="nil"/>
                    <w:left w:val="nil"/>
                    <w:bottom w:val="single" w:color="auto" w:sz="4" w:space="0"/>
                    <w:right w:val="single" w:color="auto" w:sz="4" w:space="0"/>
                  </w:tcBorders>
                  <w:vAlign w:val="center"/>
                </w:tcPr>
                <w:p w14:paraId="5F712CD5">
                  <w:pPr>
                    <w:jc w:val="center"/>
                    <w:rPr>
                      <w:szCs w:val="21"/>
                    </w:rPr>
                  </w:pPr>
                  <w:r>
                    <w:rPr>
                      <w:szCs w:val="21"/>
                    </w:rPr>
                    <w:t>油松、紫花苜蓿和披碱草</w:t>
                  </w:r>
                </w:p>
              </w:tc>
            </w:tr>
            <w:tr w14:paraId="649826B5">
              <w:tblPrEx>
                <w:tblCellMar>
                  <w:top w:w="0" w:type="dxa"/>
                  <w:left w:w="108" w:type="dxa"/>
                  <w:bottom w:w="0" w:type="dxa"/>
                  <w:right w:w="108" w:type="dxa"/>
                </w:tblCellMar>
              </w:tblPrEx>
              <w:trPr>
                <w:trHeight w:val="454" w:hRule="atLeast"/>
              </w:trPr>
              <w:tc>
                <w:tcPr>
                  <w:tcW w:w="1056" w:type="pct"/>
                  <w:tcBorders>
                    <w:top w:val="nil"/>
                    <w:left w:val="single" w:color="auto" w:sz="4" w:space="0"/>
                    <w:bottom w:val="single" w:color="auto" w:sz="4" w:space="0"/>
                    <w:right w:val="single" w:color="auto" w:sz="4" w:space="0"/>
                  </w:tcBorders>
                  <w:vAlign w:val="center"/>
                </w:tcPr>
                <w:p w14:paraId="2AF3FB42">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szCs w:val="21"/>
                    </w:rPr>
                  </w:pPr>
                  <w:r>
                    <w:rPr>
                      <w:szCs w:val="21"/>
                    </w:rPr>
                    <w:t>露天采场台阶平台</w:t>
                  </w:r>
                </w:p>
              </w:tc>
              <w:tc>
                <w:tcPr>
                  <w:tcW w:w="1201" w:type="pct"/>
                  <w:tcBorders>
                    <w:top w:val="nil"/>
                    <w:left w:val="nil"/>
                    <w:bottom w:val="single" w:color="auto" w:sz="4" w:space="0"/>
                    <w:right w:val="single" w:color="auto" w:sz="4" w:space="0"/>
                  </w:tcBorders>
                  <w:vAlign w:val="center"/>
                </w:tcPr>
                <w:p w14:paraId="6C0D63DA">
                  <w:pPr>
                    <w:jc w:val="center"/>
                    <w:rPr>
                      <w:szCs w:val="21"/>
                    </w:rPr>
                  </w:pPr>
                  <w:r>
                    <w:rPr>
                      <w:szCs w:val="21"/>
                    </w:rPr>
                    <w:t>灌木林地（0305）</w:t>
                  </w:r>
                </w:p>
              </w:tc>
              <w:tc>
                <w:tcPr>
                  <w:tcW w:w="887" w:type="pct"/>
                  <w:tcBorders>
                    <w:top w:val="nil"/>
                    <w:left w:val="nil"/>
                    <w:bottom w:val="single" w:color="auto" w:sz="4" w:space="0"/>
                    <w:right w:val="single" w:color="auto" w:sz="4" w:space="0"/>
                  </w:tcBorders>
                  <w:vAlign w:val="center"/>
                </w:tcPr>
                <w:p w14:paraId="040695BA">
                  <w:pPr>
                    <w:jc w:val="center"/>
                    <w:rPr>
                      <w:szCs w:val="21"/>
                    </w:rPr>
                  </w:pPr>
                  <w:r>
                    <w:rPr>
                      <w:szCs w:val="21"/>
                    </w:rPr>
                    <w:t xml:space="preserve">5.9282 </w:t>
                  </w:r>
                </w:p>
              </w:tc>
              <w:tc>
                <w:tcPr>
                  <w:tcW w:w="1855" w:type="pct"/>
                  <w:tcBorders>
                    <w:top w:val="nil"/>
                    <w:left w:val="nil"/>
                    <w:bottom w:val="single" w:color="auto" w:sz="4" w:space="0"/>
                    <w:right w:val="single" w:color="auto" w:sz="4" w:space="0"/>
                  </w:tcBorders>
                  <w:vAlign w:val="center"/>
                </w:tcPr>
                <w:p w14:paraId="00A0BAA6">
                  <w:pPr>
                    <w:jc w:val="center"/>
                    <w:rPr>
                      <w:szCs w:val="21"/>
                    </w:rPr>
                  </w:pPr>
                  <w:r>
                    <w:rPr>
                      <w:szCs w:val="21"/>
                    </w:rPr>
                    <w:t>紫穗槐、紫花苜蓿和披碱草</w:t>
                  </w:r>
                </w:p>
              </w:tc>
            </w:tr>
            <w:tr w14:paraId="0A773EC5">
              <w:tblPrEx>
                <w:tblCellMar>
                  <w:top w:w="0" w:type="dxa"/>
                  <w:left w:w="108" w:type="dxa"/>
                  <w:bottom w:w="0" w:type="dxa"/>
                  <w:right w:w="108" w:type="dxa"/>
                </w:tblCellMar>
              </w:tblPrEx>
              <w:trPr>
                <w:trHeight w:val="454" w:hRule="atLeast"/>
              </w:trPr>
              <w:tc>
                <w:tcPr>
                  <w:tcW w:w="1056" w:type="pct"/>
                  <w:tcBorders>
                    <w:top w:val="nil"/>
                    <w:left w:val="single" w:color="auto" w:sz="4" w:space="0"/>
                    <w:bottom w:val="single" w:color="auto" w:sz="4" w:space="0"/>
                    <w:right w:val="single" w:color="auto" w:sz="4" w:space="0"/>
                  </w:tcBorders>
                  <w:vAlign w:val="center"/>
                </w:tcPr>
                <w:p w14:paraId="498E2059">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szCs w:val="21"/>
                    </w:rPr>
                  </w:pPr>
                  <w:r>
                    <w:rPr>
                      <w:szCs w:val="21"/>
                    </w:rPr>
                    <w:t>露天采场台阶坡面</w:t>
                  </w:r>
                </w:p>
              </w:tc>
              <w:tc>
                <w:tcPr>
                  <w:tcW w:w="1201" w:type="pct"/>
                  <w:tcBorders>
                    <w:top w:val="nil"/>
                    <w:left w:val="nil"/>
                    <w:bottom w:val="single" w:color="auto" w:sz="4" w:space="0"/>
                    <w:right w:val="single" w:color="auto" w:sz="4" w:space="0"/>
                  </w:tcBorders>
                  <w:vAlign w:val="center"/>
                </w:tcPr>
                <w:p w14:paraId="36D3DE00">
                  <w:pPr>
                    <w:jc w:val="center"/>
                    <w:rPr>
                      <w:szCs w:val="21"/>
                    </w:rPr>
                  </w:pPr>
                  <w:r>
                    <w:rPr>
                      <w:rFonts w:hint="eastAsia"/>
                      <w:szCs w:val="21"/>
                    </w:rPr>
                    <w:t>裸土地（1206）</w:t>
                  </w:r>
                </w:p>
              </w:tc>
              <w:tc>
                <w:tcPr>
                  <w:tcW w:w="887" w:type="pct"/>
                  <w:tcBorders>
                    <w:top w:val="nil"/>
                    <w:left w:val="nil"/>
                    <w:bottom w:val="single" w:color="auto" w:sz="4" w:space="0"/>
                    <w:right w:val="single" w:color="auto" w:sz="4" w:space="0"/>
                  </w:tcBorders>
                  <w:vAlign w:val="center"/>
                </w:tcPr>
                <w:p w14:paraId="27961702">
                  <w:pPr>
                    <w:jc w:val="center"/>
                    <w:rPr>
                      <w:szCs w:val="21"/>
                    </w:rPr>
                  </w:pPr>
                  <w:r>
                    <w:rPr>
                      <w:szCs w:val="21"/>
                    </w:rPr>
                    <w:t xml:space="preserve">6.4006 </w:t>
                  </w:r>
                </w:p>
              </w:tc>
              <w:tc>
                <w:tcPr>
                  <w:tcW w:w="1855" w:type="pct"/>
                  <w:tcBorders>
                    <w:top w:val="nil"/>
                    <w:left w:val="nil"/>
                    <w:bottom w:val="single" w:color="auto" w:sz="4" w:space="0"/>
                    <w:right w:val="single" w:color="auto" w:sz="4" w:space="0"/>
                  </w:tcBorders>
                  <w:vAlign w:val="center"/>
                </w:tcPr>
                <w:p w14:paraId="23AADF28">
                  <w:pPr>
                    <w:jc w:val="center"/>
                    <w:rPr>
                      <w:szCs w:val="21"/>
                    </w:rPr>
                  </w:pPr>
                  <w:r>
                    <w:rPr>
                      <w:rFonts w:hint="eastAsia"/>
                      <w:szCs w:val="21"/>
                    </w:rPr>
                    <w:t>爬山虎</w:t>
                  </w:r>
                </w:p>
              </w:tc>
            </w:tr>
            <w:tr w14:paraId="712C0467">
              <w:tblPrEx>
                <w:tblCellMar>
                  <w:top w:w="0" w:type="dxa"/>
                  <w:left w:w="108" w:type="dxa"/>
                  <w:bottom w:w="0" w:type="dxa"/>
                  <w:right w:w="108" w:type="dxa"/>
                </w:tblCellMar>
              </w:tblPrEx>
              <w:trPr>
                <w:trHeight w:val="454" w:hRule="atLeast"/>
              </w:trPr>
              <w:tc>
                <w:tcPr>
                  <w:tcW w:w="1056" w:type="pct"/>
                  <w:tcBorders>
                    <w:top w:val="nil"/>
                    <w:left w:val="single" w:color="auto" w:sz="4" w:space="0"/>
                    <w:bottom w:val="single" w:color="auto" w:sz="4" w:space="0"/>
                    <w:right w:val="single" w:color="auto" w:sz="4" w:space="0"/>
                  </w:tcBorders>
                  <w:vAlign w:val="center"/>
                </w:tcPr>
                <w:p w14:paraId="2535BBEB">
                  <w:pPr>
                    <w:jc w:val="center"/>
                    <w:rPr>
                      <w:szCs w:val="21"/>
                    </w:rPr>
                  </w:pPr>
                  <w:r>
                    <w:rPr>
                      <w:szCs w:val="21"/>
                    </w:rPr>
                    <w:t>排土场平台</w:t>
                  </w:r>
                </w:p>
              </w:tc>
              <w:tc>
                <w:tcPr>
                  <w:tcW w:w="1201" w:type="pct"/>
                  <w:tcBorders>
                    <w:top w:val="nil"/>
                    <w:left w:val="nil"/>
                    <w:bottom w:val="single" w:color="auto" w:sz="4" w:space="0"/>
                    <w:right w:val="single" w:color="auto" w:sz="4" w:space="0"/>
                  </w:tcBorders>
                  <w:vAlign w:val="center"/>
                </w:tcPr>
                <w:p w14:paraId="2CE4F726">
                  <w:pPr>
                    <w:jc w:val="center"/>
                    <w:rPr>
                      <w:szCs w:val="21"/>
                    </w:rPr>
                  </w:pPr>
                  <w:r>
                    <w:rPr>
                      <w:szCs w:val="21"/>
                    </w:rPr>
                    <w:t>乔木林地（0301）</w:t>
                  </w:r>
                </w:p>
              </w:tc>
              <w:tc>
                <w:tcPr>
                  <w:tcW w:w="887" w:type="pct"/>
                  <w:tcBorders>
                    <w:top w:val="nil"/>
                    <w:left w:val="nil"/>
                    <w:bottom w:val="single" w:color="auto" w:sz="4" w:space="0"/>
                    <w:right w:val="single" w:color="auto" w:sz="4" w:space="0"/>
                  </w:tcBorders>
                  <w:vAlign w:val="center"/>
                </w:tcPr>
                <w:p w14:paraId="38FFE7CD">
                  <w:pPr>
                    <w:jc w:val="center"/>
                    <w:rPr>
                      <w:szCs w:val="21"/>
                    </w:rPr>
                  </w:pPr>
                  <w:r>
                    <w:rPr>
                      <w:szCs w:val="21"/>
                    </w:rPr>
                    <w:t>2.</w:t>
                  </w:r>
                  <w:r>
                    <w:rPr>
                      <w:rFonts w:hint="eastAsia"/>
                      <w:szCs w:val="21"/>
                      <w:lang w:val="en-US" w:eastAsia="zh-CN"/>
                    </w:rPr>
                    <w:t>27</w:t>
                  </w:r>
                  <w:r>
                    <w:rPr>
                      <w:szCs w:val="21"/>
                    </w:rPr>
                    <w:t xml:space="preserve">20 </w:t>
                  </w:r>
                </w:p>
              </w:tc>
              <w:tc>
                <w:tcPr>
                  <w:tcW w:w="1855" w:type="pct"/>
                  <w:tcBorders>
                    <w:top w:val="nil"/>
                    <w:left w:val="nil"/>
                    <w:bottom w:val="single" w:color="auto" w:sz="4" w:space="0"/>
                    <w:right w:val="single" w:color="auto" w:sz="4" w:space="0"/>
                  </w:tcBorders>
                  <w:vAlign w:val="center"/>
                </w:tcPr>
                <w:p w14:paraId="12F479AC">
                  <w:pPr>
                    <w:jc w:val="center"/>
                    <w:rPr>
                      <w:szCs w:val="21"/>
                    </w:rPr>
                  </w:pPr>
                  <w:r>
                    <w:rPr>
                      <w:szCs w:val="21"/>
                    </w:rPr>
                    <w:t>油松、紫花苜蓿和披碱草</w:t>
                  </w:r>
                </w:p>
              </w:tc>
            </w:tr>
            <w:tr w14:paraId="1F06CBC2">
              <w:tblPrEx>
                <w:tblCellMar>
                  <w:top w:w="0" w:type="dxa"/>
                  <w:left w:w="108" w:type="dxa"/>
                  <w:bottom w:w="0" w:type="dxa"/>
                  <w:right w:w="108" w:type="dxa"/>
                </w:tblCellMar>
              </w:tblPrEx>
              <w:trPr>
                <w:trHeight w:val="454" w:hRule="atLeast"/>
              </w:trPr>
              <w:tc>
                <w:tcPr>
                  <w:tcW w:w="1056" w:type="pct"/>
                  <w:tcBorders>
                    <w:top w:val="nil"/>
                    <w:left w:val="single" w:color="auto" w:sz="4" w:space="0"/>
                    <w:bottom w:val="single" w:color="auto" w:sz="4" w:space="0"/>
                    <w:right w:val="single" w:color="auto" w:sz="4" w:space="0"/>
                  </w:tcBorders>
                  <w:vAlign w:val="center"/>
                </w:tcPr>
                <w:p w14:paraId="0EAE068D">
                  <w:pPr>
                    <w:jc w:val="center"/>
                    <w:rPr>
                      <w:szCs w:val="21"/>
                    </w:rPr>
                  </w:pPr>
                  <w:r>
                    <w:rPr>
                      <w:szCs w:val="21"/>
                    </w:rPr>
                    <w:t>排土场边坡</w:t>
                  </w:r>
                </w:p>
              </w:tc>
              <w:tc>
                <w:tcPr>
                  <w:tcW w:w="1201" w:type="pct"/>
                  <w:tcBorders>
                    <w:top w:val="nil"/>
                    <w:left w:val="nil"/>
                    <w:bottom w:val="single" w:color="auto" w:sz="4" w:space="0"/>
                    <w:right w:val="single" w:color="auto" w:sz="4" w:space="0"/>
                  </w:tcBorders>
                  <w:vAlign w:val="center"/>
                </w:tcPr>
                <w:p w14:paraId="09DEE8E9">
                  <w:pPr>
                    <w:jc w:val="center"/>
                    <w:rPr>
                      <w:szCs w:val="21"/>
                    </w:rPr>
                  </w:pPr>
                  <w:r>
                    <w:rPr>
                      <w:szCs w:val="21"/>
                    </w:rPr>
                    <w:t>灌木林地（0305）</w:t>
                  </w:r>
                </w:p>
              </w:tc>
              <w:tc>
                <w:tcPr>
                  <w:tcW w:w="887" w:type="pct"/>
                  <w:tcBorders>
                    <w:top w:val="nil"/>
                    <w:left w:val="nil"/>
                    <w:bottom w:val="single" w:color="auto" w:sz="4" w:space="0"/>
                    <w:right w:val="single" w:color="auto" w:sz="4" w:space="0"/>
                  </w:tcBorders>
                  <w:vAlign w:val="center"/>
                </w:tcPr>
                <w:p w14:paraId="67D047E0">
                  <w:pPr>
                    <w:jc w:val="center"/>
                    <w:rPr>
                      <w:rFonts w:hint="default" w:eastAsia="宋体"/>
                      <w:szCs w:val="21"/>
                      <w:lang w:val="en-US" w:eastAsia="zh-CN"/>
                    </w:rPr>
                  </w:pPr>
                  <w:r>
                    <w:rPr>
                      <w:rFonts w:hint="eastAsia"/>
                      <w:szCs w:val="21"/>
                      <w:lang w:val="en-US" w:eastAsia="zh-CN"/>
                    </w:rPr>
                    <w:t>2.2899</w:t>
                  </w:r>
                </w:p>
              </w:tc>
              <w:tc>
                <w:tcPr>
                  <w:tcW w:w="1855" w:type="pct"/>
                  <w:tcBorders>
                    <w:top w:val="nil"/>
                    <w:left w:val="nil"/>
                    <w:bottom w:val="single" w:color="auto" w:sz="4" w:space="0"/>
                    <w:right w:val="single" w:color="auto" w:sz="4" w:space="0"/>
                  </w:tcBorders>
                  <w:vAlign w:val="center"/>
                </w:tcPr>
                <w:p w14:paraId="458CF1B7">
                  <w:pPr>
                    <w:jc w:val="center"/>
                    <w:rPr>
                      <w:szCs w:val="21"/>
                    </w:rPr>
                  </w:pPr>
                  <w:r>
                    <w:rPr>
                      <w:szCs w:val="21"/>
                    </w:rPr>
                    <w:t>紫穗槐、紫花苜蓿和披碱草</w:t>
                  </w:r>
                </w:p>
              </w:tc>
            </w:tr>
            <w:tr w14:paraId="14BF9357">
              <w:tblPrEx>
                <w:tblCellMar>
                  <w:top w:w="0" w:type="dxa"/>
                  <w:left w:w="108" w:type="dxa"/>
                  <w:bottom w:w="0" w:type="dxa"/>
                  <w:right w:w="108" w:type="dxa"/>
                </w:tblCellMar>
              </w:tblPrEx>
              <w:trPr>
                <w:trHeight w:val="454" w:hRule="atLeast"/>
              </w:trPr>
              <w:tc>
                <w:tcPr>
                  <w:tcW w:w="1056" w:type="pct"/>
                  <w:tcBorders>
                    <w:top w:val="nil"/>
                    <w:left w:val="single" w:color="auto" w:sz="4" w:space="0"/>
                    <w:bottom w:val="single" w:color="auto" w:sz="4" w:space="0"/>
                    <w:right w:val="single" w:color="auto" w:sz="4" w:space="0"/>
                  </w:tcBorders>
                  <w:vAlign w:val="center"/>
                </w:tcPr>
                <w:p w14:paraId="4364FA92">
                  <w:pPr>
                    <w:jc w:val="center"/>
                    <w:rPr>
                      <w:szCs w:val="21"/>
                    </w:rPr>
                  </w:pPr>
                  <w:r>
                    <w:rPr>
                      <w:szCs w:val="21"/>
                    </w:rPr>
                    <w:t>矿山公路</w:t>
                  </w:r>
                </w:p>
              </w:tc>
              <w:tc>
                <w:tcPr>
                  <w:tcW w:w="1201" w:type="pct"/>
                  <w:tcBorders>
                    <w:top w:val="nil"/>
                    <w:left w:val="nil"/>
                    <w:bottom w:val="single" w:color="auto" w:sz="4" w:space="0"/>
                    <w:right w:val="single" w:color="auto" w:sz="4" w:space="0"/>
                  </w:tcBorders>
                  <w:vAlign w:val="center"/>
                </w:tcPr>
                <w:p w14:paraId="6E9168F0">
                  <w:pPr>
                    <w:jc w:val="center"/>
                    <w:rPr>
                      <w:szCs w:val="21"/>
                    </w:rPr>
                  </w:pPr>
                  <w:r>
                    <w:rPr>
                      <w:szCs w:val="21"/>
                    </w:rPr>
                    <w:t>农村道路（1006）</w:t>
                  </w:r>
                </w:p>
              </w:tc>
              <w:tc>
                <w:tcPr>
                  <w:tcW w:w="887" w:type="pct"/>
                  <w:tcBorders>
                    <w:top w:val="nil"/>
                    <w:left w:val="nil"/>
                    <w:bottom w:val="single" w:color="auto" w:sz="4" w:space="0"/>
                    <w:right w:val="single" w:color="auto" w:sz="4" w:space="0"/>
                  </w:tcBorders>
                  <w:vAlign w:val="center"/>
                </w:tcPr>
                <w:p w14:paraId="3F674DA6">
                  <w:pPr>
                    <w:jc w:val="center"/>
                    <w:rPr>
                      <w:szCs w:val="21"/>
                    </w:rPr>
                  </w:pPr>
                  <w:r>
                    <w:rPr>
                      <w:szCs w:val="21"/>
                    </w:rPr>
                    <w:t>1.4539</w:t>
                  </w:r>
                </w:p>
              </w:tc>
              <w:tc>
                <w:tcPr>
                  <w:tcW w:w="1855" w:type="pct"/>
                  <w:tcBorders>
                    <w:top w:val="nil"/>
                    <w:left w:val="nil"/>
                    <w:bottom w:val="single" w:color="auto" w:sz="4" w:space="0"/>
                    <w:right w:val="single" w:color="auto" w:sz="4" w:space="0"/>
                  </w:tcBorders>
                  <w:vAlign w:val="center"/>
                </w:tcPr>
                <w:p w14:paraId="0237D099">
                  <w:pPr>
                    <w:jc w:val="center"/>
                    <w:rPr>
                      <w:szCs w:val="21"/>
                    </w:rPr>
                  </w:pPr>
                  <w:r>
                    <w:rPr>
                      <w:szCs w:val="21"/>
                    </w:rPr>
                    <w:t>新疆杨</w:t>
                  </w:r>
                </w:p>
              </w:tc>
            </w:tr>
            <w:tr w14:paraId="19C5BC11">
              <w:tblPrEx>
                <w:tblCellMar>
                  <w:top w:w="0" w:type="dxa"/>
                  <w:left w:w="108" w:type="dxa"/>
                  <w:bottom w:w="0" w:type="dxa"/>
                  <w:right w:w="108" w:type="dxa"/>
                </w:tblCellMar>
              </w:tblPrEx>
              <w:trPr>
                <w:trHeight w:val="454" w:hRule="atLeast"/>
              </w:trPr>
              <w:tc>
                <w:tcPr>
                  <w:tcW w:w="1056" w:type="pct"/>
                  <w:tcBorders>
                    <w:top w:val="nil"/>
                    <w:left w:val="single" w:color="auto" w:sz="4" w:space="0"/>
                    <w:bottom w:val="single" w:color="auto" w:sz="4" w:space="0"/>
                    <w:right w:val="single" w:color="auto" w:sz="4" w:space="0"/>
                  </w:tcBorders>
                  <w:vAlign w:val="center"/>
                </w:tcPr>
                <w:p w14:paraId="5301A689">
                  <w:pPr>
                    <w:jc w:val="center"/>
                    <w:rPr>
                      <w:szCs w:val="21"/>
                    </w:rPr>
                  </w:pPr>
                  <w:r>
                    <w:rPr>
                      <w:szCs w:val="21"/>
                    </w:rPr>
                    <w:t>办公生活区</w:t>
                  </w:r>
                </w:p>
              </w:tc>
              <w:tc>
                <w:tcPr>
                  <w:tcW w:w="1201" w:type="pct"/>
                  <w:tcBorders>
                    <w:top w:val="nil"/>
                    <w:left w:val="nil"/>
                    <w:bottom w:val="single" w:color="auto" w:sz="4" w:space="0"/>
                    <w:right w:val="single" w:color="auto" w:sz="4" w:space="0"/>
                  </w:tcBorders>
                  <w:vAlign w:val="center"/>
                </w:tcPr>
                <w:p w14:paraId="454AF722">
                  <w:pPr>
                    <w:jc w:val="center"/>
                    <w:rPr>
                      <w:szCs w:val="21"/>
                    </w:rPr>
                  </w:pPr>
                  <w:r>
                    <w:rPr>
                      <w:szCs w:val="21"/>
                    </w:rPr>
                    <w:t>乔木林地（0301）</w:t>
                  </w:r>
                </w:p>
              </w:tc>
              <w:tc>
                <w:tcPr>
                  <w:tcW w:w="887" w:type="pct"/>
                  <w:tcBorders>
                    <w:top w:val="nil"/>
                    <w:left w:val="nil"/>
                    <w:bottom w:val="single" w:color="auto" w:sz="4" w:space="0"/>
                    <w:right w:val="single" w:color="auto" w:sz="4" w:space="0"/>
                  </w:tcBorders>
                  <w:vAlign w:val="center"/>
                </w:tcPr>
                <w:p w14:paraId="0B9F29F4">
                  <w:pPr>
                    <w:jc w:val="center"/>
                    <w:rPr>
                      <w:szCs w:val="21"/>
                    </w:rPr>
                  </w:pPr>
                  <w:r>
                    <w:rPr>
                      <w:szCs w:val="21"/>
                    </w:rPr>
                    <w:t>0.2962</w:t>
                  </w:r>
                </w:p>
              </w:tc>
              <w:tc>
                <w:tcPr>
                  <w:tcW w:w="1855" w:type="pct"/>
                  <w:tcBorders>
                    <w:top w:val="nil"/>
                    <w:left w:val="nil"/>
                    <w:bottom w:val="single" w:color="auto" w:sz="4" w:space="0"/>
                    <w:right w:val="single" w:color="auto" w:sz="4" w:space="0"/>
                  </w:tcBorders>
                  <w:vAlign w:val="center"/>
                </w:tcPr>
                <w:p w14:paraId="26B3AA51">
                  <w:pPr>
                    <w:jc w:val="center"/>
                    <w:rPr>
                      <w:szCs w:val="21"/>
                    </w:rPr>
                  </w:pPr>
                  <w:r>
                    <w:rPr>
                      <w:szCs w:val="21"/>
                    </w:rPr>
                    <w:t>油松、紫花苜蓿和披碱草</w:t>
                  </w:r>
                </w:p>
              </w:tc>
            </w:tr>
            <w:tr w14:paraId="5F026D14">
              <w:tblPrEx>
                <w:tblCellMar>
                  <w:top w:w="0" w:type="dxa"/>
                  <w:left w:w="108" w:type="dxa"/>
                  <w:bottom w:w="0" w:type="dxa"/>
                  <w:right w:w="108" w:type="dxa"/>
                </w:tblCellMar>
              </w:tblPrEx>
              <w:trPr>
                <w:trHeight w:val="454" w:hRule="atLeast"/>
              </w:trPr>
              <w:tc>
                <w:tcPr>
                  <w:tcW w:w="2257" w:type="pct"/>
                  <w:gridSpan w:val="2"/>
                  <w:tcBorders>
                    <w:top w:val="single" w:color="auto" w:sz="4" w:space="0"/>
                    <w:left w:val="single" w:color="auto" w:sz="4" w:space="0"/>
                    <w:bottom w:val="single" w:color="auto" w:sz="4" w:space="0"/>
                    <w:right w:val="single" w:color="auto" w:sz="4" w:space="0"/>
                  </w:tcBorders>
                  <w:vAlign w:val="center"/>
                </w:tcPr>
                <w:p w14:paraId="0B5F55B7">
                  <w:pPr>
                    <w:jc w:val="center"/>
                    <w:rPr>
                      <w:szCs w:val="21"/>
                    </w:rPr>
                  </w:pPr>
                  <w:r>
                    <w:rPr>
                      <w:szCs w:val="21"/>
                    </w:rPr>
                    <w:t>复垦面积</w:t>
                  </w:r>
                </w:p>
              </w:tc>
              <w:tc>
                <w:tcPr>
                  <w:tcW w:w="887" w:type="pct"/>
                  <w:tcBorders>
                    <w:top w:val="nil"/>
                    <w:left w:val="nil"/>
                    <w:bottom w:val="single" w:color="auto" w:sz="4" w:space="0"/>
                    <w:right w:val="single" w:color="auto" w:sz="4" w:space="0"/>
                  </w:tcBorders>
                  <w:vAlign w:val="center"/>
                </w:tcPr>
                <w:p w14:paraId="1B2F7721">
                  <w:pPr>
                    <w:jc w:val="center"/>
                    <w:rPr>
                      <w:rFonts w:hint="default" w:eastAsia="宋体"/>
                      <w:szCs w:val="21"/>
                      <w:lang w:val="en-US" w:eastAsia="zh-CN"/>
                    </w:rPr>
                  </w:pPr>
                  <w:r>
                    <w:rPr>
                      <w:szCs w:val="21"/>
                    </w:rPr>
                    <w:t>33.</w:t>
                  </w:r>
                  <w:r>
                    <w:rPr>
                      <w:rFonts w:hint="eastAsia"/>
                      <w:szCs w:val="21"/>
                      <w:lang w:val="en-US" w:eastAsia="zh-CN"/>
                    </w:rPr>
                    <w:t>1273</w:t>
                  </w:r>
                </w:p>
              </w:tc>
              <w:tc>
                <w:tcPr>
                  <w:tcW w:w="1855" w:type="pct"/>
                  <w:tcBorders>
                    <w:top w:val="nil"/>
                    <w:left w:val="nil"/>
                    <w:bottom w:val="single" w:color="auto" w:sz="4" w:space="0"/>
                    <w:right w:val="single" w:color="auto" w:sz="4" w:space="0"/>
                  </w:tcBorders>
                  <w:vAlign w:val="center"/>
                </w:tcPr>
                <w:p w14:paraId="071B6DE5">
                  <w:pPr>
                    <w:jc w:val="center"/>
                    <w:rPr>
                      <w:rFonts w:hint="eastAsia" w:eastAsia="宋体"/>
                      <w:szCs w:val="21"/>
                      <w:lang w:eastAsia="zh-CN"/>
                    </w:rPr>
                  </w:pPr>
                  <w:r>
                    <w:rPr>
                      <w:rFonts w:hint="eastAsia"/>
                      <w:szCs w:val="21"/>
                      <w:lang w:val="en-US" w:eastAsia="zh-CN"/>
                    </w:rPr>
                    <w:t>/</w:t>
                  </w:r>
                </w:p>
              </w:tc>
            </w:tr>
            <w:bookmarkEnd w:id="24"/>
          </w:tbl>
          <w:p w14:paraId="72463B5B">
            <w:pPr>
              <w:keepNext w:val="0"/>
              <w:keepLines w:val="0"/>
              <w:pageBreakBefore w:val="0"/>
              <w:widowControl/>
              <w:kinsoku/>
              <w:wordWrap/>
              <w:overflowPunct/>
              <w:topLinePunct w:val="0"/>
              <w:autoSpaceDE/>
              <w:autoSpaceDN/>
              <w:bidi w:val="0"/>
              <w:spacing w:line="480" w:lineRule="exact"/>
              <w:ind w:firstLine="480" w:firstLineChars="200"/>
              <w:textAlignment w:val="auto"/>
              <w:rPr>
                <w:color w:val="auto"/>
                <w:kern w:val="0"/>
                <w:sz w:val="24"/>
                <w:highlight w:val="none"/>
                <w:lang w:bidi="ar"/>
              </w:rPr>
            </w:pPr>
            <w:bookmarkStart w:id="25" w:name="_Hlk214495403"/>
            <w:r>
              <w:rPr>
                <w:rFonts w:hint="eastAsia"/>
                <w:color w:val="auto"/>
                <w:kern w:val="0"/>
                <w:sz w:val="24"/>
                <w:highlight w:val="none"/>
                <w:lang w:bidi="ar"/>
              </w:rPr>
              <w:t>2）生态恢复方案</w:t>
            </w:r>
          </w:p>
          <w:p w14:paraId="4CBD6876">
            <w:pPr>
              <w:keepNext w:val="0"/>
              <w:keepLines w:val="0"/>
              <w:pageBreakBefore w:val="0"/>
              <w:widowControl/>
              <w:kinsoku/>
              <w:wordWrap/>
              <w:overflowPunct/>
              <w:topLinePunct w:val="0"/>
              <w:autoSpaceDE/>
              <w:autoSpaceDN/>
              <w:bidi w:val="0"/>
              <w:spacing w:line="480" w:lineRule="exact"/>
              <w:ind w:firstLine="480" w:firstLineChars="200"/>
              <w:textAlignment w:val="auto"/>
              <w:rPr>
                <w:color w:val="auto"/>
                <w:kern w:val="0"/>
                <w:sz w:val="24"/>
                <w:lang w:bidi="ar"/>
              </w:rPr>
            </w:pPr>
            <w:r>
              <w:rPr>
                <w:rFonts w:hint="eastAsia"/>
                <w:color w:val="auto"/>
                <w:kern w:val="0"/>
                <w:sz w:val="24"/>
                <w:lang w:bidi="ar"/>
              </w:rPr>
              <w:t>本矿生态恢复工程责任主体为盂县石鑫矿业有限公司</w:t>
            </w:r>
            <w:r>
              <w:rPr>
                <w:rFonts w:hint="eastAsia"/>
                <w:color w:val="auto"/>
                <w:sz w:val="24"/>
              </w:rPr>
              <w:t>，具体工程内容如下文所述。</w:t>
            </w:r>
          </w:p>
          <w:p w14:paraId="2F280ADB">
            <w:pPr>
              <w:keepNext w:val="0"/>
              <w:keepLines w:val="0"/>
              <w:pageBreakBefore w:val="0"/>
              <w:widowControl/>
              <w:kinsoku/>
              <w:wordWrap/>
              <w:overflowPunct/>
              <w:topLinePunct w:val="0"/>
              <w:autoSpaceDE/>
              <w:autoSpaceDN/>
              <w:bidi w:val="0"/>
              <w:spacing w:line="480" w:lineRule="exact"/>
              <w:ind w:firstLine="480" w:firstLineChars="200"/>
              <w:textAlignment w:val="auto"/>
              <w:rPr>
                <w:rFonts w:hint="eastAsia"/>
                <w:color w:val="auto"/>
                <w:kern w:val="0"/>
                <w:sz w:val="24"/>
                <w:lang w:bidi="ar"/>
              </w:rPr>
            </w:pPr>
            <w:r>
              <w:rPr>
                <w:rFonts w:hint="eastAsia"/>
                <w:color w:val="auto"/>
                <w:kern w:val="0"/>
                <w:sz w:val="24"/>
                <w:lang w:bidi="ar"/>
              </w:rPr>
              <w:t>①已采区复垦工程设计</w:t>
            </w:r>
          </w:p>
          <w:p w14:paraId="23055CA7">
            <w:pPr>
              <w:keepNext w:val="0"/>
              <w:keepLines w:val="0"/>
              <w:pageBreakBefore w:val="0"/>
              <w:kinsoku/>
              <w:wordWrap/>
              <w:overflowPunct/>
              <w:topLinePunct w:val="0"/>
              <w:autoSpaceDE/>
              <w:autoSpaceDN/>
              <w:bidi w:val="0"/>
              <w:adjustRightInd w:val="0"/>
              <w:snapToGrid w:val="0"/>
              <w:spacing w:line="480" w:lineRule="exact"/>
              <w:ind w:firstLine="480" w:firstLineChars="200"/>
              <w:textAlignment w:val="auto"/>
              <w:rPr>
                <w:bCs/>
                <w:color w:val="auto"/>
                <w:sz w:val="24"/>
              </w:rPr>
            </w:pPr>
            <w:r>
              <w:rPr>
                <w:rFonts w:hint="eastAsia"/>
                <w:color w:val="auto"/>
                <w:sz w:val="24"/>
              </w:rPr>
              <w:t>原盂县西潘乡鑫盛石矿</w:t>
            </w:r>
            <w:r>
              <w:rPr>
                <w:rFonts w:hint="eastAsia"/>
                <w:bCs/>
                <w:color w:val="auto"/>
                <w:sz w:val="24"/>
                <w:lang w:val="en-US" w:eastAsia="zh-CN"/>
              </w:rPr>
              <w:t>矿界外北侧、西北侧形成的</w:t>
            </w:r>
            <w:r>
              <w:rPr>
                <w:bCs/>
                <w:color w:val="auto"/>
                <w:sz w:val="24"/>
              </w:rPr>
              <w:t>已采区面积为9.</w:t>
            </w:r>
            <w:r>
              <w:rPr>
                <w:rFonts w:hint="eastAsia"/>
                <w:bCs/>
                <w:color w:val="auto"/>
                <w:sz w:val="24"/>
                <w:lang w:val="en-US" w:eastAsia="zh-CN"/>
              </w:rPr>
              <w:t>3020</w:t>
            </w:r>
            <w:r>
              <w:rPr>
                <w:bCs/>
                <w:color w:val="auto"/>
                <w:sz w:val="24"/>
              </w:rPr>
              <w:t>hm</w:t>
            </w:r>
            <w:r>
              <w:rPr>
                <w:bCs/>
                <w:color w:val="auto"/>
                <w:sz w:val="24"/>
                <w:vertAlign w:val="superscript"/>
              </w:rPr>
              <w:t>2</w:t>
            </w:r>
            <w:r>
              <w:rPr>
                <w:bCs/>
                <w:color w:val="auto"/>
                <w:sz w:val="24"/>
              </w:rPr>
              <w:t>。</w:t>
            </w:r>
            <w:r>
              <w:rPr>
                <w:rFonts w:hint="eastAsia"/>
                <w:bCs/>
                <w:color w:val="auto"/>
                <w:sz w:val="24"/>
                <w:lang w:val="en-US" w:eastAsia="zh-CN"/>
              </w:rPr>
              <w:t>根据</w:t>
            </w:r>
            <w:r>
              <w:rPr>
                <w:rFonts w:hint="eastAsia"/>
                <w:color w:val="auto"/>
                <w:kern w:val="0"/>
                <w:sz w:val="24"/>
              </w:rPr>
              <w:t>《山西省盂县石鑫矿业有限公司饰面用花岗岩矿资源开发利用和矿山环境保护与土地复垦方案》</w:t>
            </w:r>
            <w:r>
              <w:rPr>
                <w:rFonts w:hint="eastAsia"/>
                <w:color w:val="auto"/>
                <w:kern w:val="0"/>
                <w:sz w:val="24"/>
                <w:lang w:val="en-US" w:eastAsia="zh-CN"/>
              </w:rPr>
              <w:t>及其</w:t>
            </w:r>
            <w:r>
              <w:rPr>
                <w:rFonts w:hint="eastAsia"/>
                <w:color w:val="auto"/>
                <w:kern w:val="0"/>
                <w:sz w:val="24"/>
              </w:rPr>
              <w:t>评审意见书晋矿联技审字〔2025〕163号</w:t>
            </w:r>
            <w:r>
              <w:rPr>
                <w:rFonts w:hint="eastAsia"/>
                <w:color w:val="auto"/>
                <w:kern w:val="0"/>
                <w:sz w:val="24"/>
                <w:lang w:val="en-US" w:eastAsia="zh-CN"/>
              </w:rPr>
              <w:t>文要求</w:t>
            </w:r>
            <w:r>
              <w:rPr>
                <w:rFonts w:hint="eastAsia"/>
                <w:bCs/>
                <w:color w:val="auto"/>
                <w:sz w:val="24"/>
                <w:lang w:val="en-US" w:eastAsia="zh-CN"/>
              </w:rPr>
              <w:t>，矿界外已采区的生态恢复工作由</w:t>
            </w:r>
            <w:r>
              <w:rPr>
                <w:rFonts w:hint="eastAsia"/>
                <w:color w:val="auto"/>
                <w:sz w:val="24"/>
              </w:rPr>
              <w:t>盂县石鑫矿业有限公司</w:t>
            </w:r>
            <w:r>
              <w:rPr>
                <w:rFonts w:hint="eastAsia"/>
                <w:color w:val="auto"/>
                <w:sz w:val="24"/>
                <w:lang w:val="en-US" w:eastAsia="zh-CN"/>
              </w:rPr>
              <w:t>负责。</w:t>
            </w:r>
            <w:r>
              <w:rPr>
                <w:bCs/>
                <w:color w:val="auto"/>
                <w:sz w:val="24"/>
              </w:rPr>
              <w:t>根据适宜性评价，已采区复垦为灌木林地，复垦措施主要为覆土、种植灌木紫穗槐及撒播草籽紫花苜蓿和披碱草。</w:t>
            </w:r>
          </w:p>
          <w:p w14:paraId="1D4373E3">
            <w:pPr>
              <w:keepNext w:val="0"/>
              <w:keepLines w:val="0"/>
              <w:pageBreakBefore w:val="0"/>
              <w:kinsoku/>
              <w:wordWrap/>
              <w:overflowPunct/>
              <w:topLinePunct w:val="0"/>
              <w:autoSpaceDE/>
              <w:autoSpaceDN/>
              <w:bidi w:val="0"/>
              <w:adjustRightInd w:val="0"/>
              <w:snapToGrid w:val="0"/>
              <w:spacing w:line="480" w:lineRule="exact"/>
              <w:ind w:left="480"/>
              <w:textAlignment w:val="auto"/>
              <w:rPr>
                <w:bCs/>
                <w:color w:val="auto"/>
                <w:sz w:val="24"/>
                <w:highlight w:val="none"/>
              </w:rPr>
            </w:pPr>
            <w:r>
              <w:rPr>
                <w:rFonts w:hint="eastAsia"/>
                <w:bCs/>
                <w:color w:val="auto"/>
                <w:sz w:val="24"/>
                <w:highlight w:val="none"/>
              </w:rPr>
              <w:t>a.</w:t>
            </w:r>
            <w:r>
              <w:rPr>
                <w:bCs/>
                <w:color w:val="auto"/>
                <w:sz w:val="24"/>
                <w:highlight w:val="none"/>
              </w:rPr>
              <w:t>覆土工程设计</w:t>
            </w:r>
          </w:p>
          <w:p w14:paraId="307ED2CA">
            <w:pPr>
              <w:keepNext w:val="0"/>
              <w:keepLines w:val="0"/>
              <w:pageBreakBefore w:val="0"/>
              <w:kinsoku/>
              <w:wordWrap/>
              <w:overflowPunct/>
              <w:topLinePunct w:val="0"/>
              <w:autoSpaceDE/>
              <w:autoSpaceDN/>
              <w:bidi w:val="0"/>
              <w:adjustRightInd w:val="0"/>
              <w:snapToGrid w:val="0"/>
              <w:spacing w:line="480" w:lineRule="exact"/>
              <w:ind w:firstLine="480" w:firstLineChars="200"/>
              <w:textAlignment w:val="auto"/>
              <w:rPr>
                <w:bCs/>
                <w:color w:val="auto"/>
                <w:sz w:val="24"/>
                <w:highlight w:val="none"/>
              </w:rPr>
            </w:pPr>
            <w:r>
              <w:rPr>
                <w:bCs/>
                <w:color w:val="auto"/>
                <w:sz w:val="24"/>
                <w:highlight w:val="none"/>
              </w:rPr>
              <w:t>复垦为灌木林地的覆土厚度为0.5m，已采区覆土的土源来自</w:t>
            </w:r>
            <w:r>
              <w:rPr>
                <w:rFonts w:hint="eastAsia"/>
                <w:bCs/>
                <w:color w:val="auto"/>
                <w:sz w:val="24"/>
                <w:highlight w:val="none"/>
                <w:lang w:val="en-US" w:eastAsia="zh-CN"/>
              </w:rPr>
              <w:t>排土场</w:t>
            </w:r>
            <w:r>
              <w:rPr>
                <w:bCs/>
                <w:color w:val="auto"/>
                <w:sz w:val="24"/>
                <w:highlight w:val="none"/>
              </w:rPr>
              <w:t>。覆土量共计4.</w:t>
            </w:r>
            <w:r>
              <w:rPr>
                <w:rFonts w:hint="eastAsia"/>
                <w:bCs/>
                <w:color w:val="auto"/>
                <w:sz w:val="24"/>
                <w:highlight w:val="none"/>
                <w:lang w:val="en-US" w:eastAsia="zh-CN"/>
              </w:rPr>
              <w:t>6510</w:t>
            </w:r>
            <w:r>
              <w:rPr>
                <w:bCs/>
                <w:color w:val="auto"/>
                <w:sz w:val="24"/>
                <w:highlight w:val="none"/>
              </w:rPr>
              <w:t>万m</w:t>
            </w:r>
            <w:r>
              <w:rPr>
                <w:bCs/>
                <w:color w:val="auto"/>
                <w:sz w:val="24"/>
                <w:highlight w:val="none"/>
                <w:vertAlign w:val="superscript"/>
              </w:rPr>
              <w:t>3</w:t>
            </w:r>
            <w:r>
              <w:rPr>
                <w:bCs/>
                <w:color w:val="auto"/>
                <w:sz w:val="24"/>
                <w:highlight w:val="none"/>
              </w:rPr>
              <w:t>。</w:t>
            </w:r>
          </w:p>
          <w:p w14:paraId="43B6A61D">
            <w:pPr>
              <w:keepNext w:val="0"/>
              <w:keepLines w:val="0"/>
              <w:pageBreakBefore w:val="0"/>
              <w:kinsoku/>
              <w:wordWrap/>
              <w:overflowPunct/>
              <w:topLinePunct w:val="0"/>
              <w:autoSpaceDE/>
              <w:autoSpaceDN/>
              <w:bidi w:val="0"/>
              <w:adjustRightInd w:val="0"/>
              <w:snapToGrid w:val="0"/>
              <w:spacing w:line="480" w:lineRule="exact"/>
              <w:ind w:firstLine="480" w:firstLineChars="200"/>
              <w:textAlignment w:val="auto"/>
              <w:rPr>
                <w:bCs/>
                <w:color w:val="auto"/>
                <w:sz w:val="24"/>
              </w:rPr>
            </w:pPr>
            <w:r>
              <w:rPr>
                <w:bCs/>
                <w:color w:val="auto"/>
                <w:sz w:val="24"/>
              </w:rPr>
              <w:t>b</w:t>
            </w:r>
            <w:r>
              <w:rPr>
                <w:rFonts w:hint="eastAsia"/>
                <w:bCs/>
                <w:color w:val="auto"/>
                <w:sz w:val="24"/>
              </w:rPr>
              <w:t>.</w:t>
            </w:r>
            <w:r>
              <w:rPr>
                <w:bCs/>
                <w:color w:val="auto"/>
                <w:sz w:val="24"/>
              </w:rPr>
              <w:t>生态复垦设计</w:t>
            </w:r>
          </w:p>
          <w:p w14:paraId="6DCBD5C8">
            <w:pPr>
              <w:keepNext w:val="0"/>
              <w:keepLines w:val="0"/>
              <w:pageBreakBefore w:val="0"/>
              <w:widowControl/>
              <w:kinsoku/>
              <w:wordWrap/>
              <w:overflowPunct/>
              <w:topLinePunct w:val="0"/>
              <w:autoSpaceDE/>
              <w:autoSpaceDN/>
              <w:bidi w:val="0"/>
              <w:spacing w:line="480" w:lineRule="exact"/>
              <w:ind w:firstLine="480" w:firstLineChars="200"/>
              <w:textAlignment w:val="auto"/>
              <w:rPr>
                <w:color w:val="auto"/>
                <w:kern w:val="0"/>
                <w:sz w:val="24"/>
                <w:lang w:bidi="ar"/>
              </w:rPr>
            </w:pPr>
            <w:r>
              <w:rPr>
                <w:bCs/>
                <w:color w:val="auto"/>
                <w:sz w:val="24"/>
              </w:rPr>
              <w:t>已采区复垦为灌木林地，复垦模式为灌草种植，灌木选择3年生紫穗槐，株行距为1m×1m，种植密度为10000株/hm</w:t>
            </w:r>
            <w:r>
              <w:rPr>
                <w:bCs/>
                <w:color w:val="auto"/>
                <w:sz w:val="24"/>
                <w:vertAlign w:val="superscript"/>
              </w:rPr>
              <w:t>2</w:t>
            </w:r>
            <w:r>
              <w:rPr>
                <w:bCs/>
                <w:color w:val="auto"/>
                <w:sz w:val="24"/>
              </w:rPr>
              <w:t>，整地方式与规格为圆形穴坑整地，采用0.3×0.3×0.3m的圆穴。林下撒播草籽，草种选择紫花苜蓿和披碱草，种植密度各15kg/hm</w:t>
            </w:r>
            <w:r>
              <w:rPr>
                <w:bCs/>
                <w:color w:val="auto"/>
                <w:sz w:val="24"/>
                <w:vertAlign w:val="superscript"/>
              </w:rPr>
              <w:t>2</w:t>
            </w:r>
            <w:r>
              <w:rPr>
                <w:bCs/>
                <w:color w:val="auto"/>
                <w:sz w:val="24"/>
              </w:rPr>
              <w:t>。</w:t>
            </w:r>
          </w:p>
          <w:p w14:paraId="74D91177">
            <w:pPr>
              <w:keepNext w:val="0"/>
              <w:keepLines w:val="0"/>
              <w:pageBreakBefore w:val="0"/>
              <w:widowControl/>
              <w:kinsoku/>
              <w:wordWrap/>
              <w:overflowPunct/>
              <w:topLinePunct w:val="0"/>
              <w:autoSpaceDE/>
              <w:autoSpaceDN/>
              <w:bidi w:val="0"/>
              <w:spacing w:line="480" w:lineRule="exact"/>
              <w:jc w:val="center"/>
              <w:textAlignment w:val="auto"/>
              <w:rPr>
                <w:rFonts w:ascii="宋体" w:hAnsi="宋体" w:cs="宋体"/>
                <w:color w:val="auto"/>
                <w:szCs w:val="21"/>
                <w:lang w:val="zh-CN" w:bidi="ar"/>
              </w:rPr>
            </w:pPr>
            <w:r>
              <w:rPr>
                <w:rFonts w:hint="eastAsia" w:ascii="宋体" w:hAnsi="宋体" w:cs="宋体"/>
                <w:color w:val="auto"/>
                <w:szCs w:val="21"/>
                <w:lang w:val="zh-CN" w:bidi="ar"/>
              </w:rPr>
              <w:t>表</w:t>
            </w:r>
            <w:r>
              <w:rPr>
                <w:color w:val="auto"/>
                <w:szCs w:val="21"/>
                <w:lang w:bidi="ar"/>
              </w:rPr>
              <w:t>5-5</w:t>
            </w:r>
            <w:r>
              <w:rPr>
                <w:rFonts w:hint="eastAsia" w:ascii="宋体" w:hAnsi="宋体" w:cs="宋体"/>
                <w:color w:val="auto"/>
                <w:szCs w:val="21"/>
                <w:lang w:bidi="ar"/>
              </w:rPr>
              <w:t xml:space="preserve">  </w:t>
            </w:r>
            <w:r>
              <w:rPr>
                <w:rFonts w:hint="eastAsia" w:ascii="宋体" w:hAnsi="宋体" w:cs="宋体"/>
                <w:color w:val="auto"/>
                <w:szCs w:val="21"/>
                <w:lang w:val="zh-CN" w:bidi="ar"/>
              </w:rPr>
              <w:t>矿界外已</w:t>
            </w:r>
            <w:r>
              <w:rPr>
                <w:rFonts w:hint="eastAsia" w:ascii="宋体" w:hAnsi="宋体" w:cs="宋体"/>
                <w:color w:val="auto"/>
                <w:szCs w:val="21"/>
                <w:lang w:val="en-US" w:eastAsia="zh-CN" w:bidi="ar"/>
              </w:rPr>
              <w:t>采</w:t>
            </w:r>
            <w:r>
              <w:rPr>
                <w:rFonts w:hint="eastAsia" w:ascii="宋体" w:hAnsi="宋体" w:cs="宋体"/>
                <w:color w:val="auto"/>
                <w:szCs w:val="21"/>
                <w:lang w:val="zh-CN" w:bidi="ar"/>
              </w:rPr>
              <w:t>区植物措施配置表</w:t>
            </w:r>
          </w:p>
          <w:tbl>
            <w:tblPr>
              <w:tblStyle w:val="29"/>
              <w:tblW w:w="4996" w:type="pct"/>
              <w:tblInd w:w="0" w:type="dxa"/>
              <w:tblLayout w:type="autofit"/>
              <w:tblCellMar>
                <w:top w:w="0" w:type="dxa"/>
                <w:left w:w="108" w:type="dxa"/>
                <w:bottom w:w="0" w:type="dxa"/>
                <w:right w:w="108" w:type="dxa"/>
              </w:tblCellMar>
            </w:tblPr>
            <w:tblGrid>
              <w:gridCol w:w="782"/>
              <w:gridCol w:w="1507"/>
              <w:gridCol w:w="926"/>
              <w:gridCol w:w="1453"/>
              <w:gridCol w:w="1081"/>
              <w:gridCol w:w="991"/>
              <w:gridCol w:w="1425"/>
            </w:tblGrid>
            <w:tr w14:paraId="38FCDE35">
              <w:tblPrEx>
                <w:tblCellMar>
                  <w:top w:w="0" w:type="dxa"/>
                  <w:left w:w="108" w:type="dxa"/>
                  <w:bottom w:w="0" w:type="dxa"/>
                  <w:right w:w="108" w:type="dxa"/>
                </w:tblCellMar>
              </w:tblPrEx>
              <w:trPr>
                <w:trHeight w:val="315" w:hRule="atLeast"/>
              </w:trPr>
              <w:tc>
                <w:tcPr>
                  <w:tcW w:w="47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85C2146">
                  <w:pPr>
                    <w:widowControl/>
                    <w:jc w:val="center"/>
                    <w:textAlignment w:val="center"/>
                    <w:rPr>
                      <w:color w:val="auto"/>
                      <w:szCs w:val="21"/>
                    </w:rPr>
                  </w:pPr>
                  <w:r>
                    <w:rPr>
                      <w:color w:val="auto"/>
                      <w:kern w:val="0"/>
                      <w:szCs w:val="21"/>
                      <w:lang w:bidi="ar"/>
                    </w:rPr>
                    <w:t>编号</w:t>
                  </w:r>
                </w:p>
              </w:tc>
              <w:tc>
                <w:tcPr>
                  <w:tcW w:w="92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2558682">
                  <w:pPr>
                    <w:widowControl/>
                    <w:jc w:val="center"/>
                    <w:textAlignment w:val="center"/>
                    <w:rPr>
                      <w:color w:val="auto"/>
                      <w:szCs w:val="21"/>
                    </w:rPr>
                  </w:pPr>
                  <w:r>
                    <w:rPr>
                      <w:color w:val="auto"/>
                      <w:kern w:val="0"/>
                      <w:szCs w:val="21"/>
                      <w:lang w:bidi="ar"/>
                    </w:rPr>
                    <w:t>树种或草种</w:t>
                  </w:r>
                </w:p>
              </w:tc>
              <w:tc>
                <w:tcPr>
                  <w:tcW w:w="56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91A8E90">
                  <w:pPr>
                    <w:widowControl/>
                    <w:jc w:val="center"/>
                    <w:textAlignment w:val="center"/>
                    <w:rPr>
                      <w:color w:val="auto"/>
                      <w:szCs w:val="21"/>
                    </w:rPr>
                  </w:pPr>
                  <w:r>
                    <w:rPr>
                      <w:color w:val="auto"/>
                      <w:kern w:val="0"/>
                      <w:szCs w:val="21"/>
                      <w:lang w:bidi="ar"/>
                    </w:rPr>
                    <w:t>株行距（m</w:t>
                  </w:r>
                  <w:r>
                    <w:rPr>
                      <w:rFonts w:hint="eastAsia" w:ascii="宋体" w:hAnsi="宋体" w:cs="宋体"/>
                      <w:color w:val="auto"/>
                      <w:kern w:val="0"/>
                      <w:szCs w:val="21"/>
                      <w:lang w:bidi="ar"/>
                    </w:rPr>
                    <w:t>）</w:t>
                  </w:r>
                </w:p>
              </w:tc>
              <w:tc>
                <w:tcPr>
                  <w:tcW w:w="89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BBB95C7">
                  <w:pPr>
                    <w:widowControl/>
                    <w:jc w:val="center"/>
                    <w:textAlignment w:val="center"/>
                    <w:rPr>
                      <w:color w:val="auto"/>
                      <w:szCs w:val="21"/>
                    </w:rPr>
                  </w:pPr>
                  <w:r>
                    <w:rPr>
                      <w:color w:val="auto"/>
                      <w:kern w:val="0"/>
                      <w:szCs w:val="21"/>
                      <w:lang w:bidi="ar"/>
                    </w:rPr>
                    <w:t>植树密度/</w:t>
                  </w:r>
                  <w:r>
                    <w:rPr>
                      <w:rFonts w:hint="eastAsia" w:ascii="宋体" w:hAnsi="宋体" w:cs="宋体"/>
                      <w:color w:val="auto"/>
                      <w:kern w:val="0"/>
                      <w:szCs w:val="21"/>
                      <w:lang w:bidi="ar"/>
                    </w:rPr>
                    <w:t>播种量</w:t>
                  </w:r>
                </w:p>
              </w:tc>
              <w:tc>
                <w:tcPr>
                  <w:tcW w:w="66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43305B7">
                  <w:pPr>
                    <w:widowControl/>
                    <w:jc w:val="center"/>
                    <w:textAlignment w:val="center"/>
                    <w:rPr>
                      <w:color w:val="auto"/>
                      <w:szCs w:val="21"/>
                    </w:rPr>
                  </w:pPr>
                  <w:r>
                    <w:rPr>
                      <w:color w:val="auto"/>
                      <w:kern w:val="0"/>
                      <w:szCs w:val="21"/>
                      <w:lang w:bidi="ar"/>
                    </w:rPr>
                    <w:t>种植面积（ hm</w:t>
                  </w:r>
                  <w:r>
                    <w:rPr>
                      <w:color w:val="auto"/>
                      <w:kern w:val="0"/>
                      <w:szCs w:val="21"/>
                      <w:vertAlign w:val="superscript"/>
                      <w:lang w:bidi="ar"/>
                    </w:rPr>
                    <w:t>2</w:t>
                  </w:r>
                  <w:r>
                    <w:rPr>
                      <w:rFonts w:hint="eastAsia" w:ascii="宋体" w:hAnsi="宋体" w:cs="宋体"/>
                      <w:color w:val="auto"/>
                      <w:kern w:val="0"/>
                      <w:szCs w:val="21"/>
                      <w:lang w:bidi="ar"/>
                    </w:rPr>
                    <w:t>）</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02FEF1">
                  <w:pPr>
                    <w:widowControl/>
                    <w:jc w:val="center"/>
                    <w:textAlignment w:val="center"/>
                    <w:rPr>
                      <w:color w:val="auto"/>
                      <w:szCs w:val="21"/>
                    </w:rPr>
                  </w:pPr>
                  <w:r>
                    <w:rPr>
                      <w:color w:val="auto"/>
                      <w:kern w:val="0"/>
                      <w:szCs w:val="21"/>
                      <w:lang w:bidi="ar"/>
                    </w:rPr>
                    <w:t>种植</w:t>
                  </w:r>
                </w:p>
              </w:tc>
              <w:tc>
                <w:tcPr>
                  <w:tcW w:w="87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57EACB6">
                  <w:pPr>
                    <w:widowControl/>
                    <w:jc w:val="center"/>
                    <w:textAlignment w:val="center"/>
                    <w:rPr>
                      <w:color w:val="auto"/>
                      <w:szCs w:val="21"/>
                    </w:rPr>
                  </w:pPr>
                  <w:r>
                    <w:rPr>
                      <w:color w:val="auto"/>
                      <w:kern w:val="0"/>
                      <w:szCs w:val="21"/>
                      <w:lang w:bidi="ar"/>
                    </w:rPr>
                    <w:t>播种方式</w:t>
                  </w:r>
                </w:p>
              </w:tc>
            </w:tr>
            <w:tr w14:paraId="62456779">
              <w:tblPrEx>
                <w:tblCellMar>
                  <w:top w:w="0" w:type="dxa"/>
                  <w:left w:w="108" w:type="dxa"/>
                  <w:bottom w:w="0" w:type="dxa"/>
                  <w:right w:w="108" w:type="dxa"/>
                </w:tblCellMar>
              </w:tblPrEx>
              <w:trPr>
                <w:trHeight w:val="315" w:hRule="atLeast"/>
              </w:trPr>
              <w:tc>
                <w:tcPr>
                  <w:tcW w:w="47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E2E8A7">
                  <w:pPr>
                    <w:jc w:val="center"/>
                    <w:rPr>
                      <w:color w:val="auto"/>
                      <w:szCs w:val="21"/>
                    </w:rPr>
                  </w:pPr>
                </w:p>
              </w:tc>
              <w:tc>
                <w:tcPr>
                  <w:tcW w:w="92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BA2F93">
                  <w:pPr>
                    <w:jc w:val="center"/>
                    <w:rPr>
                      <w:color w:val="auto"/>
                      <w:szCs w:val="21"/>
                    </w:rPr>
                  </w:pPr>
                </w:p>
              </w:tc>
              <w:tc>
                <w:tcPr>
                  <w:tcW w:w="56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76E1AC">
                  <w:pPr>
                    <w:jc w:val="center"/>
                    <w:rPr>
                      <w:color w:val="auto"/>
                      <w:szCs w:val="21"/>
                    </w:rPr>
                  </w:pPr>
                </w:p>
              </w:tc>
              <w:tc>
                <w:tcPr>
                  <w:tcW w:w="8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C909B8">
                  <w:pPr>
                    <w:jc w:val="center"/>
                    <w:rPr>
                      <w:color w:val="auto"/>
                      <w:szCs w:val="21"/>
                    </w:rPr>
                  </w:pPr>
                </w:p>
              </w:tc>
              <w:tc>
                <w:tcPr>
                  <w:tcW w:w="6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6CDA08">
                  <w:pPr>
                    <w:jc w:val="center"/>
                    <w:rPr>
                      <w:color w:val="auto"/>
                      <w:szCs w:val="21"/>
                    </w:rPr>
                  </w:pP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89316B">
                  <w:pPr>
                    <w:widowControl/>
                    <w:jc w:val="center"/>
                    <w:textAlignment w:val="center"/>
                    <w:rPr>
                      <w:color w:val="auto"/>
                      <w:szCs w:val="21"/>
                    </w:rPr>
                  </w:pPr>
                  <w:r>
                    <w:rPr>
                      <w:color w:val="auto"/>
                      <w:kern w:val="0"/>
                      <w:szCs w:val="21"/>
                      <w:lang w:bidi="ar"/>
                    </w:rPr>
                    <w:t>数量</w:t>
                  </w:r>
                </w:p>
              </w:tc>
              <w:tc>
                <w:tcPr>
                  <w:tcW w:w="8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529D6E">
                  <w:pPr>
                    <w:jc w:val="center"/>
                    <w:rPr>
                      <w:color w:val="auto"/>
                      <w:szCs w:val="21"/>
                    </w:rPr>
                  </w:pPr>
                </w:p>
              </w:tc>
            </w:tr>
            <w:tr w14:paraId="58072365">
              <w:tblPrEx>
                <w:tblCellMar>
                  <w:top w:w="0" w:type="dxa"/>
                  <w:left w:w="108" w:type="dxa"/>
                  <w:bottom w:w="0" w:type="dxa"/>
                  <w:right w:w="108" w:type="dxa"/>
                </w:tblCellMar>
              </w:tblPrEx>
              <w:trPr>
                <w:trHeight w:val="315" w:hRule="atLeast"/>
              </w:trPr>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63BE99">
                  <w:pPr>
                    <w:widowControl/>
                    <w:jc w:val="center"/>
                    <w:textAlignment w:val="center"/>
                    <w:rPr>
                      <w:color w:val="auto"/>
                      <w:szCs w:val="21"/>
                    </w:rPr>
                  </w:pPr>
                  <w:r>
                    <w:rPr>
                      <w:color w:val="auto"/>
                      <w:kern w:val="0"/>
                      <w:szCs w:val="21"/>
                      <w:lang w:bidi="ar"/>
                    </w:rPr>
                    <w:t>1</w:t>
                  </w:r>
                </w:p>
              </w:tc>
              <w:tc>
                <w:tcPr>
                  <w:tcW w:w="9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BAE778">
                  <w:pPr>
                    <w:widowControl/>
                    <w:jc w:val="center"/>
                    <w:textAlignment w:val="center"/>
                    <w:rPr>
                      <w:rFonts w:ascii="宋体" w:hAnsi="宋体" w:cs="宋体"/>
                      <w:color w:val="auto"/>
                      <w:sz w:val="21"/>
                      <w:szCs w:val="21"/>
                    </w:rPr>
                  </w:pPr>
                  <w:r>
                    <w:rPr>
                      <w:rFonts w:hint="eastAsia" w:ascii="宋体" w:hAnsi="宋体" w:cs="宋体"/>
                      <w:color w:val="auto"/>
                      <w:kern w:val="0"/>
                      <w:sz w:val="21"/>
                      <w:szCs w:val="21"/>
                      <w:lang w:bidi="ar"/>
                    </w:rPr>
                    <w:t>紫穗槐</w:t>
                  </w:r>
                </w:p>
              </w:tc>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A0AAA5">
                  <w:pPr>
                    <w:widowControl/>
                    <w:jc w:val="center"/>
                    <w:textAlignment w:val="center"/>
                    <w:rPr>
                      <w:color w:val="auto"/>
                      <w:szCs w:val="21"/>
                    </w:rPr>
                  </w:pPr>
                  <w:r>
                    <w:rPr>
                      <w:color w:val="auto"/>
                      <w:kern w:val="0"/>
                      <w:szCs w:val="21"/>
                      <w:lang w:bidi="ar"/>
                    </w:rPr>
                    <w:t>1×1</w:t>
                  </w:r>
                </w:p>
              </w:tc>
              <w:tc>
                <w:tcPr>
                  <w:tcW w:w="8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464F74">
                  <w:pPr>
                    <w:widowControl/>
                    <w:jc w:val="center"/>
                    <w:textAlignment w:val="center"/>
                    <w:rPr>
                      <w:color w:val="auto"/>
                      <w:szCs w:val="21"/>
                    </w:rPr>
                  </w:pPr>
                  <w:r>
                    <w:rPr>
                      <w:color w:val="auto"/>
                      <w:kern w:val="0"/>
                      <w:szCs w:val="21"/>
                      <w:lang w:bidi="ar"/>
                    </w:rPr>
                    <w:t>10000</w:t>
                  </w:r>
                  <w:r>
                    <w:rPr>
                      <w:rFonts w:hint="eastAsia" w:ascii="宋体" w:hAnsi="宋体" w:cs="宋体"/>
                      <w:color w:val="auto"/>
                      <w:kern w:val="0"/>
                      <w:szCs w:val="21"/>
                      <w:lang w:bidi="ar"/>
                    </w:rPr>
                    <w:t>株</w:t>
                  </w:r>
                  <w:r>
                    <w:rPr>
                      <w:color w:val="auto"/>
                      <w:kern w:val="0"/>
                      <w:szCs w:val="21"/>
                      <w:lang w:bidi="ar"/>
                    </w:rPr>
                    <w:t>/hm</w:t>
                  </w:r>
                  <w:r>
                    <w:rPr>
                      <w:color w:val="auto"/>
                      <w:kern w:val="0"/>
                      <w:szCs w:val="21"/>
                      <w:vertAlign w:val="superscript"/>
                      <w:lang w:bidi="ar"/>
                    </w:rPr>
                    <w:t>2</w:t>
                  </w:r>
                </w:p>
              </w:tc>
              <w:tc>
                <w:tcPr>
                  <w:tcW w:w="6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01412B">
                  <w:pPr>
                    <w:widowControl/>
                    <w:jc w:val="center"/>
                    <w:textAlignment w:val="center"/>
                    <w:rPr>
                      <w:rFonts w:hint="default" w:eastAsia="宋体"/>
                      <w:color w:val="auto"/>
                      <w:szCs w:val="21"/>
                      <w:lang w:val="en-US" w:eastAsia="zh-CN"/>
                    </w:rPr>
                  </w:pPr>
                  <w:r>
                    <w:rPr>
                      <w:color w:val="auto"/>
                      <w:kern w:val="0"/>
                      <w:szCs w:val="21"/>
                      <w:lang w:bidi="ar"/>
                    </w:rPr>
                    <w:t>9.</w:t>
                  </w:r>
                  <w:r>
                    <w:rPr>
                      <w:rFonts w:hint="eastAsia"/>
                      <w:color w:val="auto"/>
                      <w:kern w:val="0"/>
                      <w:szCs w:val="21"/>
                      <w:lang w:val="en-US" w:eastAsia="zh-CN" w:bidi="ar"/>
                    </w:rPr>
                    <w:t>3020</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68E4E1">
                  <w:pPr>
                    <w:widowControl/>
                    <w:jc w:val="center"/>
                    <w:textAlignment w:val="center"/>
                    <w:rPr>
                      <w:rFonts w:hint="default" w:eastAsia="宋体"/>
                      <w:color w:val="auto"/>
                      <w:szCs w:val="21"/>
                      <w:lang w:val="en-US" w:eastAsia="zh-CN"/>
                    </w:rPr>
                  </w:pPr>
                  <w:r>
                    <w:rPr>
                      <w:color w:val="auto"/>
                      <w:kern w:val="0"/>
                      <w:szCs w:val="21"/>
                      <w:lang w:bidi="ar"/>
                    </w:rPr>
                    <w:t>9</w:t>
                  </w:r>
                  <w:r>
                    <w:rPr>
                      <w:rFonts w:hint="eastAsia"/>
                      <w:color w:val="auto"/>
                      <w:kern w:val="0"/>
                      <w:szCs w:val="21"/>
                      <w:lang w:val="en-US" w:eastAsia="zh-CN" w:bidi="ar"/>
                    </w:rPr>
                    <w:t>3020</w:t>
                  </w:r>
                </w:p>
              </w:tc>
              <w:tc>
                <w:tcPr>
                  <w:tcW w:w="8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30984A">
                  <w:pPr>
                    <w:widowControl/>
                    <w:jc w:val="center"/>
                    <w:textAlignment w:val="center"/>
                    <w:rPr>
                      <w:color w:val="auto"/>
                      <w:szCs w:val="21"/>
                    </w:rPr>
                  </w:pPr>
                  <w:r>
                    <w:rPr>
                      <w:color w:val="auto"/>
                      <w:kern w:val="0"/>
                      <w:szCs w:val="21"/>
                      <w:lang w:bidi="ar"/>
                    </w:rPr>
                    <w:t>裸根坑植</w:t>
                  </w:r>
                </w:p>
              </w:tc>
            </w:tr>
            <w:tr w14:paraId="4B30D3D9">
              <w:tblPrEx>
                <w:tblCellMar>
                  <w:top w:w="0" w:type="dxa"/>
                  <w:left w:w="108" w:type="dxa"/>
                  <w:bottom w:w="0" w:type="dxa"/>
                  <w:right w:w="108" w:type="dxa"/>
                </w:tblCellMar>
              </w:tblPrEx>
              <w:trPr>
                <w:trHeight w:val="315" w:hRule="atLeast"/>
              </w:trPr>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C08AA3">
                  <w:pPr>
                    <w:widowControl/>
                    <w:jc w:val="center"/>
                    <w:textAlignment w:val="center"/>
                    <w:rPr>
                      <w:color w:val="auto"/>
                      <w:szCs w:val="21"/>
                    </w:rPr>
                  </w:pPr>
                  <w:r>
                    <w:rPr>
                      <w:color w:val="auto"/>
                      <w:kern w:val="0"/>
                      <w:szCs w:val="21"/>
                      <w:lang w:bidi="ar"/>
                    </w:rPr>
                    <w:t>2</w:t>
                  </w:r>
                </w:p>
              </w:tc>
              <w:tc>
                <w:tcPr>
                  <w:tcW w:w="9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CC03E2">
                  <w:pPr>
                    <w:widowControl/>
                    <w:jc w:val="center"/>
                    <w:textAlignment w:val="center"/>
                    <w:rPr>
                      <w:color w:val="auto"/>
                      <w:sz w:val="21"/>
                      <w:szCs w:val="21"/>
                    </w:rPr>
                  </w:pPr>
                  <w:r>
                    <w:rPr>
                      <w:color w:val="auto"/>
                      <w:kern w:val="0"/>
                      <w:sz w:val="21"/>
                      <w:szCs w:val="21"/>
                      <w:lang w:bidi="ar"/>
                    </w:rPr>
                    <w:t>紫花苜蓿</w:t>
                  </w:r>
                </w:p>
              </w:tc>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004D8B">
                  <w:pPr>
                    <w:widowControl/>
                    <w:jc w:val="center"/>
                    <w:textAlignment w:val="center"/>
                    <w:rPr>
                      <w:color w:val="auto"/>
                      <w:szCs w:val="21"/>
                    </w:rPr>
                  </w:pPr>
                  <w:r>
                    <w:rPr>
                      <w:color w:val="auto"/>
                      <w:kern w:val="0"/>
                      <w:szCs w:val="21"/>
                      <w:lang w:bidi="ar"/>
                    </w:rPr>
                    <w:t>——</w:t>
                  </w:r>
                </w:p>
              </w:tc>
              <w:tc>
                <w:tcPr>
                  <w:tcW w:w="8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2E6BE3">
                  <w:pPr>
                    <w:widowControl/>
                    <w:jc w:val="center"/>
                    <w:textAlignment w:val="center"/>
                    <w:rPr>
                      <w:color w:val="auto"/>
                      <w:szCs w:val="21"/>
                    </w:rPr>
                  </w:pPr>
                  <w:r>
                    <w:rPr>
                      <w:color w:val="auto"/>
                      <w:kern w:val="0"/>
                      <w:szCs w:val="21"/>
                      <w:lang w:bidi="ar"/>
                    </w:rPr>
                    <w:t>15kg/hm</w:t>
                  </w:r>
                  <w:r>
                    <w:rPr>
                      <w:color w:val="auto"/>
                      <w:kern w:val="0"/>
                      <w:szCs w:val="21"/>
                      <w:vertAlign w:val="superscript"/>
                      <w:lang w:bidi="ar"/>
                    </w:rPr>
                    <w:t>2</w:t>
                  </w:r>
                </w:p>
              </w:tc>
              <w:tc>
                <w:tcPr>
                  <w:tcW w:w="6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16C873">
                  <w:pPr>
                    <w:widowControl/>
                    <w:jc w:val="center"/>
                    <w:textAlignment w:val="center"/>
                    <w:rPr>
                      <w:rFonts w:hint="default"/>
                      <w:color w:val="auto"/>
                      <w:szCs w:val="21"/>
                      <w:lang w:val="en-US"/>
                    </w:rPr>
                  </w:pPr>
                  <w:r>
                    <w:rPr>
                      <w:color w:val="auto"/>
                      <w:kern w:val="0"/>
                      <w:szCs w:val="21"/>
                      <w:lang w:bidi="ar"/>
                    </w:rPr>
                    <w:t>9.</w:t>
                  </w:r>
                  <w:r>
                    <w:rPr>
                      <w:rFonts w:hint="eastAsia"/>
                      <w:color w:val="auto"/>
                      <w:kern w:val="0"/>
                      <w:szCs w:val="21"/>
                      <w:lang w:val="en-US" w:eastAsia="zh-CN" w:bidi="ar"/>
                    </w:rPr>
                    <w:t>3020</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86DE9A">
                  <w:pPr>
                    <w:widowControl/>
                    <w:jc w:val="center"/>
                    <w:textAlignment w:val="center"/>
                    <w:rPr>
                      <w:rFonts w:hint="default"/>
                      <w:color w:val="auto"/>
                      <w:szCs w:val="21"/>
                      <w:lang w:val="en-US"/>
                    </w:rPr>
                  </w:pPr>
                  <w:r>
                    <w:rPr>
                      <w:rFonts w:hint="eastAsia"/>
                      <w:color w:val="auto"/>
                      <w:szCs w:val="21"/>
                      <w:lang w:val="en-US" w:eastAsia="zh-CN"/>
                    </w:rPr>
                    <w:t>139.53</w:t>
                  </w:r>
                </w:p>
              </w:tc>
              <w:tc>
                <w:tcPr>
                  <w:tcW w:w="8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B1C529">
                  <w:pPr>
                    <w:widowControl/>
                    <w:jc w:val="center"/>
                    <w:textAlignment w:val="center"/>
                    <w:rPr>
                      <w:color w:val="auto"/>
                      <w:szCs w:val="21"/>
                    </w:rPr>
                  </w:pPr>
                  <w:r>
                    <w:rPr>
                      <w:color w:val="auto"/>
                      <w:kern w:val="0"/>
                      <w:szCs w:val="21"/>
                      <w:lang w:bidi="ar"/>
                    </w:rPr>
                    <w:t>撒播</w:t>
                  </w:r>
                </w:p>
              </w:tc>
            </w:tr>
            <w:tr w14:paraId="0F34E51D">
              <w:tblPrEx>
                <w:tblCellMar>
                  <w:top w:w="0" w:type="dxa"/>
                  <w:left w:w="108" w:type="dxa"/>
                  <w:bottom w:w="0" w:type="dxa"/>
                  <w:right w:w="108" w:type="dxa"/>
                </w:tblCellMar>
              </w:tblPrEx>
              <w:trPr>
                <w:trHeight w:val="315" w:hRule="atLeast"/>
              </w:trPr>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3DB508">
                  <w:pPr>
                    <w:widowControl/>
                    <w:jc w:val="center"/>
                    <w:textAlignment w:val="center"/>
                    <w:rPr>
                      <w:color w:val="auto"/>
                      <w:kern w:val="0"/>
                      <w:szCs w:val="21"/>
                      <w:lang w:bidi="ar"/>
                    </w:rPr>
                  </w:pPr>
                  <w:r>
                    <w:rPr>
                      <w:rFonts w:hint="eastAsia"/>
                      <w:color w:val="auto"/>
                      <w:kern w:val="0"/>
                      <w:szCs w:val="21"/>
                      <w:lang w:bidi="ar"/>
                    </w:rPr>
                    <w:t>3</w:t>
                  </w:r>
                </w:p>
              </w:tc>
              <w:tc>
                <w:tcPr>
                  <w:tcW w:w="9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1D7E1E">
                  <w:pPr>
                    <w:widowControl/>
                    <w:jc w:val="center"/>
                    <w:textAlignment w:val="center"/>
                    <w:rPr>
                      <w:color w:val="auto"/>
                      <w:kern w:val="0"/>
                      <w:sz w:val="21"/>
                      <w:szCs w:val="21"/>
                      <w:lang w:bidi="ar"/>
                    </w:rPr>
                  </w:pPr>
                  <w:r>
                    <w:rPr>
                      <w:bCs/>
                      <w:color w:val="auto"/>
                      <w:sz w:val="21"/>
                      <w:szCs w:val="21"/>
                    </w:rPr>
                    <w:t>披碱草</w:t>
                  </w:r>
                </w:p>
              </w:tc>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EEEF0F">
                  <w:pPr>
                    <w:widowControl/>
                    <w:jc w:val="center"/>
                    <w:textAlignment w:val="center"/>
                    <w:rPr>
                      <w:color w:val="auto"/>
                      <w:szCs w:val="21"/>
                    </w:rPr>
                  </w:pPr>
                  <w:r>
                    <w:rPr>
                      <w:color w:val="auto"/>
                      <w:kern w:val="0"/>
                      <w:szCs w:val="21"/>
                      <w:lang w:bidi="ar"/>
                    </w:rPr>
                    <w:t>——</w:t>
                  </w:r>
                </w:p>
              </w:tc>
              <w:tc>
                <w:tcPr>
                  <w:tcW w:w="8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A0E239">
                  <w:pPr>
                    <w:widowControl/>
                    <w:jc w:val="center"/>
                    <w:textAlignment w:val="center"/>
                    <w:rPr>
                      <w:color w:val="auto"/>
                      <w:szCs w:val="21"/>
                    </w:rPr>
                  </w:pPr>
                  <w:r>
                    <w:rPr>
                      <w:color w:val="auto"/>
                      <w:kern w:val="0"/>
                      <w:szCs w:val="21"/>
                      <w:lang w:bidi="ar"/>
                    </w:rPr>
                    <w:t>15kg/hm</w:t>
                  </w:r>
                  <w:r>
                    <w:rPr>
                      <w:color w:val="auto"/>
                      <w:kern w:val="0"/>
                      <w:szCs w:val="21"/>
                      <w:vertAlign w:val="superscript"/>
                      <w:lang w:bidi="ar"/>
                    </w:rPr>
                    <w:t>2</w:t>
                  </w:r>
                </w:p>
              </w:tc>
              <w:tc>
                <w:tcPr>
                  <w:tcW w:w="6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67FEA2">
                  <w:pPr>
                    <w:widowControl/>
                    <w:jc w:val="center"/>
                    <w:textAlignment w:val="center"/>
                    <w:rPr>
                      <w:rFonts w:hint="default"/>
                      <w:color w:val="auto"/>
                      <w:szCs w:val="21"/>
                      <w:lang w:val="en-US"/>
                    </w:rPr>
                  </w:pPr>
                  <w:r>
                    <w:rPr>
                      <w:color w:val="auto"/>
                      <w:kern w:val="0"/>
                      <w:szCs w:val="21"/>
                      <w:lang w:bidi="ar"/>
                    </w:rPr>
                    <w:t>9.</w:t>
                  </w:r>
                  <w:r>
                    <w:rPr>
                      <w:rFonts w:hint="eastAsia"/>
                      <w:color w:val="auto"/>
                      <w:kern w:val="0"/>
                      <w:szCs w:val="21"/>
                      <w:lang w:val="en-US" w:eastAsia="zh-CN" w:bidi="ar"/>
                    </w:rPr>
                    <w:t>3020</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DB4462">
                  <w:pPr>
                    <w:widowControl/>
                    <w:jc w:val="center"/>
                    <w:textAlignment w:val="center"/>
                    <w:rPr>
                      <w:color w:val="auto"/>
                      <w:szCs w:val="21"/>
                    </w:rPr>
                  </w:pPr>
                  <w:r>
                    <w:rPr>
                      <w:rFonts w:hint="eastAsia"/>
                      <w:color w:val="auto"/>
                      <w:szCs w:val="21"/>
                      <w:lang w:val="en-US" w:eastAsia="zh-CN"/>
                    </w:rPr>
                    <w:t>139.53</w:t>
                  </w:r>
                </w:p>
              </w:tc>
              <w:tc>
                <w:tcPr>
                  <w:tcW w:w="8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AF8610">
                  <w:pPr>
                    <w:widowControl/>
                    <w:jc w:val="center"/>
                    <w:textAlignment w:val="center"/>
                    <w:rPr>
                      <w:color w:val="auto"/>
                      <w:szCs w:val="21"/>
                    </w:rPr>
                  </w:pPr>
                  <w:r>
                    <w:rPr>
                      <w:color w:val="auto"/>
                      <w:kern w:val="0"/>
                      <w:szCs w:val="21"/>
                      <w:lang w:bidi="ar"/>
                    </w:rPr>
                    <w:t>撒播</w:t>
                  </w:r>
                </w:p>
              </w:tc>
            </w:tr>
          </w:tbl>
          <w:p w14:paraId="17E03EC5">
            <w:pPr>
              <w:keepNext w:val="0"/>
              <w:keepLines w:val="0"/>
              <w:pageBreakBefore w:val="0"/>
              <w:kinsoku/>
              <w:wordWrap/>
              <w:overflowPunct/>
              <w:topLinePunct w:val="0"/>
              <w:autoSpaceDE/>
              <w:autoSpaceDN/>
              <w:bidi w:val="0"/>
              <w:adjustRightInd w:val="0"/>
              <w:snapToGrid w:val="0"/>
              <w:spacing w:line="480" w:lineRule="exact"/>
              <w:ind w:firstLine="480" w:firstLineChars="200"/>
              <w:textAlignment w:val="auto"/>
              <w:rPr>
                <w:b/>
                <w:color w:val="auto"/>
                <w:sz w:val="24"/>
              </w:rPr>
            </w:pPr>
            <w:r>
              <w:rPr>
                <w:rFonts w:hint="eastAsia"/>
                <w:b w:val="0"/>
                <w:bCs w:val="0"/>
                <w:color w:val="auto"/>
                <w:kern w:val="0"/>
                <w:sz w:val="24"/>
                <w:lang w:bidi="ar"/>
              </w:rPr>
              <w:t>②</w:t>
            </w:r>
            <w:r>
              <w:rPr>
                <w:rFonts w:hint="eastAsia"/>
                <w:b w:val="0"/>
                <w:bCs w:val="0"/>
                <w:color w:val="auto"/>
                <w:sz w:val="24"/>
                <w:lang w:val="en-US" w:eastAsia="zh-CN"/>
              </w:rPr>
              <w:t>排土场已形成平台及边坡</w:t>
            </w:r>
            <w:r>
              <w:rPr>
                <w:b w:val="0"/>
                <w:bCs w:val="0"/>
                <w:color w:val="auto"/>
                <w:sz w:val="24"/>
              </w:rPr>
              <w:t>复垦工程设计</w:t>
            </w:r>
          </w:p>
          <w:p w14:paraId="6B01EC97">
            <w:pPr>
              <w:keepNext w:val="0"/>
              <w:keepLines w:val="0"/>
              <w:pageBreakBefore w:val="0"/>
              <w:kinsoku/>
              <w:wordWrap/>
              <w:overflowPunct/>
              <w:topLinePunct w:val="0"/>
              <w:autoSpaceDE/>
              <w:autoSpaceDN/>
              <w:bidi w:val="0"/>
              <w:adjustRightInd w:val="0"/>
              <w:snapToGrid w:val="0"/>
              <w:spacing w:line="480" w:lineRule="exact"/>
              <w:ind w:firstLine="480" w:firstLineChars="200"/>
              <w:textAlignment w:val="auto"/>
              <w:rPr>
                <w:bCs/>
                <w:color w:val="auto"/>
                <w:sz w:val="24"/>
              </w:rPr>
            </w:pPr>
            <w:r>
              <w:rPr>
                <w:rFonts w:hint="eastAsia" w:ascii="Times New Roman" w:hAnsi="Times New Roman" w:eastAsia="宋体" w:cs="Times New Roman"/>
                <w:color w:val="auto"/>
                <w:kern w:val="0"/>
                <w:sz w:val="24"/>
                <w:szCs w:val="24"/>
                <w:lang w:val="en-US" w:eastAsia="zh-CN" w:bidi="ar"/>
              </w:rPr>
              <w:t>排土场已</w:t>
            </w:r>
            <w:r>
              <w:rPr>
                <w:rFonts w:hint="default" w:ascii="Times New Roman" w:hAnsi="Times New Roman" w:eastAsia="宋体" w:cs="Times New Roman"/>
                <w:color w:val="auto"/>
                <w:kern w:val="0"/>
                <w:sz w:val="24"/>
                <w:szCs w:val="24"/>
                <w:lang w:val="en-US" w:eastAsia="zh-CN" w:bidi="ar"/>
              </w:rPr>
              <w:t>形成</w:t>
            </w:r>
            <w:r>
              <w:rPr>
                <w:rFonts w:hint="eastAsia" w:ascii="Times New Roman" w:hAnsi="Times New Roman" w:cs="Times New Roman"/>
                <w:color w:val="auto"/>
                <w:kern w:val="0"/>
                <w:sz w:val="24"/>
                <w:szCs w:val="24"/>
                <w:lang w:val="en-US" w:eastAsia="zh-CN" w:bidi="ar"/>
              </w:rPr>
              <w:t>2个</w:t>
            </w:r>
            <w:r>
              <w:rPr>
                <w:rFonts w:hint="default" w:ascii="Times New Roman" w:hAnsi="Times New Roman" w:eastAsia="宋体" w:cs="Times New Roman"/>
                <w:color w:val="auto"/>
                <w:kern w:val="0"/>
                <w:sz w:val="24"/>
                <w:szCs w:val="24"/>
                <w:lang w:val="en-US" w:eastAsia="zh-CN" w:bidi="ar"/>
              </w:rPr>
              <w:t>排土平台</w:t>
            </w:r>
            <w:r>
              <w:rPr>
                <w:rFonts w:hint="eastAsia" w:ascii="Times New Roman" w:hAnsi="Times New Roman" w:eastAsia="宋体" w:cs="Times New Roman"/>
                <w:color w:val="auto"/>
                <w:kern w:val="0"/>
                <w:sz w:val="24"/>
                <w:szCs w:val="24"/>
                <w:lang w:val="en-US" w:eastAsia="zh-CN" w:bidi="ar"/>
              </w:rPr>
              <w:t>及边坡需进行生态恢复，恢复总面积1.3976</w:t>
            </w:r>
            <w:r>
              <w:rPr>
                <w:color w:val="auto"/>
                <w:sz w:val="24"/>
              </w:rPr>
              <w:t>hm</w:t>
            </w:r>
            <w:r>
              <w:rPr>
                <w:color w:val="auto"/>
                <w:sz w:val="24"/>
                <w:vertAlign w:val="superscript"/>
              </w:rPr>
              <w:t>2</w:t>
            </w:r>
            <w:r>
              <w:rPr>
                <w:rFonts w:hint="eastAsia"/>
                <w:color w:val="auto"/>
                <w:sz w:val="24"/>
                <w:vertAlign w:val="baseline"/>
                <w:lang w:eastAsia="zh-CN"/>
              </w:rPr>
              <w:t>，</w:t>
            </w:r>
            <w:r>
              <w:rPr>
                <w:rFonts w:hint="default" w:ascii="Times New Roman" w:hAnsi="Times New Roman" w:eastAsia="宋体" w:cs="Times New Roman"/>
                <w:color w:val="auto"/>
                <w:kern w:val="0"/>
                <w:sz w:val="24"/>
                <w:szCs w:val="24"/>
                <w:lang w:val="en-US" w:eastAsia="zh-CN" w:bidi="ar"/>
              </w:rPr>
              <w:t>排土平台</w:t>
            </w:r>
            <w:r>
              <w:rPr>
                <w:rFonts w:hint="eastAsia" w:ascii="Times New Roman" w:hAnsi="Times New Roman" w:eastAsia="宋体" w:cs="Times New Roman"/>
                <w:color w:val="auto"/>
                <w:kern w:val="0"/>
                <w:sz w:val="24"/>
                <w:szCs w:val="24"/>
                <w:lang w:val="en-US" w:eastAsia="zh-CN" w:bidi="ar"/>
              </w:rPr>
              <w:t>恢复面积0.26</w:t>
            </w:r>
            <w:r>
              <w:rPr>
                <w:color w:val="auto"/>
                <w:sz w:val="24"/>
              </w:rPr>
              <w:t>hm</w:t>
            </w:r>
            <w:r>
              <w:rPr>
                <w:color w:val="auto"/>
                <w:sz w:val="24"/>
                <w:vertAlign w:val="superscript"/>
              </w:rPr>
              <w:t>2</w:t>
            </w:r>
            <w:r>
              <w:rPr>
                <w:rFonts w:hint="eastAsia"/>
                <w:color w:val="auto"/>
                <w:sz w:val="24"/>
                <w:vertAlign w:val="baseline"/>
                <w:lang w:eastAsia="zh-CN"/>
              </w:rPr>
              <w:t>，</w:t>
            </w:r>
            <w:r>
              <w:rPr>
                <w:rFonts w:hint="eastAsia" w:ascii="Times New Roman" w:hAnsi="Times New Roman" w:eastAsia="宋体" w:cs="Times New Roman"/>
                <w:color w:val="auto"/>
                <w:kern w:val="0"/>
                <w:sz w:val="24"/>
                <w:szCs w:val="24"/>
                <w:lang w:val="en-US" w:eastAsia="zh-CN" w:bidi="ar"/>
              </w:rPr>
              <w:t>边坡恢复面积1.1376</w:t>
            </w:r>
            <w:r>
              <w:rPr>
                <w:color w:val="auto"/>
                <w:sz w:val="24"/>
              </w:rPr>
              <w:t>hm</w:t>
            </w:r>
            <w:r>
              <w:rPr>
                <w:color w:val="auto"/>
                <w:sz w:val="24"/>
                <w:vertAlign w:val="superscript"/>
              </w:rPr>
              <w:t>2</w:t>
            </w:r>
            <w:r>
              <w:rPr>
                <w:bCs/>
                <w:color w:val="auto"/>
                <w:sz w:val="24"/>
              </w:rPr>
              <w:t>。根据适宜性评价，</w:t>
            </w:r>
            <w:r>
              <w:rPr>
                <w:rFonts w:hint="eastAsia"/>
                <w:b w:val="0"/>
                <w:bCs w:val="0"/>
                <w:color w:val="auto"/>
                <w:sz w:val="24"/>
                <w:lang w:val="en-US" w:eastAsia="zh-CN"/>
              </w:rPr>
              <w:t>排土场已形成平台</w:t>
            </w:r>
            <w:r>
              <w:rPr>
                <w:color w:val="auto"/>
                <w:sz w:val="24"/>
              </w:rPr>
              <w:t>复垦为乔木林地</w:t>
            </w:r>
            <w:r>
              <w:rPr>
                <w:bCs/>
                <w:color w:val="auto"/>
                <w:sz w:val="24"/>
              </w:rPr>
              <w:t>，</w:t>
            </w:r>
            <w:r>
              <w:rPr>
                <w:rFonts w:hint="eastAsia"/>
                <w:b w:val="0"/>
                <w:bCs w:val="0"/>
                <w:color w:val="auto"/>
                <w:sz w:val="24"/>
                <w:lang w:val="en-US" w:eastAsia="zh-CN"/>
              </w:rPr>
              <w:t>排土场已形成</w:t>
            </w:r>
            <w:r>
              <w:rPr>
                <w:rFonts w:hint="eastAsia" w:ascii="Times New Roman" w:hAnsi="Times New Roman" w:eastAsia="宋体" w:cs="Times New Roman"/>
                <w:color w:val="auto"/>
                <w:kern w:val="0"/>
                <w:sz w:val="24"/>
                <w:szCs w:val="24"/>
                <w:lang w:val="en-US" w:eastAsia="zh-CN" w:bidi="ar"/>
              </w:rPr>
              <w:t>边坡</w:t>
            </w:r>
            <w:r>
              <w:rPr>
                <w:color w:val="auto"/>
                <w:sz w:val="24"/>
              </w:rPr>
              <w:t>复垦为</w:t>
            </w:r>
            <w:r>
              <w:rPr>
                <w:rFonts w:hint="eastAsia"/>
                <w:color w:val="auto"/>
                <w:sz w:val="24"/>
                <w:lang w:val="en-US" w:eastAsia="zh-CN"/>
              </w:rPr>
              <w:t>灌木</w:t>
            </w:r>
            <w:r>
              <w:rPr>
                <w:color w:val="auto"/>
                <w:sz w:val="24"/>
              </w:rPr>
              <w:t>林地</w:t>
            </w:r>
            <w:r>
              <w:rPr>
                <w:bCs/>
                <w:color w:val="auto"/>
                <w:sz w:val="24"/>
              </w:rPr>
              <w:t>，复垦措施主要为覆土</w:t>
            </w:r>
            <w:r>
              <w:rPr>
                <w:rFonts w:hint="eastAsia"/>
                <w:bCs/>
                <w:color w:val="auto"/>
                <w:sz w:val="24"/>
                <w:lang w:eastAsia="zh-CN"/>
              </w:rPr>
              <w:t>，</w:t>
            </w:r>
            <w:r>
              <w:rPr>
                <w:color w:val="auto"/>
                <w:sz w:val="24"/>
              </w:rPr>
              <w:t>种植乔木</w:t>
            </w:r>
            <w:r>
              <w:rPr>
                <w:rFonts w:hint="eastAsia"/>
                <w:color w:val="auto"/>
                <w:sz w:val="24"/>
                <w:lang w:eastAsia="zh-CN"/>
              </w:rPr>
              <w:t>、</w:t>
            </w:r>
            <w:r>
              <w:rPr>
                <w:rFonts w:hint="eastAsia"/>
                <w:color w:val="auto"/>
                <w:sz w:val="24"/>
                <w:lang w:val="en-US" w:eastAsia="zh-CN"/>
              </w:rPr>
              <w:t>灌木</w:t>
            </w:r>
            <w:r>
              <w:rPr>
                <w:color w:val="auto"/>
                <w:sz w:val="24"/>
              </w:rPr>
              <w:t>及撒播草籽</w:t>
            </w:r>
            <w:r>
              <w:rPr>
                <w:bCs/>
                <w:color w:val="auto"/>
                <w:sz w:val="24"/>
              </w:rPr>
              <w:t>。</w:t>
            </w:r>
          </w:p>
          <w:p w14:paraId="62AAA7F7">
            <w:pPr>
              <w:keepNext w:val="0"/>
              <w:keepLines w:val="0"/>
              <w:pageBreakBefore w:val="0"/>
              <w:kinsoku/>
              <w:wordWrap/>
              <w:overflowPunct/>
              <w:topLinePunct w:val="0"/>
              <w:autoSpaceDE/>
              <w:autoSpaceDN/>
              <w:bidi w:val="0"/>
              <w:adjustRightInd w:val="0"/>
              <w:snapToGrid w:val="0"/>
              <w:spacing w:line="480" w:lineRule="exact"/>
              <w:ind w:left="480"/>
              <w:textAlignment w:val="auto"/>
              <w:rPr>
                <w:bCs/>
                <w:color w:val="auto"/>
                <w:sz w:val="24"/>
              </w:rPr>
            </w:pPr>
            <w:r>
              <w:rPr>
                <w:rFonts w:hint="eastAsia"/>
                <w:bCs/>
                <w:color w:val="auto"/>
                <w:sz w:val="24"/>
              </w:rPr>
              <w:t>a.</w:t>
            </w:r>
            <w:r>
              <w:rPr>
                <w:bCs/>
                <w:color w:val="auto"/>
                <w:sz w:val="24"/>
              </w:rPr>
              <w:t>覆土工程设计</w:t>
            </w:r>
          </w:p>
          <w:p w14:paraId="421F11C4">
            <w:pPr>
              <w:keepNext w:val="0"/>
              <w:keepLines w:val="0"/>
              <w:pageBreakBefore w:val="0"/>
              <w:kinsoku/>
              <w:wordWrap/>
              <w:overflowPunct/>
              <w:topLinePunct w:val="0"/>
              <w:autoSpaceDE/>
              <w:autoSpaceDN/>
              <w:bidi w:val="0"/>
              <w:adjustRightInd w:val="0"/>
              <w:snapToGrid w:val="0"/>
              <w:spacing w:line="480" w:lineRule="exact"/>
              <w:ind w:firstLine="480" w:firstLineChars="200"/>
              <w:textAlignment w:val="auto"/>
              <w:rPr>
                <w:bCs/>
                <w:color w:val="auto"/>
                <w:sz w:val="24"/>
              </w:rPr>
            </w:pPr>
            <w:r>
              <w:rPr>
                <w:bCs/>
                <w:color w:val="auto"/>
                <w:sz w:val="24"/>
              </w:rPr>
              <w:t>复垦为乔木林地的覆土厚度为0.8m，复垦为灌木林地的覆土厚度为0.5m，露天采场覆土土源来自</w:t>
            </w:r>
            <w:r>
              <w:rPr>
                <w:rFonts w:hint="eastAsia"/>
                <w:bCs/>
                <w:color w:val="auto"/>
                <w:sz w:val="24"/>
                <w:lang w:val="en-US" w:eastAsia="zh-CN"/>
              </w:rPr>
              <w:t>排土场</w:t>
            </w:r>
            <w:r>
              <w:rPr>
                <w:bCs/>
                <w:color w:val="auto"/>
                <w:sz w:val="24"/>
              </w:rPr>
              <w:t>。覆土量共计</w:t>
            </w:r>
            <w:r>
              <w:rPr>
                <w:rFonts w:hint="eastAsia"/>
                <w:bCs/>
                <w:color w:val="auto"/>
                <w:sz w:val="24"/>
                <w:lang w:val="en-US" w:eastAsia="zh-CN"/>
              </w:rPr>
              <w:t>0.7768</w:t>
            </w:r>
            <w:r>
              <w:rPr>
                <w:bCs/>
                <w:color w:val="auto"/>
                <w:sz w:val="24"/>
              </w:rPr>
              <w:t>万m</w:t>
            </w:r>
            <w:r>
              <w:rPr>
                <w:bCs/>
                <w:color w:val="auto"/>
                <w:sz w:val="24"/>
                <w:vertAlign w:val="superscript"/>
              </w:rPr>
              <w:t>3</w:t>
            </w:r>
            <w:r>
              <w:rPr>
                <w:bCs/>
                <w:color w:val="auto"/>
                <w:sz w:val="24"/>
              </w:rPr>
              <w:t>。</w:t>
            </w:r>
          </w:p>
          <w:p w14:paraId="7A6E3C75">
            <w:pPr>
              <w:keepNext w:val="0"/>
              <w:keepLines w:val="0"/>
              <w:pageBreakBefore w:val="0"/>
              <w:kinsoku/>
              <w:wordWrap/>
              <w:overflowPunct/>
              <w:topLinePunct w:val="0"/>
              <w:autoSpaceDE/>
              <w:autoSpaceDN/>
              <w:bidi w:val="0"/>
              <w:adjustRightInd w:val="0"/>
              <w:snapToGrid w:val="0"/>
              <w:spacing w:line="480" w:lineRule="exact"/>
              <w:ind w:firstLine="480" w:firstLineChars="200"/>
              <w:textAlignment w:val="auto"/>
              <w:rPr>
                <w:bCs/>
                <w:color w:val="auto"/>
                <w:sz w:val="24"/>
              </w:rPr>
            </w:pPr>
            <w:r>
              <w:rPr>
                <w:bCs/>
                <w:color w:val="auto"/>
                <w:sz w:val="24"/>
              </w:rPr>
              <w:t>b</w:t>
            </w:r>
            <w:r>
              <w:rPr>
                <w:rFonts w:hint="eastAsia"/>
                <w:bCs/>
                <w:color w:val="auto"/>
                <w:sz w:val="24"/>
              </w:rPr>
              <w:t>.</w:t>
            </w:r>
            <w:r>
              <w:rPr>
                <w:bCs/>
                <w:color w:val="auto"/>
                <w:sz w:val="24"/>
              </w:rPr>
              <w:t>生态复垦设计</w:t>
            </w:r>
          </w:p>
          <w:p w14:paraId="1DCEF66C">
            <w:pPr>
              <w:keepNext w:val="0"/>
              <w:keepLines w:val="0"/>
              <w:pageBreakBefore w:val="0"/>
              <w:kinsoku/>
              <w:wordWrap/>
              <w:overflowPunct/>
              <w:topLinePunct w:val="0"/>
              <w:autoSpaceDE/>
              <w:autoSpaceDN/>
              <w:bidi w:val="0"/>
              <w:adjustRightInd w:val="0"/>
              <w:snapToGrid w:val="0"/>
              <w:spacing w:line="480" w:lineRule="exact"/>
              <w:ind w:firstLine="480" w:firstLineChars="200"/>
              <w:textAlignment w:val="auto"/>
              <w:rPr>
                <w:rFonts w:hint="eastAsia"/>
                <w:b w:val="0"/>
                <w:bCs w:val="0"/>
                <w:color w:val="auto"/>
                <w:kern w:val="0"/>
                <w:sz w:val="24"/>
                <w:lang w:bidi="ar"/>
              </w:rPr>
            </w:pPr>
            <w:r>
              <w:rPr>
                <w:rFonts w:hint="default" w:ascii="Times New Roman" w:hAnsi="Times New Roman" w:eastAsia="宋体" w:cs="Times New Roman"/>
                <w:color w:val="auto"/>
                <w:kern w:val="0"/>
                <w:sz w:val="24"/>
                <w:szCs w:val="24"/>
                <w:lang w:val="en-US" w:eastAsia="zh-CN" w:bidi="ar"/>
              </w:rPr>
              <w:t>排土平台</w:t>
            </w:r>
            <w:r>
              <w:rPr>
                <w:color w:val="auto"/>
                <w:sz w:val="24"/>
              </w:rPr>
              <w:t>复垦为乔木林地</w:t>
            </w:r>
            <w:r>
              <w:rPr>
                <w:rFonts w:hint="eastAsia"/>
                <w:color w:val="auto"/>
                <w:sz w:val="24"/>
              </w:rPr>
              <w:t>，</w:t>
            </w:r>
            <w:r>
              <w:rPr>
                <w:bCs/>
                <w:color w:val="auto"/>
                <w:sz w:val="24"/>
              </w:rPr>
              <w:t>乔木为5年生油松，株行距为2m×3m，种植密度为1667株/hm</w:t>
            </w:r>
            <w:r>
              <w:rPr>
                <w:bCs/>
                <w:color w:val="auto"/>
                <w:sz w:val="24"/>
                <w:vertAlign w:val="superscript"/>
              </w:rPr>
              <w:t>2</w:t>
            </w:r>
            <w:r>
              <w:rPr>
                <w:bCs/>
                <w:color w:val="auto"/>
                <w:sz w:val="24"/>
              </w:rPr>
              <w:t>，整地方式与规格为圆形穴坑整地，采用0.6×0.6×0.6m的圆穴。林下撒播草籽，草种选择紫花苜蓿和披碱草，种植密度各15kg/hm</w:t>
            </w:r>
            <w:r>
              <w:rPr>
                <w:bCs/>
                <w:color w:val="auto"/>
                <w:sz w:val="24"/>
                <w:vertAlign w:val="superscript"/>
              </w:rPr>
              <w:t>2</w:t>
            </w:r>
            <w:r>
              <w:rPr>
                <w:color w:val="auto"/>
                <w:sz w:val="24"/>
              </w:rPr>
              <w:t>。</w:t>
            </w:r>
            <w:r>
              <w:rPr>
                <w:rFonts w:hint="eastAsia" w:ascii="Times New Roman" w:hAnsi="Times New Roman" w:eastAsia="宋体" w:cs="Times New Roman"/>
                <w:color w:val="auto"/>
                <w:kern w:val="0"/>
                <w:sz w:val="24"/>
                <w:szCs w:val="24"/>
                <w:lang w:val="en-US" w:eastAsia="zh-CN" w:bidi="ar"/>
              </w:rPr>
              <w:t>边坡</w:t>
            </w:r>
            <w:r>
              <w:rPr>
                <w:color w:val="auto"/>
                <w:sz w:val="24"/>
              </w:rPr>
              <w:t>复垦为</w:t>
            </w:r>
            <w:r>
              <w:rPr>
                <w:rFonts w:hint="eastAsia"/>
                <w:color w:val="auto"/>
                <w:sz w:val="24"/>
              </w:rPr>
              <w:t>灌木</w:t>
            </w:r>
            <w:r>
              <w:rPr>
                <w:color w:val="auto"/>
                <w:sz w:val="24"/>
              </w:rPr>
              <w:t>林地</w:t>
            </w:r>
            <w:r>
              <w:rPr>
                <w:rFonts w:hint="eastAsia"/>
                <w:color w:val="auto"/>
                <w:sz w:val="24"/>
                <w:lang w:eastAsia="zh-CN"/>
              </w:rPr>
              <w:t>，</w:t>
            </w:r>
            <w:r>
              <w:rPr>
                <w:bCs/>
                <w:color w:val="auto"/>
                <w:sz w:val="24"/>
              </w:rPr>
              <w:t>灌木选择3年生紫穗槐，株行距为1m×1m，种植密度为10000株/hm</w:t>
            </w:r>
            <w:r>
              <w:rPr>
                <w:bCs/>
                <w:color w:val="auto"/>
                <w:sz w:val="24"/>
                <w:vertAlign w:val="superscript"/>
              </w:rPr>
              <w:t>2</w:t>
            </w:r>
            <w:r>
              <w:rPr>
                <w:bCs/>
                <w:color w:val="auto"/>
                <w:sz w:val="24"/>
              </w:rPr>
              <w:t>，整地方式与规格为圆形穴坑整地，采用0.3×0.3×0.3m的圆穴。并撒播紫花苜蓿和披碱草，撒播量为30kg/hm</w:t>
            </w:r>
            <w:r>
              <w:rPr>
                <w:bCs/>
                <w:color w:val="auto"/>
                <w:sz w:val="24"/>
                <w:vertAlign w:val="superscript"/>
              </w:rPr>
              <w:t>2</w:t>
            </w:r>
            <w:r>
              <w:rPr>
                <w:rFonts w:hint="eastAsia"/>
                <w:bCs/>
                <w:color w:val="auto"/>
                <w:sz w:val="24"/>
                <w:vertAlign w:val="baseline"/>
                <w:lang w:eastAsia="zh-CN"/>
              </w:rPr>
              <w:t>。</w:t>
            </w:r>
          </w:p>
          <w:p w14:paraId="5E114378">
            <w:pPr>
              <w:pStyle w:val="81"/>
              <w:keepNext w:val="0"/>
              <w:keepLines w:val="0"/>
              <w:pageBreakBefore w:val="0"/>
              <w:kinsoku/>
              <w:wordWrap/>
              <w:overflowPunct/>
              <w:topLinePunct w:val="0"/>
              <w:autoSpaceDE/>
              <w:autoSpaceDN/>
              <w:bidi w:val="0"/>
              <w:adjustRightInd/>
              <w:snapToGrid/>
              <w:ind w:firstLine="0"/>
              <w:jc w:val="center"/>
              <w:textAlignment w:val="auto"/>
              <w:rPr>
                <w:rFonts w:ascii="宋体" w:hAnsi="宋体" w:eastAsia="宋体" w:cs="宋体"/>
                <w:color w:val="auto"/>
                <w:szCs w:val="21"/>
                <w:lang w:val="zh-CN" w:bidi="ar"/>
              </w:rPr>
            </w:pPr>
            <w:r>
              <w:rPr>
                <w:rFonts w:hint="eastAsia" w:ascii="宋体" w:hAnsi="宋体" w:eastAsia="宋体" w:cs="宋体"/>
                <w:color w:val="auto"/>
                <w:szCs w:val="21"/>
                <w:lang w:val="zh-CN" w:bidi="ar"/>
              </w:rPr>
              <w:t>表</w:t>
            </w:r>
            <w:r>
              <w:rPr>
                <w:rFonts w:eastAsia="宋体"/>
                <w:color w:val="auto"/>
                <w:szCs w:val="21"/>
                <w:lang w:bidi="ar"/>
              </w:rPr>
              <w:t>5-</w:t>
            </w:r>
            <w:r>
              <w:rPr>
                <w:rFonts w:hint="eastAsia" w:eastAsia="宋体"/>
                <w:color w:val="auto"/>
                <w:szCs w:val="21"/>
                <w:lang w:val="en-US" w:eastAsia="zh-CN" w:bidi="ar"/>
              </w:rPr>
              <w:t>6</w:t>
            </w:r>
            <w:r>
              <w:rPr>
                <w:rFonts w:hint="eastAsia" w:ascii="宋体" w:hAnsi="宋体" w:eastAsia="宋体" w:cs="宋体"/>
                <w:color w:val="auto"/>
                <w:szCs w:val="21"/>
                <w:lang w:val="zh-CN" w:bidi="ar"/>
              </w:rPr>
              <w:t xml:space="preserve">  排土场已形成平台植物措施配置表</w:t>
            </w:r>
          </w:p>
          <w:tbl>
            <w:tblPr>
              <w:tblStyle w:val="29"/>
              <w:tblW w:w="4998" w:type="pct"/>
              <w:tblInd w:w="0" w:type="dxa"/>
              <w:tblLayout w:type="autofit"/>
              <w:tblCellMar>
                <w:top w:w="0" w:type="dxa"/>
                <w:left w:w="108" w:type="dxa"/>
                <w:bottom w:w="0" w:type="dxa"/>
                <w:right w:w="108" w:type="dxa"/>
              </w:tblCellMar>
            </w:tblPr>
            <w:tblGrid>
              <w:gridCol w:w="1086"/>
              <w:gridCol w:w="1165"/>
              <w:gridCol w:w="1088"/>
              <w:gridCol w:w="1086"/>
              <w:gridCol w:w="1132"/>
              <w:gridCol w:w="1526"/>
              <w:gridCol w:w="1086"/>
            </w:tblGrid>
            <w:tr w14:paraId="2ED268AB">
              <w:tblPrEx>
                <w:tblCellMar>
                  <w:top w:w="0" w:type="dxa"/>
                  <w:left w:w="108" w:type="dxa"/>
                  <w:bottom w:w="0" w:type="dxa"/>
                  <w:right w:w="108" w:type="dxa"/>
                </w:tblCellMar>
              </w:tblPrEx>
              <w:trPr>
                <w:trHeight w:val="315" w:hRule="atLeast"/>
              </w:trPr>
              <w:tc>
                <w:tcPr>
                  <w:tcW w:w="66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3EE07DE">
                  <w:pPr>
                    <w:widowControl/>
                    <w:jc w:val="center"/>
                    <w:textAlignment w:val="center"/>
                    <w:rPr>
                      <w:color w:val="auto"/>
                      <w:szCs w:val="21"/>
                    </w:rPr>
                  </w:pPr>
                  <w:r>
                    <w:rPr>
                      <w:color w:val="auto"/>
                      <w:kern w:val="0"/>
                      <w:szCs w:val="21"/>
                      <w:lang w:bidi="ar"/>
                    </w:rPr>
                    <w:t>编号</w:t>
                  </w:r>
                </w:p>
              </w:tc>
              <w:tc>
                <w:tcPr>
                  <w:tcW w:w="71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7BD5473">
                  <w:pPr>
                    <w:widowControl/>
                    <w:jc w:val="center"/>
                    <w:textAlignment w:val="center"/>
                    <w:rPr>
                      <w:color w:val="auto"/>
                      <w:szCs w:val="21"/>
                    </w:rPr>
                  </w:pPr>
                  <w:r>
                    <w:rPr>
                      <w:color w:val="auto"/>
                      <w:kern w:val="0"/>
                      <w:szCs w:val="21"/>
                      <w:lang w:bidi="ar"/>
                    </w:rPr>
                    <w:t>树种或草种</w:t>
                  </w:r>
                </w:p>
              </w:tc>
              <w:tc>
                <w:tcPr>
                  <w:tcW w:w="66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FB40004">
                  <w:pPr>
                    <w:widowControl/>
                    <w:jc w:val="center"/>
                    <w:textAlignment w:val="center"/>
                    <w:rPr>
                      <w:color w:val="auto"/>
                      <w:szCs w:val="21"/>
                    </w:rPr>
                  </w:pPr>
                  <w:r>
                    <w:rPr>
                      <w:color w:val="auto"/>
                      <w:kern w:val="0"/>
                      <w:szCs w:val="21"/>
                      <w:lang w:bidi="ar"/>
                    </w:rPr>
                    <w:t>株行距（m</w:t>
                  </w:r>
                  <w:r>
                    <w:rPr>
                      <w:rFonts w:hint="eastAsia" w:ascii="宋体" w:hAnsi="宋体" w:cs="宋体"/>
                      <w:color w:val="auto"/>
                      <w:kern w:val="0"/>
                      <w:szCs w:val="21"/>
                      <w:lang w:bidi="ar"/>
                    </w:rPr>
                    <w:t>）</w:t>
                  </w:r>
                </w:p>
              </w:tc>
              <w:tc>
                <w:tcPr>
                  <w:tcW w:w="66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5B54FB5">
                  <w:pPr>
                    <w:widowControl/>
                    <w:jc w:val="center"/>
                    <w:textAlignment w:val="center"/>
                    <w:rPr>
                      <w:color w:val="auto"/>
                      <w:szCs w:val="21"/>
                    </w:rPr>
                  </w:pPr>
                  <w:r>
                    <w:rPr>
                      <w:color w:val="auto"/>
                      <w:kern w:val="0"/>
                      <w:szCs w:val="21"/>
                      <w:lang w:bidi="ar"/>
                    </w:rPr>
                    <w:t>植树密度/</w:t>
                  </w:r>
                  <w:r>
                    <w:rPr>
                      <w:rFonts w:hint="eastAsia" w:ascii="宋体" w:hAnsi="宋体" w:cs="宋体"/>
                      <w:color w:val="auto"/>
                      <w:kern w:val="0"/>
                      <w:szCs w:val="21"/>
                      <w:lang w:bidi="ar"/>
                    </w:rPr>
                    <w:t>播种量</w:t>
                  </w:r>
                </w:p>
              </w:tc>
              <w:tc>
                <w:tcPr>
                  <w:tcW w:w="69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F35EEF1">
                  <w:pPr>
                    <w:widowControl/>
                    <w:jc w:val="center"/>
                    <w:textAlignment w:val="center"/>
                    <w:rPr>
                      <w:color w:val="auto"/>
                      <w:szCs w:val="21"/>
                    </w:rPr>
                  </w:pPr>
                  <w:r>
                    <w:rPr>
                      <w:color w:val="auto"/>
                      <w:kern w:val="0"/>
                      <w:szCs w:val="21"/>
                      <w:lang w:bidi="ar"/>
                    </w:rPr>
                    <w:t>种植面积（ hm</w:t>
                  </w:r>
                  <w:r>
                    <w:rPr>
                      <w:color w:val="auto"/>
                      <w:kern w:val="0"/>
                      <w:szCs w:val="21"/>
                      <w:vertAlign w:val="superscript"/>
                      <w:lang w:bidi="ar"/>
                    </w:rPr>
                    <w:t>2</w:t>
                  </w:r>
                  <w:r>
                    <w:rPr>
                      <w:rFonts w:hint="eastAsia" w:ascii="宋体" w:hAnsi="宋体" w:cs="宋体"/>
                      <w:color w:val="auto"/>
                      <w:kern w:val="0"/>
                      <w:szCs w:val="21"/>
                      <w:lang w:bidi="ar"/>
                    </w:rPr>
                    <w:t>）</w:t>
                  </w:r>
                </w:p>
              </w:tc>
              <w:tc>
                <w:tcPr>
                  <w:tcW w:w="9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1AF3CD">
                  <w:pPr>
                    <w:widowControl/>
                    <w:jc w:val="center"/>
                    <w:textAlignment w:val="center"/>
                    <w:rPr>
                      <w:color w:val="auto"/>
                      <w:szCs w:val="21"/>
                    </w:rPr>
                  </w:pPr>
                  <w:r>
                    <w:rPr>
                      <w:color w:val="auto"/>
                      <w:kern w:val="0"/>
                      <w:szCs w:val="21"/>
                      <w:lang w:bidi="ar"/>
                    </w:rPr>
                    <w:t>种植</w:t>
                  </w:r>
                </w:p>
              </w:tc>
              <w:tc>
                <w:tcPr>
                  <w:tcW w:w="66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A6EC088">
                  <w:pPr>
                    <w:widowControl/>
                    <w:jc w:val="center"/>
                    <w:textAlignment w:val="center"/>
                    <w:rPr>
                      <w:color w:val="auto"/>
                      <w:szCs w:val="21"/>
                    </w:rPr>
                  </w:pPr>
                  <w:r>
                    <w:rPr>
                      <w:color w:val="auto"/>
                      <w:kern w:val="0"/>
                      <w:szCs w:val="21"/>
                      <w:lang w:bidi="ar"/>
                    </w:rPr>
                    <w:t>播种方式</w:t>
                  </w:r>
                </w:p>
              </w:tc>
            </w:tr>
            <w:tr w14:paraId="24B23279">
              <w:tblPrEx>
                <w:tblCellMar>
                  <w:top w:w="0" w:type="dxa"/>
                  <w:left w:w="108" w:type="dxa"/>
                  <w:bottom w:w="0" w:type="dxa"/>
                  <w:right w:w="108" w:type="dxa"/>
                </w:tblCellMar>
              </w:tblPrEx>
              <w:trPr>
                <w:trHeight w:val="315" w:hRule="atLeast"/>
              </w:trPr>
              <w:tc>
                <w:tcPr>
                  <w:tcW w:w="6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1F57BF">
                  <w:pPr>
                    <w:jc w:val="center"/>
                    <w:rPr>
                      <w:color w:val="auto"/>
                      <w:szCs w:val="21"/>
                    </w:rPr>
                  </w:pPr>
                </w:p>
              </w:tc>
              <w:tc>
                <w:tcPr>
                  <w:tcW w:w="71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1FC167">
                  <w:pPr>
                    <w:jc w:val="center"/>
                    <w:rPr>
                      <w:color w:val="auto"/>
                      <w:szCs w:val="21"/>
                    </w:rPr>
                  </w:pPr>
                </w:p>
              </w:tc>
              <w:tc>
                <w:tcPr>
                  <w:tcW w:w="6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4ECCAD">
                  <w:pPr>
                    <w:jc w:val="center"/>
                    <w:rPr>
                      <w:color w:val="auto"/>
                      <w:szCs w:val="21"/>
                    </w:rPr>
                  </w:pPr>
                </w:p>
              </w:tc>
              <w:tc>
                <w:tcPr>
                  <w:tcW w:w="6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CE2571">
                  <w:pPr>
                    <w:jc w:val="center"/>
                    <w:rPr>
                      <w:color w:val="auto"/>
                      <w:szCs w:val="21"/>
                    </w:rPr>
                  </w:pPr>
                </w:p>
              </w:tc>
              <w:tc>
                <w:tcPr>
                  <w:tcW w:w="6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26B9B1">
                  <w:pPr>
                    <w:jc w:val="center"/>
                    <w:rPr>
                      <w:color w:val="auto"/>
                      <w:szCs w:val="21"/>
                    </w:rPr>
                  </w:pPr>
                </w:p>
              </w:tc>
              <w:tc>
                <w:tcPr>
                  <w:tcW w:w="9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8D21C6">
                  <w:pPr>
                    <w:widowControl/>
                    <w:jc w:val="center"/>
                    <w:textAlignment w:val="center"/>
                    <w:rPr>
                      <w:color w:val="auto"/>
                      <w:szCs w:val="21"/>
                    </w:rPr>
                  </w:pPr>
                  <w:r>
                    <w:rPr>
                      <w:color w:val="auto"/>
                      <w:kern w:val="0"/>
                      <w:szCs w:val="21"/>
                      <w:lang w:bidi="ar"/>
                    </w:rPr>
                    <w:t>数量</w:t>
                  </w:r>
                </w:p>
              </w:tc>
              <w:tc>
                <w:tcPr>
                  <w:tcW w:w="6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E417FE">
                  <w:pPr>
                    <w:jc w:val="center"/>
                    <w:rPr>
                      <w:color w:val="auto"/>
                      <w:szCs w:val="21"/>
                    </w:rPr>
                  </w:pPr>
                </w:p>
              </w:tc>
            </w:tr>
            <w:tr w14:paraId="09687888">
              <w:tblPrEx>
                <w:tblCellMar>
                  <w:top w:w="0" w:type="dxa"/>
                  <w:left w:w="108" w:type="dxa"/>
                  <w:bottom w:w="0" w:type="dxa"/>
                  <w:right w:w="108" w:type="dxa"/>
                </w:tblCellMar>
              </w:tblPrEx>
              <w:trPr>
                <w:trHeight w:val="315" w:hRule="atLeast"/>
              </w:trPr>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A75A16">
                  <w:pPr>
                    <w:widowControl/>
                    <w:jc w:val="center"/>
                    <w:textAlignment w:val="center"/>
                    <w:rPr>
                      <w:color w:val="auto"/>
                      <w:szCs w:val="21"/>
                    </w:rPr>
                  </w:pPr>
                  <w:r>
                    <w:rPr>
                      <w:color w:val="auto"/>
                      <w:kern w:val="0"/>
                      <w:szCs w:val="21"/>
                      <w:lang w:bidi="ar"/>
                    </w:rPr>
                    <w:t>1</w:t>
                  </w:r>
                </w:p>
              </w:tc>
              <w:tc>
                <w:tcPr>
                  <w:tcW w:w="7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D6FB45">
                  <w:pPr>
                    <w:widowControl/>
                    <w:jc w:val="center"/>
                    <w:textAlignment w:val="center"/>
                    <w:rPr>
                      <w:rFonts w:ascii="宋体" w:hAnsi="宋体" w:cs="宋体"/>
                      <w:color w:val="auto"/>
                      <w:szCs w:val="21"/>
                    </w:rPr>
                  </w:pPr>
                  <w:r>
                    <w:rPr>
                      <w:rFonts w:hint="eastAsia" w:ascii="宋体" w:hAnsi="宋体" w:cs="宋体"/>
                      <w:color w:val="auto"/>
                      <w:kern w:val="0"/>
                      <w:szCs w:val="21"/>
                      <w:lang w:bidi="ar"/>
                    </w:rPr>
                    <w:t>油松</w:t>
                  </w:r>
                </w:p>
              </w:tc>
              <w:tc>
                <w:tcPr>
                  <w:tcW w:w="6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FED623">
                  <w:pPr>
                    <w:widowControl/>
                    <w:jc w:val="center"/>
                    <w:textAlignment w:val="center"/>
                    <w:rPr>
                      <w:color w:val="auto"/>
                      <w:szCs w:val="21"/>
                    </w:rPr>
                  </w:pPr>
                  <w:r>
                    <w:rPr>
                      <w:color w:val="auto"/>
                      <w:kern w:val="0"/>
                      <w:szCs w:val="21"/>
                      <w:lang w:bidi="ar"/>
                    </w:rPr>
                    <w:t>2×3</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0847B4">
                  <w:pPr>
                    <w:widowControl/>
                    <w:jc w:val="center"/>
                    <w:textAlignment w:val="center"/>
                    <w:rPr>
                      <w:color w:val="auto"/>
                      <w:szCs w:val="21"/>
                    </w:rPr>
                  </w:pPr>
                  <w:r>
                    <w:rPr>
                      <w:color w:val="auto"/>
                      <w:kern w:val="0"/>
                      <w:szCs w:val="21"/>
                      <w:lang w:bidi="ar"/>
                    </w:rPr>
                    <w:t>1667</w:t>
                  </w:r>
                  <w:r>
                    <w:rPr>
                      <w:rFonts w:hint="eastAsia" w:ascii="宋体" w:hAnsi="宋体" w:cs="宋体"/>
                      <w:color w:val="auto"/>
                      <w:kern w:val="0"/>
                      <w:szCs w:val="21"/>
                      <w:lang w:bidi="ar"/>
                    </w:rPr>
                    <w:t>株</w:t>
                  </w:r>
                  <w:r>
                    <w:rPr>
                      <w:color w:val="auto"/>
                      <w:kern w:val="0"/>
                      <w:szCs w:val="21"/>
                      <w:lang w:bidi="ar"/>
                    </w:rPr>
                    <w:t>/hm</w:t>
                  </w:r>
                  <w:r>
                    <w:rPr>
                      <w:color w:val="auto"/>
                      <w:kern w:val="0"/>
                      <w:szCs w:val="21"/>
                      <w:vertAlign w:val="superscript"/>
                      <w:lang w:bidi="ar"/>
                    </w:rPr>
                    <w:t>2</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D7C1F">
                  <w:pPr>
                    <w:widowControl/>
                    <w:jc w:val="center"/>
                    <w:textAlignment w:val="center"/>
                    <w:rPr>
                      <w:color w:val="auto"/>
                      <w:szCs w:val="21"/>
                    </w:rPr>
                  </w:pPr>
                  <w:r>
                    <w:rPr>
                      <w:rFonts w:hint="eastAsia"/>
                      <w:color w:val="auto"/>
                      <w:sz w:val="21"/>
                      <w:szCs w:val="21"/>
                      <w:lang w:val="en-US" w:eastAsia="zh-CN"/>
                    </w:rPr>
                    <w:t>0.26</w:t>
                  </w:r>
                </w:p>
              </w:tc>
              <w:tc>
                <w:tcPr>
                  <w:tcW w:w="15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651229">
                  <w:pPr>
                    <w:widowControl/>
                    <w:jc w:val="center"/>
                    <w:textAlignment w:val="center"/>
                    <w:rPr>
                      <w:color w:val="auto"/>
                      <w:szCs w:val="21"/>
                    </w:rPr>
                  </w:pPr>
                  <w:r>
                    <w:rPr>
                      <w:rFonts w:hint="eastAsia"/>
                      <w:color w:val="auto"/>
                      <w:kern w:val="0"/>
                      <w:sz w:val="21"/>
                      <w:szCs w:val="21"/>
                      <w:lang w:val="en-US" w:eastAsia="zh-CN" w:bidi="ar"/>
                    </w:rPr>
                    <w:t>434</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F0DA72">
                  <w:pPr>
                    <w:widowControl/>
                    <w:jc w:val="center"/>
                    <w:textAlignment w:val="center"/>
                    <w:rPr>
                      <w:color w:val="auto"/>
                      <w:szCs w:val="21"/>
                    </w:rPr>
                  </w:pPr>
                  <w:r>
                    <w:rPr>
                      <w:color w:val="auto"/>
                      <w:kern w:val="0"/>
                      <w:szCs w:val="21"/>
                      <w:lang w:bidi="ar"/>
                    </w:rPr>
                    <w:t>带土球移植</w:t>
                  </w:r>
                </w:p>
              </w:tc>
            </w:tr>
            <w:tr w14:paraId="21E1AC26">
              <w:tblPrEx>
                <w:tblCellMar>
                  <w:top w:w="0" w:type="dxa"/>
                  <w:left w:w="108" w:type="dxa"/>
                  <w:bottom w:w="0" w:type="dxa"/>
                  <w:right w:w="108" w:type="dxa"/>
                </w:tblCellMar>
              </w:tblPrEx>
              <w:trPr>
                <w:trHeight w:val="315" w:hRule="atLeast"/>
              </w:trPr>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784344">
                  <w:pPr>
                    <w:widowControl/>
                    <w:jc w:val="center"/>
                    <w:textAlignment w:val="center"/>
                    <w:rPr>
                      <w:color w:val="auto"/>
                      <w:szCs w:val="21"/>
                    </w:rPr>
                  </w:pPr>
                  <w:r>
                    <w:rPr>
                      <w:color w:val="auto"/>
                      <w:kern w:val="0"/>
                      <w:szCs w:val="21"/>
                      <w:lang w:bidi="ar"/>
                    </w:rPr>
                    <w:t>2</w:t>
                  </w:r>
                </w:p>
              </w:tc>
              <w:tc>
                <w:tcPr>
                  <w:tcW w:w="7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8E3B74">
                  <w:pPr>
                    <w:widowControl/>
                    <w:jc w:val="center"/>
                    <w:textAlignment w:val="center"/>
                    <w:rPr>
                      <w:color w:val="auto"/>
                      <w:szCs w:val="21"/>
                    </w:rPr>
                  </w:pPr>
                  <w:r>
                    <w:rPr>
                      <w:color w:val="auto"/>
                      <w:kern w:val="0"/>
                      <w:szCs w:val="21"/>
                      <w:lang w:bidi="ar"/>
                    </w:rPr>
                    <w:t>紫花苜蓿</w:t>
                  </w:r>
                </w:p>
              </w:tc>
              <w:tc>
                <w:tcPr>
                  <w:tcW w:w="6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60F819">
                  <w:pPr>
                    <w:widowControl/>
                    <w:jc w:val="center"/>
                    <w:textAlignment w:val="center"/>
                    <w:rPr>
                      <w:color w:val="auto"/>
                      <w:szCs w:val="21"/>
                    </w:rPr>
                  </w:pPr>
                  <w:r>
                    <w:rPr>
                      <w:color w:val="auto"/>
                      <w:kern w:val="0"/>
                      <w:szCs w:val="21"/>
                      <w:lang w:bidi="ar"/>
                    </w:rPr>
                    <w:t>——</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010D9D">
                  <w:pPr>
                    <w:widowControl/>
                    <w:jc w:val="center"/>
                    <w:textAlignment w:val="center"/>
                    <w:rPr>
                      <w:color w:val="auto"/>
                      <w:szCs w:val="21"/>
                    </w:rPr>
                  </w:pPr>
                  <w:r>
                    <w:rPr>
                      <w:color w:val="auto"/>
                      <w:kern w:val="0"/>
                      <w:szCs w:val="21"/>
                      <w:lang w:bidi="ar"/>
                    </w:rPr>
                    <w:t>15kg/hm</w:t>
                  </w:r>
                  <w:r>
                    <w:rPr>
                      <w:color w:val="auto"/>
                      <w:kern w:val="0"/>
                      <w:szCs w:val="21"/>
                      <w:vertAlign w:val="superscript"/>
                      <w:lang w:bidi="ar"/>
                    </w:rPr>
                    <w:t>2</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A2C4BB">
                  <w:pPr>
                    <w:widowControl/>
                    <w:jc w:val="center"/>
                    <w:textAlignment w:val="center"/>
                    <w:rPr>
                      <w:color w:val="auto"/>
                      <w:szCs w:val="21"/>
                    </w:rPr>
                  </w:pPr>
                  <w:r>
                    <w:rPr>
                      <w:rFonts w:hint="eastAsia"/>
                      <w:color w:val="auto"/>
                      <w:sz w:val="21"/>
                      <w:szCs w:val="21"/>
                      <w:lang w:val="en-US" w:eastAsia="zh-CN"/>
                    </w:rPr>
                    <w:t>0.26</w:t>
                  </w:r>
                </w:p>
              </w:tc>
              <w:tc>
                <w:tcPr>
                  <w:tcW w:w="15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6BC88">
                  <w:pPr>
                    <w:widowControl/>
                    <w:jc w:val="center"/>
                    <w:textAlignment w:val="center"/>
                    <w:rPr>
                      <w:color w:val="auto"/>
                      <w:szCs w:val="21"/>
                    </w:rPr>
                  </w:pPr>
                  <w:r>
                    <w:rPr>
                      <w:rFonts w:hint="eastAsia"/>
                      <w:color w:val="auto"/>
                      <w:kern w:val="0"/>
                      <w:sz w:val="21"/>
                      <w:szCs w:val="21"/>
                      <w:lang w:val="en-US" w:eastAsia="zh-CN" w:bidi="ar"/>
                    </w:rPr>
                    <w:t>3.9</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C8D02F">
                  <w:pPr>
                    <w:widowControl/>
                    <w:jc w:val="center"/>
                    <w:textAlignment w:val="center"/>
                    <w:rPr>
                      <w:color w:val="auto"/>
                      <w:szCs w:val="21"/>
                    </w:rPr>
                  </w:pPr>
                  <w:r>
                    <w:rPr>
                      <w:color w:val="auto"/>
                      <w:kern w:val="0"/>
                      <w:szCs w:val="21"/>
                      <w:lang w:bidi="ar"/>
                    </w:rPr>
                    <w:t>撒播</w:t>
                  </w:r>
                </w:p>
              </w:tc>
            </w:tr>
            <w:tr w14:paraId="69EEB83B">
              <w:tblPrEx>
                <w:tblCellMar>
                  <w:top w:w="0" w:type="dxa"/>
                  <w:left w:w="108" w:type="dxa"/>
                  <w:bottom w:w="0" w:type="dxa"/>
                  <w:right w:w="108" w:type="dxa"/>
                </w:tblCellMar>
              </w:tblPrEx>
              <w:trPr>
                <w:trHeight w:val="315" w:hRule="atLeast"/>
              </w:trPr>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7E4E60">
                  <w:pPr>
                    <w:widowControl/>
                    <w:jc w:val="center"/>
                    <w:textAlignment w:val="center"/>
                    <w:rPr>
                      <w:color w:val="auto"/>
                      <w:kern w:val="0"/>
                      <w:szCs w:val="21"/>
                      <w:lang w:bidi="ar"/>
                    </w:rPr>
                  </w:pPr>
                  <w:r>
                    <w:rPr>
                      <w:rFonts w:hint="eastAsia"/>
                      <w:color w:val="auto"/>
                      <w:kern w:val="0"/>
                      <w:szCs w:val="21"/>
                      <w:lang w:bidi="ar"/>
                    </w:rPr>
                    <w:t>3</w:t>
                  </w:r>
                </w:p>
              </w:tc>
              <w:tc>
                <w:tcPr>
                  <w:tcW w:w="7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83EDC4">
                  <w:pPr>
                    <w:widowControl/>
                    <w:jc w:val="center"/>
                    <w:textAlignment w:val="center"/>
                    <w:rPr>
                      <w:color w:val="auto"/>
                      <w:kern w:val="0"/>
                      <w:szCs w:val="21"/>
                      <w:lang w:bidi="ar"/>
                    </w:rPr>
                  </w:pPr>
                  <w:r>
                    <w:rPr>
                      <w:rFonts w:hint="eastAsia"/>
                      <w:color w:val="auto"/>
                      <w:kern w:val="0"/>
                      <w:szCs w:val="21"/>
                      <w:lang w:bidi="ar"/>
                    </w:rPr>
                    <w:t>披碱草</w:t>
                  </w:r>
                </w:p>
              </w:tc>
              <w:tc>
                <w:tcPr>
                  <w:tcW w:w="6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D806D9">
                  <w:pPr>
                    <w:widowControl/>
                    <w:jc w:val="center"/>
                    <w:textAlignment w:val="center"/>
                    <w:rPr>
                      <w:color w:val="auto"/>
                      <w:szCs w:val="21"/>
                    </w:rPr>
                  </w:pPr>
                  <w:r>
                    <w:rPr>
                      <w:color w:val="auto"/>
                      <w:kern w:val="0"/>
                      <w:szCs w:val="21"/>
                      <w:lang w:bidi="ar"/>
                    </w:rPr>
                    <w:t>——</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73BED1">
                  <w:pPr>
                    <w:widowControl/>
                    <w:jc w:val="center"/>
                    <w:textAlignment w:val="center"/>
                    <w:rPr>
                      <w:color w:val="auto"/>
                      <w:szCs w:val="21"/>
                    </w:rPr>
                  </w:pPr>
                  <w:r>
                    <w:rPr>
                      <w:color w:val="auto"/>
                      <w:kern w:val="0"/>
                      <w:szCs w:val="21"/>
                      <w:lang w:bidi="ar"/>
                    </w:rPr>
                    <w:t>15kg/hm</w:t>
                  </w:r>
                  <w:r>
                    <w:rPr>
                      <w:color w:val="auto"/>
                      <w:kern w:val="0"/>
                      <w:szCs w:val="21"/>
                      <w:vertAlign w:val="superscript"/>
                      <w:lang w:bidi="ar"/>
                    </w:rPr>
                    <w:t>2</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6D2192">
                  <w:pPr>
                    <w:widowControl/>
                    <w:jc w:val="center"/>
                    <w:textAlignment w:val="center"/>
                    <w:rPr>
                      <w:color w:val="auto"/>
                      <w:szCs w:val="21"/>
                    </w:rPr>
                  </w:pPr>
                  <w:r>
                    <w:rPr>
                      <w:rFonts w:hint="eastAsia"/>
                      <w:color w:val="auto"/>
                      <w:sz w:val="21"/>
                      <w:szCs w:val="21"/>
                      <w:lang w:val="en-US" w:eastAsia="zh-CN"/>
                    </w:rPr>
                    <w:t>0.26</w:t>
                  </w:r>
                </w:p>
              </w:tc>
              <w:tc>
                <w:tcPr>
                  <w:tcW w:w="15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8FDE48">
                  <w:pPr>
                    <w:widowControl/>
                    <w:jc w:val="center"/>
                    <w:textAlignment w:val="center"/>
                    <w:rPr>
                      <w:color w:val="auto"/>
                      <w:szCs w:val="21"/>
                    </w:rPr>
                  </w:pPr>
                  <w:r>
                    <w:rPr>
                      <w:rFonts w:hint="eastAsia"/>
                      <w:color w:val="auto"/>
                      <w:kern w:val="0"/>
                      <w:sz w:val="21"/>
                      <w:szCs w:val="21"/>
                      <w:lang w:val="en-US" w:eastAsia="zh-CN" w:bidi="ar"/>
                    </w:rPr>
                    <w:t>3.9</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92A63F">
                  <w:pPr>
                    <w:widowControl/>
                    <w:jc w:val="center"/>
                    <w:textAlignment w:val="center"/>
                    <w:rPr>
                      <w:color w:val="auto"/>
                      <w:szCs w:val="21"/>
                    </w:rPr>
                  </w:pPr>
                  <w:r>
                    <w:rPr>
                      <w:color w:val="auto"/>
                      <w:kern w:val="0"/>
                      <w:szCs w:val="21"/>
                      <w:lang w:bidi="ar"/>
                    </w:rPr>
                    <w:t>撒播</w:t>
                  </w:r>
                </w:p>
              </w:tc>
            </w:tr>
          </w:tbl>
          <w:p w14:paraId="4EAC5A45">
            <w:pPr>
              <w:pStyle w:val="81"/>
              <w:keepNext w:val="0"/>
              <w:keepLines w:val="0"/>
              <w:pageBreakBefore w:val="0"/>
              <w:widowControl w:val="0"/>
              <w:kinsoku/>
              <w:wordWrap/>
              <w:overflowPunct/>
              <w:topLinePunct w:val="0"/>
              <w:autoSpaceDE/>
              <w:autoSpaceDN/>
              <w:bidi w:val="0"/>
              <w:ind w:firstLine="420" w:firstLineChars="200"/>
              <w:jc w:val="center"/>
              <w:textAlignment w:val="auto"/>
              <w:rPr>
                <w:rFonts w:ascii="宋体" w:hAnsi="宋体" w:eastAsia="宋体" w:cs="宋体"/>
                <w:b/>
                <w:color w:val="auto"/>
              </w:rPr>
            </w:pPr>
            <w:r>
              <w:rPr>
                <w:rFonts w:hint="eastAsia" w:ascii="宋体" w:hAnsi="宋体" w:eastAsia="宋体" w:cs="宋体"/>
                <w:color w:val="auto"/>
                <w:szCs w:val="21"/>
                <w:lang w:val="zh-CN" w:bidi="ar"/>
              </w:rPr>
              <w:t>表</w:t>
            </w:r>
            <w:r>
              <w:rPr>
                <w:rFonts w:eastAsia="宋体"/>
                <w:color w:val="auto"/>
                <w:szCs w:val="21"/>
                <w:lang w:bidi="ar"/>
              </w:rPr>
              <w:t>5-</w:t>
            </w:r>
            <w:r>
              <w:rPr>
                <w:rFonts w:hint="eastAsia" w:eastAsia="宋体"/>
                <w:color w:val="auto"/>
                <w:szCs w:val="21"/>
                <w:lang w:val="en-US" w:eastAsia="zh-CN" w:bidi="ar"/>
              </w:rPr>
              <w:t>7</w:t>
            </w:r>
            <w:r>
              <w:rPr>
                <w:rFonts w:hint="eastAsia" w:ascii="宋体" w:hAnsi="宋体" w:eastAsia="宋体" w:cs="宋体"/>
                <w:color w:val="auto"/>
                <w:szCs w:val="21"/>
                <w:lang w:val="zh-CN" w:bidi="ar"/>
              </w:rPr>
              <w:t xml:space="preserve">     排土场</w:t>
            </w:r>
            <w:r>
              <w:rPr>
                <w:rFonts w:hint="eastAsia" w:ascii="宋体" w:hAnsi="宋体" w:eastAsia="宋体" w:cs="宋体"/>
                <w:color w:val="auto"/>
                <w:szCs w:val="21"/>
                <w:lang w:val="en-US" w:eastAsia="zh-CN" w:bidi="ar"/>
              </w:rPr>
              <w:t>边坡</w:t>
            </w:r>
            <w:r>
              <w:rPr>
                <w:rFonts w:hint="eastAsia" w:ascii="宋体" w:hAnsi="宋体" w:eastAsia="宋体" w:cs="宋体"/>
                <w:color w:val="auto"/>
                <w:szCs w:val="21"/>
                <w:lang w:val="zh-CN" w:bidi="ar"/>
              </w:rPr>
              <w:t>植物措施配置表</w:t>
            </w:r>
          </w:p>
          <w:tbl>
            <w:tblPr>
              <w:tblStyle w:val="29"/>
              <w:tblW w:w="4996" w:type="pct"/>
              <w:tblInd w:w="0" w:type="dxa"/>
              <w:tblLayout w:type="autofit"/>
              <w:tblCellMar>
                <w:top w:w="0" w:type="dxa"/>
                <w:left w:w="108" w:type="dxa"/>
                <w:bottom w:w="0" w:type="dxa"/>
                <w:right w:w="108" w:type="dxa"/>
              </w:tblCellMar>
            </w:tblPr>
            <w:tblGrid>
              <w:gridCol w:w="1134"/>
              <w:gridCol w:w="1155"/>
              <w:gridCol w:w="1093"/>
              <w:gridCol w:w="1108"/>
              <w:gridCol w:w="1185"/>
              <w:gridCol w:w="1296"/>
              <w:gridCol w:w="1194"/>
            </w:tblGrid>
            <w:tr w14:paraId="7461E3E6">
              <w:trPr>
                <w:trHeight w:val="315" w:hRule="atLeast"/>
              </w:trPr>
              <w:tc>
                <w:tcPr>
                  <w:tcW w:w="69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F4F3099">
                  <w:pPr>
                    <w:widowControl/>
                    <w:jc w:val="center"/>
                    <w:textAlignment w:val="center"/>
                    <w:rPr>
                      <w:color w:val="auto"/>
                      <w:szCs w:val="21"/>
                    </w:rPr>
                  </w:pPr>
                  <w:r>
                    <w:rPr>
                      <w:color w:val="auto"/>
                      <w:kern w:val="0"/>
                      <w:szCs w:val="21"/>
                      <w:lang w:bidi="ar"/>
                    </w:rPr>
                    <w:t>编号</w:t>
                  </w:r>
                </w:p>
              </w:tc>
              <w:tc>
                <w:tcPr>
                  <w:tcW w:w="70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885AAEB">
                  <w:pPr>
                    <w:widowControl/>
                    <w:jc w:val="center"/>
                    <w:textAlignment w:val="center"/>
                    <w:rPr>
                      <w:color w:val="auto"/>
                      <w:szCs w:val="21"/>
                    </w:rPr>
                  </w:pPr>
                  <w:r>
                    <w:rPr>
                      <w:color w:val="auto"/>
                      <w:kern w:val="0"/>
                      <w:szCs w:val="21"/>
                      <w:lang w:bidi="ar"/>
                    </w:rPr>
                    <w:t>树种或草种</w:t>
                  </w:r>
                </w:p>
              </w:tc>
              <w:tc>
                <w:tcPr>
                  <w:tcW w:w="66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7540E23">
                  <w:pPr>
                    <w:widowControl/>
                    <w:jc w:val="center"/>
                    <w:textAlignment w:val="center"/>
                    <w:rPr>
                      <w:color w:val="auto"/>
                      <w:szCs w:val="21"/>
                    </w:rPr>
                  </w:pPr>
                  <w:r>
                    <w:rPr>
                      <w:color w:val="auto"/>
                      <w:kern w:val="0"/>
                      <w:szCs w:val="21"/>
                      <w:lang w:bidi="ar"/>
                    </w:rPr>
                    <w:t>株行距（m</w:t>
                  </w:r>
                  <w:r>
                    <w:rPr>
                      <w:rFonts w:hint="eastAsia" w:ascii="宋体" w:hAnsi="宋体" w:cs="宋体"/>
                      <w:color w:val="auto"/>
                      <w:kern w:val="0"/>
                      <w:szCs w:val="21"/>
                      <w:lang w:bidi="ar"/>
                    </w:rPr>
                    <w:t>）</w:t>
                  </w:r>
                </w:p>
              </w:tc>
              <w:tc>
                <w:tcPr>
                  <w:tcW w:w="67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D0AC028">
                  <w:pPr>
                    <w:widowControl/>
                    <w:jc w:val="center"/>
                    <w:textAlignment w:val="center"/>
                    <w:rPr>
                      <w:color w:val="auto"/>
                      <w:szCs w:val="21"/>
                    </w:rPr>
                  </w:pPr>
                  <w:r>
                    <w:rPr>
                      <w:color w:val="auto"/>
                      <w:kern w:val="0"/>
                      <w:szCs w:val="21"/>
                      <w:lang w:bidi="ar"/>
                    </w:rPr>
                    <w:t>植树密度/</w:t>
                  </w:r>
                  <w:r>
                    <w:rPr>
                      <w:rFonts w:hint="eastAsia" w:ascii="宋体" w:hAnsi="宋体" w:cs="宋体"/>
                      <w:color w:val="auto"/>
                      <w:kern w:val="0"/>
                      <w:szCs w:val="21"/>
                      <w:lang w:bidi="ar"/>
                    </w:rPr>
                    <w:t>播种量</w:t>
                  </w:r>
                </w:p>
              </w:tc>
              <w:tc>
                <w:tcPr>
                  <w:tcW w:w="72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4C93759">
                  <w:pPr>
                    <w:widowControl/>
                    <w:jc w:val="center"/>
                    <w:textAlignment w:val="center"/>
                    <w:rPr>
                      <w:color w:val="auto"/>
                      <w:szCs w:val="21"/>
                    </w:rPr>
                  </w:pPr>
                  <w:r>
                    <w:rPr>
                      <w:color w:val="auto"/>
                      <w:kern w:val="0"/>
                      <w:szCs w:val="21"/>
                      <w:lang w:bidi="ar"/>
                    </w:rPr>
                    <w:t>种植面积（hm</w:t>
                  </w:r>
                  <w:r>
                    <w:rPr>
                      <w:color w:val="auto"/>
                      <w:kern w:val="0"/>
                      <w:szCs w:val="21"/>
                      <w:vertAlign w:val="superscript"/>
                      <w:lang w:bidi="ar"/>
                    </w:rPr>
                    <w:t>2</w:t>
                  </w:r>
                  <w:r>
                    <w:rPr>
                      <w:rFonts w:hint="eastAsia" w:ascii="宋体" w:hAnsi="宋体" w:cs="宋体"/>
                      <w:color w:val="auto"/>
                      <w:kern w:val="0"/>
                      <w:szCs w:val="21"/>
                      <w:lang w:bidi="ar"/>
                    </w:rPr>
                    <w:t>）</w:t>
                  </w:r>
                </w:p>
              </w:tc>
              <w:tc>
                <w:tcPr>
                  <w:tcW w:w="7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39BC02">
                  <w:pPr>
                    <w:widowControl/>
                    <w:jc w:val="center"/>
                    <w:textAlignment w:val="center"/>
                    <w:rPr>
                      <w:color w:val="auto"/>
                      <w:szCs w:val="21"/>
                    </w:rPr>
                  </w:pPr>
                  <w:r>
                    <w:rPr>
                      <w:color w:val="auto"/>
                      <w:kern w:val="0"/>
                      <w:szCs w:val="21"/>
                      <w:lang w:bidi="ar"/>
                    </w:rPr>
                    <w:t>种植</w:t>
                  </w:r>
                </w:p>
              </w:tc>
              <w:tc>
                <w:tcPr>
                  <w:tcW w:w="73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2D901CD">
                  <w:pPr>
                    <w:widowControl/>
                    <w:jc w:val="center"/>
                    <w:textAlignment w:val="center"/>
                    <w:rPr>
                      <w:color w:val="auto"/>
                      <w:szCs w:val="21"/>
                    </w:rPr>
                  </w:pPr>
                  <w:r>
                    <w:rPr>
                      <w:color w:val="auto"/>
                      <w:kern w:val="0"/>
                      <w:szCs w:val="21"/>
                      <w:lang w:bidi="ar"/>
                    </w:rPr>
                    <w:t>播种方式</w:t>
                  </w:r>
                </w:p>
              </w:tc>
            </w:tr>
            <w:tr w14:paraId="0BD9C424">
              <w:tblPrEx>
                <w:tblCellMar>
                  <w:top w:w="0" w:type="dxa"/>
                  <w:left w:w="108" w:type="dxa"/>
                  <w:bottom w:w="0" w:type="dxa"/>
                  <w:right w:w="108" w:type="dxa"/>
                </w:tblCellMar>
              </w:tblPrEx>
              <w:trPr>
                <w:trHeight w:val="315" w:hRule="atLeast"/>
              </w:trPr>
              <w:tc>
                <w:tcPr>
                  <w:tcW w:w="69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5C7619">
                  <w:pPr>
                    <w:jc w:val="center"/>
                    <w:rPr>
                      <w:color w:val="auto"/>
                      <w:szCs w:val="21"/>
                    </w:rPr>
                  </w:pPr>
                </w:p>
              </w:tc>
              <w:tc>
                <w:tcPr>
                  <w:tcW w:w="7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029329">
                  <w:pPr>
                    <w:jc w:val="center"/>
                    <w:rPr>
                      <w:color w:val="auto"/>
                      <w:szCs w:val="21"/>
                    </w:rPr>
                  </w:pPr>
                </w:p>
              </w:tc>
              <w:tc>
                <w:tcPr>
                  <w:tcW w:w="66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110C52">
                  <w:pPr>
                    <w:jc w:val="center"/>
                    <w:rPr>
                      <w:color w:val="auto"/>
                      <w:szCs w:val="21"/>
                    </w:rPr>
                  </w:pPr>
                </w:p>
              </w:tc>
              <w:tc>
                <w:tcPr>
                  <w:tcW w:w="67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8580DF">
                  <w:pPr>
                    <w:jc w:val="center"/>
                    <w:rPr>
                      <w:color w:val="auto"/>
                      <w:szCs w:val="21"/>
                    </w:rPr>
                  </w:pPr>
                </w:p>
              </w:tc>
              <w:tc>
                <w:tcPr>
                  <w:tcW w:w="7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0D0902">
                  <w:pPr>
                    <w:jc w:val="center"/>
                    <w:rPr>
                      <w:color w:val="auto"/>
                      <w:szCs w:val="21"/>
                    </w:rPr>
                  </w:pPr>
                </w:p>
              </w:tc>
              <w:tc>
                <w:tcPr>
                  <w:tcW w:w="7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2E7512">
                  <w:pPr>
                    <w:widowControl/>
                    <w:jc w:val="center"/>
                    <w:textAlignment w:val="center"/>
                    <w:rPr>
                      <w:color w:val="auto"/>
                      <w:szCs w:val="21"/>
                    </w:rPr>
                  </w:pPr>
                  <w:r>
                    <w:rPr>
                      <w:color w:val="auto"/>
                      <w:kern w:val="0"/>
                      <w:szCs w:val="21"/>
                      <w:lang w:bidi="ar"/>
                    </w:rPr>
                    <w:t>数量</w:t>
                  </w:r>
                </w:p>
              </w:tc>
              <w:tc>
                <w:tcPr>
                  <w:tcW w:w="73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689092">
                  <w:pPr>
                    <w:jc w:val="center"/>
                    <w:rPr>
                      <w:color w:val="auto"/>
                      <w:szCs w:val="21"/>
                    </w:rPr>
                  </w:pPr>
                </w:p>
              </w:tc>
            </w:tr>
            <w:tr w14:paraId="5A119221">
              <w:tblPrEx>
                <w:tblCellMar>
                  <w:top w:w="0" w:type="dxa"/>
                  <w:left w:w="108" w:type="dxa"/>
                  <w:bottom w:w="0" w:type="dxa"/>
                  <w:right w:w="108" w:type="dxa"/>
                </w:tblCellMar>
              </w:tblPrEx>
              <w:trPr>
                <w:trHeight w:val="315" w:hRule="atLeast"/>
              </w:trPr>
              <w:tc>
                <w:tcPr>
                  <w:tcW w:w="6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EF6FF3">
                  <w:pPr>
                    <w:widowControl/>
                    <w:jc w:val="center"/>
                    <w:textAlignment w:val="center"/>
                    <w:rPr>
                      <w:color w:val="auto"/>
                      <w:szCs w:val="21"/>
                    </w:rPr>
                  </w:pPr>
                  <w:r>
                    <w:rPr>
                      <w:color w:val="auto"/>
                      <w:kern w:val="0"/>
                      <w:szCs w:val="21"/>
                      <w:lang w:bidi="ar"/>
                    </w:rPr>
                    <w:t>1</w:t>
                  </w:r>
                </w:p>
              </w:tc>
              <w:tc>
                <w:tcPr>
                  <w:tcW w:w="7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09F35D">
                  <w:pPr>
                    <w:widowControl/>
                    <w:jc w:val="center"/>
                    <w:textAlignment w:val="center"/>
                    <w:rPr>
                      <w:rFonts w:ascii="宋体" w:hAnsi="宋体" w:cs="宋体"/>
                      <w:color w:val="auto"/>
                      <w:szCs w:val="21"/>
                    </w:rPr>
                  </w:pPr>
                  <w:r>
                    <w:rPr>
                      <w:rFonts w:hint="eastAsia" w:ascii="宋体" w:hAnsi="宋体" w:cs="宋体"/>
                      <w:color w:val="auto"/>
                      <w:szCs w:val="21"/>
                    </w:rPr>
                    <w:t>紫穗槐</w:t>
                  </w:r>
                </w:p>
              </w:tc>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C49BF2">
                  <w:pPr>
                    <w:widowControl/>
                    <w:jc w:val="center"/>
                    <w:textAlignment w:val="center"/>
                    <w:rPr>
                      <w:color w:val="auto"/>
                      <w:szCs w:val="21"/>
                    </w:rPr>
                  </w:pPr>
                  <w:r>
                    <w:rPr>
                      <w:color w:val="auto"/>
                      <w:kern w:val="0"/>
                      <w:szCs w:val="21"/>
                      <w:lang w:bidi="ar"/>
                    </w:rPr>
                    <w:t>1×1</w:t>
                  </w:r>
                </w:p>
              </w:tc>
              <w:tc>
                <w:tcPr>
                  <w:tcW w:w="6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741343">
                  <w:pPr>
                    <w:widowControl/>
                    <w:jc w:val="center"/>
                    <w:textAlignment w:val="center"/>
                    <w:rPr>
                      <w:color w:val="auto"/>
                      <w:szCs w:val="21"/>
                    </w:rPr>
                  </w:pPr>
                  <w:r>
                    <w:rPr>
                      <w:color w:val="auto"/>
                      <w:kern w:val="0"/>
                      <w:szCs w:val="21"/>
                      <w:lang w:bidi="ar"/>
                    </w:rPr>
                    <w:t>10000</w:t>
                  </w:r>
                  <w:r>
                    <w:rPr>
                      <w:rFonts w:hint="eastAsia" w:ascii="宋体" w:hAnsi="宋体" w:cs="宋体"/>
                      <w:color w:val="auto"/>
                      <w:kern w:val="0"/>
                      <w:szCs w:val="21"/>
                      <w:lang w:bidi="ar"/>
                    </w:rPr>
                    <w:t>株</w:t>
                  </w:r>
                  <w:r>
                    <w:rPr>
                      <w:color w:val="auto"/>
                      <w:kern w:val="0"/>
                      <w:szCs w:val="21"/>
                      <w:lang w:bidi="ar"/>
                    </w:rPr>
                    <w:t>/hm</w:t>
                  </w:r>
                  <w:r>
                    <w:rPr>
                      <w:color w:val="auto"/>
                      <w:kern w:val="0"/>
                      <w:szCs w:val="21"/>
                      <w:vertAlign w:val="superscript"/>
                      <w:lang w:bidi="ar"/>
                    </w:rPr>
                    <w:t>2</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E1A055">
                  <w:pPr>
                    <w:widowControl/>
                    <w:jc w:val="center"/>
                    <w:textAlignment w:val="center"/>
                    <w:rPr>
                      <w:color w:val="auto"/>
                      <w:szCs w:val="21"/>
                    </w:rPr>
                  </w:pPr>
                  <w:r>
                    <w:rPr>
                      <w:rFonts w:hint="eastAsia" w:ascii="Times New Roman" w:hAnsi="Times New Roman" w:eastAsia="宋体" w:cs="Times New Roman"/>
                      <w:color w:val="auto"/>
                      <w:kern w:val="0"/>
                      <w:sz w:val="21"/>
                      <w:szCs w:val="21"/>
                      <w:lang w:val="en-US" w:eastAsia="zh-CN" w:bidi="ar"/>
                    </w:rPr>
                    <w:t>1.1376</w:t>
                  </w: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26EB59">
                  <w:pPr>
                    <w:widowControl/>
                    <w:jc w:val="center"/>
                    <w:textAlignment w:val="center"/>
                    <w:rPr>
                      <w:color w:val="auto"/>
                      <w:szCs w:val="21"/>
                    </w:rPr>
                  </w:pPr>
                  <w:r>
                    <w:rPr>
                      <w:rFonts w:hint="eastAsia"/>
                      <w:color w:val="auto"/>
                      <w:kern w:val="0"/>
                      <w:szCs w:val="21"/>
                      <w:lang w:val="en-US" w:eastAsia="zh-CN" w:bidi="ar"/>
                    </w:rPr>
                    <w:t>11376</w:t>
                  </w:r>
                </w:p>
              </w:tc>
              <w:tc>
                <w:tcPr>
                  <w:tcW w:w="7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B9A5F4">
                  <w:pPr>
                    <w:widowControl/>
                    <w:jc w:val="center"/>
                    <w:textAlignment w:val="center"/>
                    <w:rPr>
                      <w:color w:val="auto"/>
                      <w:szCs w:val="21"/>
                    </w:rPr>
                  </w:pPr>
                  <w:r>
                    <w:rPr>
                      <w:rFonts w:hint="eastAsia"/>
                      <w:color w:val="auto"/>
                      <w:kern w:val="0"/>
                      <w:szCs w:val="21"/>
                      <w:lang w:bidi="ar"/>
                    </w:rPr>
                    <w:t>带土球移植</w:t>
                  </w:r>
                </w:p>
              </w:tc>
            </w:tr>
            <w:tr w14:paraId="20ABC16E">
              <w:tblPrEx>
                <w:tblCellMar>
                  <w:top w:w="0" w:type="dxa"/>
                  <w:left w:w="108" w:type="dxa"/>
                  <w:bottom w:w="0" w:type="dxa"/>
                  <w:right w:w="108" w:type="dxa"/>
                </w:tblCellMar>
              </w:tblPrEx>
              <w:trPr>
                <w:trHeight w:val="315" w:hRule="atLeast"/>
              </w:trPr>
              <w:tc>
                <w:tcPr>
                  <w:tcW w:w="6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8BE097">
                  <w:pPr>
                    <w:widowControl/>
                    <w:jc w:val="center"/>
                    <w:textAlignment w:val="center"/>
                    <w:rPr>
                      <w:color w:val="auto"/>
                      <w:szCs w:val="21"/>
                    </w:rPr>
                  </w:pPr>
                  <w:r>
                    <w:rPr>
                      <w:color w:val="auto"/>
                      <w:kern w:val="0"/>
                      <w:szCs w:val="21"/>
                      <w:lang w:bidi="ar"/>
                    </w:rPr>
                    <w:t>2</w:t>
                  </w:r>
                </w:p>
              </w:tc>
              <w:tc>
                <w:tcPr>
                  <w:tcW w:w="7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276C0A">
                  <w:pPr>
                    <w:widowControl/>
                    <w:jc w:val="center"/>
                    <w:textAlignment w:val="center"/>
                    <w:rPr>
                      <w:color w:val="auto"/>
                      <w:szCs w:val="21"/>
                    </w:rPr>
                  </w:pPr>
                  <w:r>
                    <w:rPr>
                      <w:color w:val="auto"/>
                      <w:kern w:val="0"/>
                      <w:szCs w:val="21"/>
                      <w:lang w:bidi="ar"/>
                    </w:rPr>
                    <w:t>紫花苜蓿</w:t>
                  </w:r>
                </w:p>
              </w:tc>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E11B48">
                  <w:pPr>
                    <w:widowControl/>
                    <w:jc w:val="center"/>
                    <w:textAlignment w:val="center"/>
                    <w:rPr>
                      <w:color w:val="auto"/>
                      <w:szCs w:val="21"/>
                    </w:rPr>
                  </w:pPr>
                  <w:r>
                    <w:rPr>
                      <w:color w:val="auto"/>
                      <w:kern w:val="0"/>
                      <w:szCs w:val="21"/>
                      <w:lang w:bidi="ar"/>
                    </w:rPr>
                    <w:t>——</w:t>
                  </w:r>
                </w:p>
              </w:tc>
              <w:tc>
                <w:tcPr>
                  <w:tcW w:w="6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7574CF">
                  <w:pPr>
                    <w:widowControl/>
                    <w:jc w:val="center"/>
                    <w:textAlignment w:val="center"/>
                    <w:rPr>
                      <w:color w:val="auto"/>
                      <w:szCs w:val="21"/>
                    </w:rPr>
                  </w:pPr>
                  <w:r>
                    <w:rPr>
                      <w:color w:val="auto"/>
                      <w:kern w:val="0"/>
                      <w:szCs w:val="21"/>
                      <w:lang w:bidi="ar"/>
                    </w:rPr>
                    <w:t>30kg/hm</w:t>
                  </w:r>
                  <w:r>
                    <w:rPr>
                      <w:color w:val="auto"/>
                      <w:kern w:val="0"/>
                      <w:szCs w:val="21"/>
                      <w:vertAlign w:val="superscript"/>
                      <w:lang w:bidi="ar"/>
                    </w:rPr>
                    <w:t>2</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351090">
                  <w:pPr>
                    <w:widowControl/>
                    <w:jc w:val="center"/>
                    <w:textAlignment w:val="center"/>
                    <w:rPr>
                      <w:color w:val="auto"/>
                      <w:szCs w:val="21"/>
                    </w:rPr>
                  </w:pPr>
                  <w:r>
                    <w:rPr>
                      <w:rFonts w:hint="eastAsia" w:ascii="Times New Roman" w:hAnsi="Times New Roman" w:eastAsia="宋体" w:cs="Times New Roman"/>
                      <w:color w:val="auto"/>
                      <w:kern w:val="0"/>
                      <w:sz w:val="21"/>
                      <w:szCs w:val="21"/>
                      <w:lang w:val="en-US" w:eastAsia="zh-CN" w:bidi="ar"/>
                    </w:rPr>
                    <w:t>1.1376</w:t>
                  </w: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F5FA9">
                  <w:pPr>
                    <w:widowControl/>
                    <w:jc w:val="center"/>
                    <w:textAlignment w:val="center"/>
                    <w:rPr>
                      <w:color w:val="auto"/>
                      <w:szCs w:val="21"/>
                    </w:rPr>
                  </w:pPr>
                  <w:r>
                    <w:rPr>
                      <w:rFonts w:hint="eastAsia"/>
                      <w:color w:val="auto"/>
                      <w:kern w:val="0"/>
                      <w:szCs w:val="21"/>
                      <w:lang w:val="en-US" w:eastAsia="zh-CN" w:bidi="ar"/>
                    </w:rPr>
                    <w:t>34.13</w:t>
                  </w:r>
                </w:p>
              </w:tc>
              <w:tc>
                <w:tcPr>
                  <w:tcW w:w="7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128547">
                  <w:pPr>
                    <w:widowControl/>
                    <w:jc w:val="center"/>
                    <w:textAlignment w:val="center"/>
                    <w:rPr>
                      <w:color w:val="auto"/>
                      <w:szCs w:val="21"/>
                    </w:rPr>
                  </w:pPr>
                  <w:r>
                    <w:rPr>
                      <w:color w:val="auto"/>
                      <w:kern w:val="0"/>
                      <w:szCs w:val="21"/>
                      <w:lang w:bidi="ar"/>
                    </w:rPr>
                    <w:t>撒播</w:t>
                  </w:r>
                </w:p>
              </w:tc>
            </w:tr>
          </w:tbl>
          <w:p w14:paraId="3C4915DB">
            <w:pPr>
              <w:keepNext w:val="0"/>
              <w:keepLines w:val="0"/>
              <w:pageBreakBefore w:val="0"/>
              <w:kinsoku/>
              <w:wordWrap/>
              <w:overflowPunct/>
              <w:topLinePunct w:val="0"/>
              <w:autoSpaceDE/>
              <w:autoSpaceDN/>
              <w:bidi w:val="0"/>
              <w:adjustRightInd w:val="0"/>
              <w:snapToGrid w:val="0"/>
              <w:spacing w:line="480" w:lineRule="exact"/>
              <w:ind w:firstLine="480" w:firstLineChars="200"/>
              <w:textAlignment w:val="auto"/>
              <w:rPr>
                <w:b/>
                <w:color w:val="auto"/>
                <w:sz w:val="24"/>
              </w:rPr>
            </w:pPr>
            <w:r>
              <w:rPr>
                <w:rFonts w:hint="eastAsia"/>
                <w:b w:val="0"/>
                <w:bCs w:val="0"/>
                <w:color w:val="auto"/>
                <w:kern w:val="0"/>
                <w:sz w:val="24"/>
                <w:lang w:val="en-US" w:eastAsia="zh-CN" w:bidi="ar"/>
              </w:rPr>
              <w:t>③</w:t>
            </w:r>
            <w:r>
              <w:rPr>
                <w:b w:val="0"/>
                <w:bCs w:val="0"/>
                <w:color w:val="auto"/>
                <w:sz w:val="24"/>
              </w:rPr>
              <w:t>露天采场复垦工程设计</w:t>
            </w:r>
          </w:p>
          <w:p w14:paraId="381D7822">
            <w:pPr>
              <w:keepNext w:val="0"/>
              <w:keepLines w:val="0"/>
              <w:pageBreakBefore w:val="0"/>
              <w:kinsoku/>
              <w:wordWrap/>
              <w:overflowPunct/>
              <w:topLinePunct w:val="0"/>
              <w:autoSpaceDE/>
              <w:autoSpaceDN/>
              <w:bidi w:val="0"/>
              <w:adjustRightInd w:val="0"/>
              <w:snapToGrid w:val="0"/>
              <w:spacing w:line="480" w:lineRule="exact"/>
              <w:ind w:firstLine="480" w:firstLineChars="200"/>
              <w:textAlignment w:val="auto"/>
              <w:rPr>
                <w:bCs/>
                <w:color w:val="auto"/>
                <w:sz w:val="24"/>
              </w:rPr>
            </w:pPr>
            <w:r>
              <w:rPr>
                <w:bCs/>
                <w:color w:val="auto"/>
                <w:sz w:val="24"/>
              </w:rPr>
              <w:t>露天采场复垦面积共计16.1157hm</w:t>
            </w:r>
            <w:r>
              <w:rPr>
                <w:bCs/>
                <w:color w:val="auto"/>
                <w:sz w:val="24"/>
                <w:vertAlign w:val="superscript"/>
              </w:rPr>
              <w:t>2</w:t>
            </w:r>
            <w:r>
              <w:rPr>
                <w:bCs/>
                <w:color w:val="auto"/>
                <w:sz w:val="24"/>
              </w:rPr>
              <w:t>，其中露天采场底平台3.7869hm</w:t>
            </w:r>
            <w:r>
              <w:rPr>
                <w:bCs/>
                <w:color w:val="auto"/>
                <w:sz w:val="24"/>
                <w:vertAlign w:val="superscript"/>
              </w:rPr>
              <w:t>2</w:t>
            </w:r>
            <w:r>
              <w:rPr>
                <w:bCs/>
                <w:color w:val="auto"/>
                <w:sz w:val="24"/>
              </w:rPr>
              <w:t>、露天采场台阶平台5.9282hm</w:t>
            </w:r>
            <w:r>
              <w:rPr>
                <w:bCs/>
                <w:color w:val="auto"/>
                <w:sz w:val="24"/>
                <w:vertAlign w:val="superscript"/>
              </w:rPr>
              <w:t>2</w:t>
            </w:r>
            <w:r>
              <w:rPr>
                <w:bCs/>
                <w:color w:val="auto"/>
                <w:sz w:val="24"/>
              </w:rPr>
              <w:t>、露天采场边坡6.4006hm</w:t>
            </w:r>
            <w:r>
              <w:rPr>
                <w:bCs/>
                <w:color w:val="auto"/>
                <w:sz w:val="24"/>
                <w:vertAlign w:val="superscript"/>
              </w:rPr>
              <w:t>2</w:t>
            </w:r>
            <w:r>
              <w:rPr>
                <w:bCs/>
                <w:color w:val="auto"/>
                <w:sz w:val="24"/>
              </w:rPr>
              <w:t>，根据适宜性评价，露天采场底平台复垦为乔木林地，台阶平台复垦为灌木林地，复垦措施主要为覆土、种植乔灌木及撒播草籽。由于露天采场边坡坡度＞50°，</w:t>
            </w:r>
            <w:r>
              <w:rPr>
                <w:rFonts w:hint="eastAsia"/>
                <w:bCs/>
                <w:color w:val="auto"/>
                <w:sz w:val="24"/>
              </w:rPr>
              <w:t>不适宜复垦，故采取绿化措施，在边坡坡脚种植爬山虎，每隔0.5米种植一株，共需种植47477株</w:t>
            </w:r>
            <w:r>
              <w:rPr>
                <w:bCs/>
                <w:color w:val="auto"/>
                <w:sz w:val="24"/>
              </w:rPr>
              <w:t>。</w:t>
            </w:r>
          </w:p>
          <w:p w14:paraId="60A02A1E">
            <w:pPr>
              <w:keepNext w:val="0"/>
              <w:keepLines w:val="0"/>
              <w:pageBreakBefore w:val="0"/>
              <w:kinsoku/>
              <w:wordWrap/>
              <w:overflowPunct/>
              <w:topLinePunct w:val="0"/>
              <w:autoSpaceDE/>
              <w:autoSpaceDN/>
              <w:bidi w:val="0"/>
              <w:adjustRightInd w:val="0"/>
              <w:snapToGrid w:val="0"/>
              <w:spacing w:line="480" w:lineRule="exact"/>
              <w:ind w:left="480"/>
              <w:textAlignment w:val="auto"/>
              <w:rPr>
                <w:bCs/>
                <w:color w:val="auto"/>
                <w:sz w:val="24"/>
              </w:rPr>
            </w:pPr>
            <w:r>
              <w:rPr>
                <w:rFonts w:hint="eastAsia"/>
                <w:bCs/>
                <w:color w:val="auto"/>
                <w:sz w:val="24"/>
              </w:rPr>
              <w:t>a.</w:t>
            </w:r>
            <w:r>
              <w:rPr>
                <w:bCs/>
                <w:color w:val="auto"/>
                <w:sz w:val="24"/>
              </w:rPr>
              <w:t>覆土工程设计</w:t>
            </w:r>
          </w:p>
          <w:p w14:paraId="0E64FFB4">
            <w:pPr>
              <w:keepNext w:val="0"/>
              <w:keepLines w:val="0"/>
              <w:pageBreakBefore w:val="0"/>
              <w:kinsoku/>
              <w:wordWrap/>
              <w:overflowPunct/>
              <w:topLinePunct w:val="0"/>
              <w:autoSpaceDE/>
              <w:autoSpaceDN/>
              <w:bidi w:val="0"/>
              <w:adjustRightInd w:val="0"/>
              <w:snapToGrid w:val="0"/>
              <w:spacing w:line="480" w:lineRule="exact"/>
              <w:ind w:firstLine="480" w:firstLineChars="200"/>
              <w:textAlignment w:val="auto"/>
              <w:rPr>
                <w:bCs/>
                <w:color w:val="auto"/>
                <w:sz w:val="24"/>
              </w:rPr>
            </w:pPr>
            <w:r>
              <w:rPr>
                <w:bCs/>
                <w:color w:val="auto"/>
                <w:sz w:val="24"/>
              </w:rPr>
              <w:t>复垦为乔木林地的覆土厚度为0.8m，复垦为灌木林地的覆土厚度为0.5m，露天采场覆土土源来自</w:t>
            </w:r>
            <w:r>
              <w:rPr>
                <w:rFonts w:hint="eastAsia"/>
                <w:bCs/>
                <w:color w:val="auto"/>
                <w:sz w:val="24"/>
                <w:lang w:val="en-US" w:eastAsia="zh-CN"/>
              </w:rPr>
              <w:t>排土场</w:t>
            </w:r>
            <w:r>
              <w:rPr>
                <w:bCs/>
                <w:color w:val="auto"/>
                <w:sz w:val="24"/>
              </w:rPr>
              <w:t>。覆土量共计5.99万m</w:t>
            </w:r>
            <w:r>
              <w:rPr>
                <w:bCs/>
                <w:color w:val="auto"/>
                <w:sz w:val="24"/>
                <w:vertAlign w:val="superscript"/>
              </w:rPr>
              <w:t>3</w:t>
            </w:r>
            <w:r>
              <w:rPr>
                <w:bCs/>
                <w:color w:val="auto"/>
                <w:sz w:val="24"/>
              </w:rPr>
              <w:t>。</w:t>
            </w:r>
          </w:p>
          <w:p w14:paraId="17044EA8">
            <w:pPr>
              <w:keepNext w:val="0"/>
              <w:keepLines w:val="0"/>
              <w:pageBreakBefore w:val="0"/>
              <w:kinsoku/>
              <w:wordWrap/>
              <w:overflowPunct/>
              <w:topLinePunct w:val="0"/>
              <w:autoSpaceDE/>
              <w:autoSpaceDN/>
              <w:bidi w:val="0"/>
              <w:adjustRightInd w:val="0"/>
              <w:snapToGrid w:val="0"/>
              <w:spacing w:line="480" w:lineRule="exact"/>
              <w:ind w:left="480"/>
              <w:textAlignment w:val="auto"/>
              <w:rPr>
                <w:bCs/>
                <w:color w:val="auto"/>
                <w:sz w:val="24"/>
              </w:rPr>
            </w:pPr>
            <w:r>
              <w:rPr>
                <w:bCs/>
                <w:color w:val="auto"/>
                <w:sz w:val="24"/>
              </w:rPr>
              <w:t>b</w:t>
            </w:r>
            <w:r>
              <w:rPr>
                <w:rFonts w:hint="eastAsia"/>
                <w:bCs/>
                <w:color w:val="auto"/>
                <w:sz w:val="24"/>
              </w:rPr>
              <w:t>.</w:t>
            </w:r>
            <w:r>
              <w:rPr>
                <w:bCs/>
                <w:color w:val="auto"/>
                <w:sz w:val="24"/>
              </w:rPr>
              <w:t>生态复垦设计</w:t>
            </w:r>
          </w:p>
          <w:p w14:paraId="7C9C181D">
            <w:pPr>
              <w:keepNext w:val="0"/>
              <w:keepLines w:val="0"/>
              <w:pageBreakBefore w:val="0"/>
              <w:kinsoku/>
              <w:wordWrap/>
              <w:overflowPunct/>
              <w:topLinePunct w:val="0"/>
              <w:autoSpaceDE/>
              <w:autoSpaceDN/>
              <w:bidi w:val="0"/>
              <w:adjustRightInd w:val="0"/>
              <w:snapToGrid w:val="0"/>
              <w:spacing w:line="480" w:lineRule="exact"/>
              <w:ind w:firstLine="480" w:firstLineChars="200"/>
              <w:textAlignment w:val="auto"/>
              <w:rPr>
                <w:bCs/>
                <w:color w:val="auto"/>
                <w:sz w:val="24"/>
              </w:rPr>
            </w:pPr>
            <w:r>
              <w:rPr>
                <w:bCs/>
                <w:color w:val="auto"/>
                <w:sz w:val="24"/>
              </w:rPr>
              <w:t>露天采场底平台复垦为乔木林地，复垦模式为乔草混播，乔木为5年生油松，株行距为2m×3m，种植密度为1667株/hm</w:t>
            </w:r>
            <w:r>
              <w:rPr>
                <w:bCs/>
                <w:color w:val="auto"/>
                <w:sz w:val="24"/>
                <w:vertAlign w:val="superscript"/>
              </w:rPr>
              <w:t>2</w:t>
            </w:r>
            <w:r>
              <w:rPr>
                <w:bCs/>
                <w:color w:val="auto"/>
                <w:sz w:val="24"/>
              </w:rPr>
              <w:t>，整地方式与规格为圆形穴坑整地，采用0.6×0.6×0.6m的圆穴。林下撒播草籽，草种选择紫花苜蓿和披碱草，种植密度各15kg/hm</w:t>
            </w:r>
            <w:r>
              <w:rPr>
                <w:bCs/>
                <w:color w:val="auto"/>
                <w:sz w:val="24"/>
                <w:vertAlign w:val="superscript"/>
              </w:rPr>
              <w:t>2</w:t>
            </w:r>
            <w:r>
              <w:rPr>
                <w:bCs/>
                <w:color w:val="auto"/>
                <w:sz w:val="24"/>
              </w:rPr>
              <w:t>。</w:t>
            </w:r>
          </w:p>
          <w:p w14:paraId="12ED2654">
            <w:pPr>
              <w:keepNext w:val="0"/>
              <w:keepLines w:val="0"/>
              <w:pageBreakBefore w:val="0"/>
              <w:kinsoku/>
              <w:wordWrap/>
              <w:overflowPunct/>
              <w:topLinePunct w:val="0"/>
              <w:autoSpaceDE/>
              <w:autoSpaceDN/>
              <w:bidi w:val="0"/>
              <w:spacing w:line="480" w:lineRule="exact"/>
              <w:ind w:firstLine="480" w:firstLineChars="200"/>
              <w:textAlignment w:val="auto"/>
              <w:rPr>
                <w:color w:val="auto"/>
                <w:kern w:val="0"/>
                <w:sz w:val="24"/>
                <w:lang w:bidi="ar"/>
              </w:rPr>
            </w:pPr>
            <w:r>
              <w:rPr>
                <w:bCs/>
                <w:color w:val="auto"/>
                <w:sz w:val="24"/>
              </w:rPr>
              <w:t>露天采场台阶平台复垦为灌木林地，复垦模式为灌草种植，灌木选择3年生紫穗槐，株行距为1m×1m，种植密度为10000株/hm</w:t>
            </w:r>
            <w:r>
              <w:rPr>
                <w:bCs/>
                <w:color w:val="auto"/>
                <w:sz w:val="24"/>
                <w:vertAlign w:val="superscript"/>
              </w:rPr>
              <w:t>2</w:t>
            </w:r>
            <w:r>
              <w:rPr>
                <w:bCs/>
                <w:color w:val="auto"/>
                <w:sz w:val="24"/>
              </w:rPr>
              <w:t>，整地方式与规格为圆形穴坑整地，采用0.3×0.3×0.3m的圆穴。林下撒播草籽，草种选择紫花苜蓿和披碱草，种植密度各15kg/hm</w:t>
            </w:r>
            <w:r>
              <w:rPr>
                <w:bCs/>
                <w:color w:val="auto"/>
                <w:sz w:val="24"/>
                <w:vertAlign w:val="superscript"/>
              </w:rPr>
              <w:t>2</w:t>
            </w:r>
            <w:r>
              <w:rPr>
                <w:bCs/>
                <w:color w:val="auto"/>
                <w:sz w:val="24"/>
              </w:rPr>
              <w:t>。</w:t>
            </w:r>
          </w:p>
          <w:p w14:paraId="27E713AC">
            <w:pPr>
              <w:keepNext w:val="0"/>
              <w:keepLines w:val="0"/>
              <w:pageBreakBefore w:val="0"/>
              <w:widowControl/>
              <w:kinsoku/>
              <w:wordWrap/>
              <w:overflowPunct/>
              <w:topLinePunct w:val="0"/>
              <w:autoSpaceDE/>
              <w:autoSpaceDN/>
              <w:bidi w:val="0"/>
              <w:spacing w:line="480" w:lineRule="exact"/>
              <w:jc w:val="center"/>
              <w:textAlignment w:val="auto"/>
              <w:rPr>
                <w:rFonts w:ascii="宋体" w:hAnsi="宋体" w:cs="宋体"/>
                <w:color w:val="auto"/>
                <w:szCs w:val="21"/>
                <w:lang w:val="zh-CN" w:bidi="ar"/>
              </w:rPr>
            </w:pPr>
            <w:r>
              <w:rPr>
                <w:rFonts w:hint="eastAsia" w:ascii="宋体" w:hAnsi="宋体" w:cs="宋体"/>
                <w:color w:val="auto"/>
                <w:szCs w:val="21"/>
                <w:lang w:val="zh-CN" w:bidi="ar"/>
              </w:rPr>
              <w:t>表</w:t>
            </w:r>
            <w:r>
              <w:rPr>
                <w:color w:val="auto"/>
                <w:szCs w:val="21"/>
                <w:lang w:bidi="ar"/>
              </w:rPr>
              <w:t>5-</w:t>
            </w:r>
            <w:r>
              <w:rPr>
                <w:rFonts w:hint="eastAsia"/>
                <w:color w:val="auto"/>
                <w:szCs w:val="21"/>
                <w:lang w:val="en-US" w:eastAsia="zh-CN" w:bidi="ar"/>
              </w:rPr>
              <w:t>8</w:t>
            </w:r>
            <w:r>
              <w:rPr>
                <w:rFonts w:hint="eastAsia" w:ascii="宋体" w:hAnsi="宋体" w:cs="宋体"/>
                <w:color w:val="auto"/>
                <w:szCs w:val="21"/>
                <w:lang w:bidi="ar"/>
              </w:rPr>
              <w:t xml:space="preserve">  </w:t>
            </w:r>
            <w:r>
              <w:rPr>
                <w:rFonts w:hint="eastAsia" w:ascii="宋体" w:hAnsi="宋体" w:cs="宋体"/>
                <w:color w:val="auto"/>
                <w:szCs w:val="21"/>
                <w:lang w:val="zh-CN" w:bidi="ar"/>
              </w:rPr>
              <w:t>露天采场底平台植物措施配置表</w:t>
            </w:r>
          </w:p>
          <w:tbl>
            <w:tblPr>
              <w:tblStyle w:val="29"/>
              <w:tblW w:w="4996" w:type="pct"/>
              <w:tblInd w:w="0" w:type="dxa"/>
              <w:tblLayout w:type="autofit"/>
              <w:tblCellMar>
                <w:top w:w="0" w:type="dxa"/>
                <w:left w:w="108" w:type="dxa"/>
                <w:bottom w:w="0" w:type="dxa"/>
                <w:right w:w="108" w:type="dxa"/>
              </w:tblCellMar>
            </w:tblPr>
            <w:tblGrid>
              <w:gridCol w:w="834"/>
              <w:gridCol w:w="1311"/>
              <w:gridCol w:w="1329"/>
              <w:gridCol w:w="1677"/>
              <w:gridCol w:w="1081"/>
              <w:gridCol w:w="1003"/>
              <w:gridCol w:w="930"/>
            </w:tblGrid>
            <w:tr w14:paraId="079CB974">
              <w:tblPrEx>
                <w:tblCellMar>
                  <w:top w:w="0" w:type="dxa"/>
                  <w:left w:w="108" w:type="dxa"/>
                  <w:bottom w:w="0" w:type="dxa"/>
                  <w:right w:w="108" w:type="dxa"/>
                </w:tblCellMar>
              </w:tblPrEx>
              <w:trPr>
                <w:trHeight w:val="403" w:hRule="atLeast"/>
              </w:trPr>
              <w:tc>
                <w:tcPr>
                  <w:tcW w:w="51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D4CFE89">
                  <w:pPr>
                    <w:widowControl/>
                    <w:jc w:val="center"/>
                    <w:textAlignment w:val="center"/>
                    <w:rPr>
                      <w:color w:val="auto"/>
                      <w:sz w:val="21"/>
                      <w:szCs w:val="21"/>
                    </w:rPr>
                  </w:pPr>
                  <w:r>
                    <w:rPr>
                      <w:color w:val="auto"/>
                      <w:kern w:val="0"/>
                      <w:sz w:val="21"/>
                      <w:szCs w:val="21"/>
                      <w:lang w:bidi="ar"/>
                    </w:rPr>
                    <w:t>编号</w:t>
                  </w:r>
                </w:p>
              </w:tc>
              <w:tc>
                <w:tcPr>
                  <w:tcW w:w="80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305C291">
                  <w:pPr>
                    <w:widowControl/>
                    <w:jc w:val="center"/>
                    <w:textAlignment w:val="center"/>
                    <w:rPr>
                      <w:color w:val="auto"/>
                      <w:sz w:val="21"/>
                      <w:szCs w:val="21"/>
                    </w:rPr>
                  </w:pPr>
                  <w:r>
                    <w:rPr>
                      <w:color w:val="auto"/>
                      <w:kern w:val="0"/>
                      <w:sz w:val="21"/>
                      <w:szCs w:val="21"/>
                      <w:lang w:bidi="ar"/>
                    </w:rPr>
                    <w:t>树种或草种</w:t>
                  </w:r>
                </w:p>
              </w:tc>
              <w:tc>
                <w:tcPr>
                  <w:tcW w:w="81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7FAEFEC">
                  <w:pPr>
                    <w:widowControl/>
                    <w:jc w:val="center"/>
                    <w:textAlignment w:val="center"/>
                    <w:rPr>
                      <w:color w:val="auto"/>
                      <w:sz w:val="21"/>
                      <w:szCs w:val="21"/>
                    </w:rPr>
                  </w:pPr>
                  <w:r>
                    <w:rPr>
                      <w:color w:val="auto"/>
                      <w:kern w:val="0"/>
                      <w:sz w:val="21"/>
                      <w:szCs w:val="21"/>
                      <w:lang w:bidi="ar"/>
                    </w:rPr>
                    <w:t>株行距（m</w:t>
                  </w:r>
                  <w:r>
                    <w:rPr>
                      <w:rFonts w:hint="eastAsia" w:ascii="宋体" w:hAnsi="宋体" w:cs="宋体"/>
                      <w:color w:val="auto"/>
                      <w:kern w:val="0"/>
                      <w:sz w:val="21"/>
                      <w:szCs w:val="21"/>
                      <w:lang w:bidi="ar"/>
                    </w:rPr>
                    <w:t>）</w:t>
                  </w:r>
                </w:p>
              </w:tc>
              <w:tc>
                <w:tcPr>
                  <w:tcW w:w="102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2DA724B">
                  <w:pPr>
                    <w:widowControl/>
                    <w:jc w:val="center"/>
                    <w:textAlignment w:val="center"/>
                    <w:rPr>
                      <w:color w:val="auto"/>
                      <w:sz w:val="21"/>
                      <w:szCs w:val="21"/>
                    </w:rPr>
                  </w:pPr>
                  <w:r>
                    <w:rPr>
                      <w:color w:val="auto"/>
                      <w:kern w:val="0"/>
                      <w:sz w:val="21"/>
                      <w:szCs w:val="21"/>
                      <w:lang w:bidi="ar"/>
                    </w:rPr>
                    <w:t>植树密度/</w:t>
                  </w:r>
                  <w:r>
                    <w:rPr>
                      <w:rFonts w:hint="eastAsia" w:ascii="宋体" w:hAnsi="宋体" w:cs="宋体"/>
                      <w:color w:val="auto"/>
                      <w:kern w:val="0"/>
                      <w:sz w:val="21"/>
                      <w:szCs w:val="21"/>
                      <w:lang w:bidi="ar"/>
                    </w:rPr>
                    <w:t>播种量</w:t>
                  </w:r>
                </w:p>
              </w:tc>
              <w:tc>
                <w:tcPr>
                  <w:tcW w:w="66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717F905">
                  <w:pPr>
                    <w:widowControl/>
                    <w:jc w:val="center"/>
                    <w:textAlignment w:val="center"/>
                    <w:rPr>
                      <w:color w:val="auto"/>
                      <w:sz w:val="21"/>
                      <w:szCs w:val="21"/>
                    </w:rPr>
                  </w:pPr>
                  <w:r>
                    <w:rPr>
                      <w:color w:val="auto"/>
                      <w:kern w:val="0"/>
                      <w:sz w:val="21"/>
                      <w:szCs w:val="21"/>
                      <w:lang w:bidi="ar"/>
                    </w:rPr>
                    <w:t>种植面积（ hm</w:t>
                  </w:r>
                  <w:r>
                    <w:rPr>
                      <w:color w:val="auto"/>
                      <w:kern w:val="0"/>
                      <w:sz w:val="21"/>
                      <w:szCs w:val="21"/>
                      <w:vertAlign w:val="superscript"/>
                      <w:lang w:bidi="ar"/>
                    </w:rPr>
                    <w:t>2</w:t>
                  </w:r>
                  <w:r>
                    <w:rPr>
                      <w:rFonts w:hint="eastAsia" w:ascii="宋体" w:hAnsi="宋体" w:cs="宋体"/>
                      <w:color w:val="auto"/>
                      <w:kern w:val="0"/>
                      <w:sz w:val="21"/>
                      <w:szCs w:val="21"/>
                      <w:lang w:bidi="ar"/>
                    </w:rPr>
                    <w:t>）</w:t>
                  </w:r>
                </w:p>
              </w:tc>
              <w:tc>
                <w:tcPr>
                  <w:tcW w:w="6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CE1631">
                  <w:pPr>
                    <w:widowControl/>
                    <w:jc w:val="center"/>
                    <w:textAlignment w:val="center"/>
                    <w:rPr>
                      <w:color w:val="auto"/>
                      <w:sz w:val="21"/>
                      <w:szCs w:val="21"/>
                    </w:rPr>
                  </w:pPr>
                  <w:r>
                    <w:rPr>
                      <w:color w:val="auto"/>
                      <w:kern w:val="0"/>
                      <w:sz w:val="21"/>
                      <w:szCs w:val="21"/>
                      <w:lang w:bidi="ar"/>
                    </w:rPr>
                    <w:t>种植</w:t>
                  </w:r>
                </w:p>
              </w:tc>
              <w:tc>
                <w:tcPr>
                  <w:tcW w:w="56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DD9EE2E">
                  <w:pPr>
                    <w:widowControl/>
                    <w:jc w:val="center"/>
                    <w:textAlignment w:val="center"/>
                    <w:rPr>
                      <w:color w:val="auto"/>
                      <w:sz w:val="21"/>
                      <w:szCs w:val="21"/>
                    </w:rPr>
                  </w:pPr>
                  <w:r>
                    <w:rPr>
                      <w:color w:val="auto"/>
                      <w:kern w:val="0"/>
                      <w:sz w:val="21"/>
                      <w:szCs w:val="21"/>
                      <w:lang w:bidi="ar"/>
                    </w:rPr>
                    <w:t>播种方式</w:t>
                  </w:r>
                </w:p>
              </w:tc>
            </w:tr>
            <w:tr w14:paraId="7E512630">
              <w:tblPrEx>
                <w:tblCellMar>
                  <w:top w:w="0" w:type="dxa"/>
                  <w:left w:w="108" w:type="dxa"/>
                  <w:bottom w:w="0" w:type="dxa"/>
                  <w:right w:w="108" w:type="dxa"/>
                </w:tblCellMar>
              </w:tblPrEx>
              <w:trPr>
                <w:trHeight w:val="315" w:hRule="atLeast"/>
              </w:trPr>
              <w:tc>
                <w:tcPr>
                  <w:tcW w:w="51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6F44AA">
                  <w:pPr>
                    <w:jc w:val="center"/>
                    <w:rPr>
                      <w:color w:val="auto"/>
                      <w:sz w:val="21"/>
                      <w:szCs w:val="21"/>
                    </w:rPr>
                  </w:pPr>
                </w:p>
              </w:tc>
              <w:tc>
                <w:tcPr>
                  <w:tcW w:w="80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E572BB">
                  <w:pPr>
                    <w:jc w:val="center"/>
                    <w:rPr>
                      <w:color w:val="auto"/>
                      <w:sz w:val="21"/>
                      <w:szCs w:val="21"/>
                    </w:rPr>
                  </w:pPr>
                </w:p>
              </w:tc>
              <w:tc>
                <w:tcPr>
                  <w:tcW w:w="81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9258E2">
                  <w:pPr>
                    <w:jc w:val="center"/>
                    <w:rPr>
                      <w:color w:val="auto"/>
                      <w:sz w:val="21"/>
                      <w:szCs w:val="21"/>
                    </w:rPr>
                  </w:pPr>
                </w:p>
              </w:tc>
              <w:tc>
                <w:tcPr>
                  <w:tcW w:w="102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88EEB6">
                  <w:pPr>
                    <w:jc w:val="center"/>
                    <w:rPr>
                      <w:color w:val="auto"/>
                      <w:sz w:val="21"/>
                      <w:szCs w:val="21"/>
                    </w:rPr>
                  </w:pPr>
                </w:p>
              </w:tc>
              <w:tc>
                <w:tcPr>
                  <w:tcW w:w="6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1FB2E2">
                  <w:pPr>
                    <w:jc w:val="center"/>
                    <w:rPr>
                      <w:color w:val="auto"/>
                      <w:sz w:val="21"/>
                      <w:szCs w:val="21"/>
                    </w:rPr>
                  </w:pPr>
                </w:p>
              </w:tc>
              <w:tc>
                <w:tcPr>
                  <w:tcW w:w="6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4A989B">
                  <w:pPr>
                    <w:widowControl/>
                    <w:jc w:val="center"/>
                    <w:textAlignment w:val="center"/>
                    <w:rPr>
                      <w:color w:val="auto"/>
                      <w:sz w:val="21"/>
                      <w:szCs w:val="21"/>
                    </w:rPr>
                  </w:pPr>
                  <w:r>
                    <w:rPr>
                      <w:color w:val="auto"/>
                      <w:kern w:val="0"/>
                      <w:sz w:val="21"/>
                      <w:szCs w:val="21"/>
                      <w:lang w:bidi="ar"/>
                    </w:rPr>
                    <w:t>数量</w:t>
                  </w:r>
                </w:p>
              </w:tc>
              <w:tc>
                <w:tcPr>
                  <w:tcW w:w="56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4C3FAB">
                  <w:pPr>
                    <w:jc w:val="center"/>
                    <w:rPr>
                      <w:color w:val="auto"/>
                      <w:sz w:val="21"/>
                      <w:szCs w:val="21"/>
                    </w:rPr>
                  </w:pPr>
                </w:p>
              </w:tc>
            </w:tr>
            <w:tr w14:paraId="2DA33FD3">
              <w:tblPrEx>
                <w:tblCellMar>
                  <w:top w:w="0" w:type="dxa"/>
                  <w:left w:w="108" w:type="dxa"/>
                  <w:bottom w:w="0" w:type="dxa"/>
                  <w:right w:w="108" w:type="dxa"/>
                </w:tblCellMar>
              </w:tblPrEx>
              <w:trPr>
                <w:trHeight w:val="600" w:hRule="atLeast"/>
              </w:trPr>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EDC4F9">
                  <w:pPr>
                    <w:widowControl/>
                    <w:jc w:val="center"/>
                    <w:textAlignment w:val="center"/>
                    <w:rPr>
                      <w:color w:val="auto"/>
                      <w:sz w:val="21"/>
                      <w:szCs w:val="21"/>
                    </w:rPr>
                  </w:pPr>
                  <w:r>
                    <w:rPr>
                      <w:color w:val="auto"/>
                      <w:kern w:val="0"/>
                      <w:sz w:val="21"/>
                      <w:szCs w:val="21"/>
                      <w:lang w:bidi="ar"/>
                    </w:rPr>
                    <w:t>1</w:t>
                  </w:r>
                </w:p>
              </w:tc>
              <w:tc>
                <w:tcPr>
                  <w:tcW w:w="8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151FCC">
                  <w:pPr>
                    <w:widowControl/>
                    <w:jc w:val="center"/>
                    <w:textAlignment w:val="center"/>
                    <w:rPr>
                      <w:rFonts w:ascii="宋体" w:hAnsi="宋体" w:cs="宋体"/>
                      <w:color w:val="auto"/>
                      <w:sz w:val="21"/>
                      <w:szCs w:val="21"/>
                    </w:rPr>
                  </w:pPr>
                  <w:r>
                    <w:rPr>
                      <w:rFonts w:hint="eastAsia" w:ascii="宋体" w:hAnsi="宋体" w:cs="宋体"/>
                      <w:color w:val="auto"/>
                      <w:kern w:val="0"/>
                      <w:sz w:val="21"/>
                      <w:szCs w:val="21"/>
                      <w:lang w:bidi="ar"/>
                    </w:rPr>
                    <w:t>油松</w:t>
                  </w:r>
                </w:p>
              </w:tc>
              <w:tc>
                <w:tcPr>
                  <w:tcW w:w="8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CF7D28">
                  <w:pPr>
                    <w:widowControl/>
                    <w:jc w:val="center"/>
                    <w:textAlignment w:val="center"/>
                    <w:rPr>
                      <w:color w:val="auto"/>
                      <w:sz w:val="21"/>
                      <w:szCs w:val="21"/>
                    </w:rPr>
                  </w:pPr>
                  <w:r>
                    <w:rPr>
                      <w:color w:val="auto"/>
                      <w:kern w:val="0"/>
                      <w:sz w:val="21"/>
                      <w:szCs w:val="21"/>
                      <w:lang w:bidi="ar"/>
                    </w:rPr>
                    <w:t>2×3</w:t>
                  </w:r>
                </w:p>
              </w:tc>
              <w:tc>
                <w:tcPr>
                  <w:tcW w:w="10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050461">
                  <w:pPr>
                    <w:widowControl/>
                    <w:jc w:val="center"/>
                    <w:textAlignment w:val="center"/>
                    <w:rPr>
                      <w:color w:val="auto"/>
                      <w:sz w:val="21"/>
                      <w:szCs w:val="21"/>
                    </w:rPr>
                  </w:pPr>
                  <w:r>
                    <w:rPr>
                      <w:color w:val="auto"/>
                      <w:kern w:val="0"/>
                      <w:sz w:val="21"/>
                      <w:szCs w:val="21"/>
                      <w:lang w:bidi="ar"/>
                    </w:rPr>
                    <w:t>1667</w:t>
                  </w:r>
                  <w:r>
                    <w:rPr>
                      <w:rFonts w:hint="eastAsia" w:ascii="宋体" w:hAnsi="宋体" w:cs="宋体"/>
                      <w:color w:val="auto"/>
                      <w:kern w:val="0"/>
                      <w:sz w:val="21"/>
                      <w:szCs w:val="21"/>
                      <w:lang w:bidi="ar"/>
                    </w:rPr>
                    <w:t>株</w:t>
                  </w:r>
                  <w:r>
                    <w:rPr>
                      <w:color w:val="auto"/>
                      <w:kern w:val="0"/>
                      <w:sz w:val="21"/>
                      <w:szCs w:val="21"/>
                      <w:lang w:bidi="ar"/>
                    </w:rPr>
                    <w:t>/hm</w:t>
                  </w:r>
                  <w:r>
                    <w:rPr>
                      <w:color w:val="auto"/>
                      <w:kern w:val="0"/>
                      <w:sz w:val="21"/>
                      <w:szCs w:val="21"/>
                      <w:vertAlign w:val="superscript"/>
                      <w:lang w:bidi="ar"/>
                    </w:rPr>
                    <w:t>2</w:t>
                  </w:r>
                </w:p>
              </w:tc>
              <w:tc>
                <w:tcPr>
                  <w:tcW w:w="6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BE1F3B">
                  <w:pPr>
                    <w:widowControl/>
                    <w:jc w:val="center"/>
                    <w:textAlignment w:val="center"/>
                    <w:rPr>
                      <w:color w:val="auto"/>
                      <w:sz w:val="21"/>
                      <w:szCs w:val="21"/>
                    </w:rPr>
                  </w:pPr>
                  <w:r>
                    <w:rPr>
                      <w:color w:val="auto"/>
                      <w:kern w:val="0"/>
                      <w:sz w:val="21"/>
                      <w:szCs w:val="21"/>
                      <w:lang w:bidi="ar"/>
                    </w:rPr>
                    <w:t>3.7869</w:t>
                  </w:r>
                </w:p>
              </w:tc>
              <w:tc>
                <w:tcPr>
                  <w:tcW w:w="6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E9E240">
                  <w:pPr>
                    <w:widowControl/>
                    <w:jc w:val="center"/>
                    <w:textAlignment w:val="center"/>
                    <w:rPr>
                      <w:color w:val="auto"/>
                      <w:sz w:val="21"/>
                      <w:szCs w:val="21"/>
                    </w:rPr>
                  </w:pPr>
                  <w:r>
                    <w:rPr>
                      <w:color w:val="auto"/>
                      <w:kern w:val="0"/>
                      <w:sz w:val="21"/>
                      <w:szCs w:val="21"/>
                      <w:lang w:bidi="ar"/>
                    </w:rPr>
                    <w:t>6313</w:t>
                  </w:r>
                </w:p>
              </w:tc>
              <w:tc>
                <w:tcPr>
                  <w:tcW w:w="5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40D427">
                  <w:pPr>
                    <w:widowControl/>
                    <w:jc w:val="center"/>
                    <w:textAlignment w:val="center"/>
                    <w:rPr>
                      <w:color w:val="auto"/>
                      <w:sz w:val="21"/>
                      <w:szCs w:val="21"/>
                    </w:rPr>
                  </w:pPr>
                  <w:r>
                    <w:rPr>
                      <w:color w:val="auto"/>
                      <w:kern w:val="0"/>
                      <w:sz w:val="21"/>
                      <w:szCs w:val="21"/>
                      <w:lang w:bidi="ar"/>
                    </w:rPr>
                    <w:t>带土球移植</w:t>
                  </w:r>
                </w:p>
              </w:tc>
            </w:tr>
            <w:tr w14:paraId="36946A53">
              <w:tblPrEx>
                <w:tblCellMar>
                  <w:top w:w="0" w:type="dxa"/>
                  <w:left w:w="108" w:type="dxa"/>
                  <w:bottom w:w="0" w:type="dxa"/>
                  <w:right w:w="108" w:type="dxa"/>
                </w:tblCellMar>
              </w:tblPrEx>
              <w:trPr>
                <w:trHeight w:val="315" w:hRule="atLeast"/>
              </w:trPr>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F9779F">
                  <w:pPr>
                    <w:widowControl/>
                    <w:jc w:val="center"/>
                    <w:textAlignment w:val="center"/>
                    <w:rPr>
                      <w:color w:val="auto"/>
                      <w:sz w:val="21"/>
                      <w:szCs w:val="21"/>
                    </w:rPr>
                  </w:pPr>
                  <w:r>
                    <w:rPr>
                      <w:color w:val="auto"/>
                      <w:kern w:val="0"/>
                      <w:sz w:val="21"/>
                      <w:szCs w:val="21"/>
                      <w:lang w:bidi="ar"/>
                    </w:rPr>
                    <w:t>2</w:t>
                  </w:r>
                </w:p>
              </w:tc>
              <w:tc>
                <w:tcPr>
                  <w:tcW w:w="8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DF4517">
                  <w:pPr>
                    <w:widowControl/>
                    <w:jc w:val="center"/>
                    <w:textAlignment w:val="center"/>
                    <w:rPr>
                      <w:color w:val="auto"/>
                      <w:sz w:val="21"/>
                      <w:szCs w:val="21"/>
                    </w:rPr>
                  </w:pPr>
                  <w:r>
                    <w:rPr>
                      <w:color w:val="auto"/>
                      <w:kern w:val="0"/>
                      <w:sz w:val="21"/>
                      <w:szCs w:val="21"/>
                      <w:lang w:bidi="ar"/>
                    </w:rPr>
                    <w:t>紫花苜蓿</w:t>
                  </w:r>
                </w:p>
              </w:tc>
              <w:tc>
                <w:tcPr>
                  <w:tcW w:w="8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60A3E1">
                  <w:pPr>
                    <w:widowControl/>
                    <w:jc w:val="center"/>
                    <w:textAlignment w:val="center"/>
                    <w:rPr>
                      <w:color w:val="auto"/>
                      <w:sz w:val="21"/>
                      <w:szCs w:val="21"/>
                    </w:rPr>
                  </w:pPr>
                  <w:r>
                    <w:rPr>
                      <w:color w:val="auto"/>
                      <w:kern w:val="0"/>
                      <w:sz w:val="21"/>
                      <w:szCs w:val="21"/>
                      <w:lang w:bidi="ar"/>
                    </w:rPr>
                    <w:t>——</w:t>
                  </w:r>
                </w:p>
              </w:tc>
              <w:tc>
                <w:tcPr>
                  <w:tcW w:w="10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969D66">
                  <w:pPr>
                    <w:widowControl/>
                    <w:jc w:val="center"/>
                    <w:textAlignment w:val="center"/>
                    <w:rPr>
                      <w:color w:val="auto"/>
                      <w:sz w:val="21"/>
                      <w:szCs w:val="21"/>
                    </w:rPr>
                  </w:pPr>
                  <w:r>
                    <w:rPr>
                      <w:color w:val="auto"/>
                      <w:kern w:val="0"/>
                      <w:sz w:val="21"/>
                      <w:szCs w:val="21"/>
                      <w:lang w:bidi="ar"/>
                    </w:rPr>
                    <w:t>15kg/hm</w:t>
                  </w:r>
                  <w:r>
                    <w:rPr>
                      <w:color w:val="auto"/>
                      <w:kern w:val="0"/>
                      <w:sz w:val="21"/>
                      <w:szCs w:val="21"/>
                      <w:vertAlign w:val="superscript"/>
                      <w:lang w:bidi="ar"/>
                    </w:rPr>
                    <w:t>2</w:t>
                  </w:r>
                </w:p>
              </w:tc>
              <w:tc>
                <w:tcPr>
                  <w:tcW w:w="6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3136CA">
                  <w:pPr>
                    <w:widowControl/>
                    <w:jc w:val="center"/>
                    <w:textAlignment w:val="center"/>
                    <w:rPr>
                      <w:color w:val="auto"/>
                      <w:sz w:val="21"/>
                      <w:szCs w:val="21"/>
                    </w:rPr>
                  </w:pPr>
                  <w:r>
                    <w:rPr>
                      <w:color w:val="auto"/>
                      <w:kern w:val="0"/>
                      <w:sz w:val="21"/>
                      <w:szCs w:val="21"/>
                      <w:lang w:bidi="ar"/>
                    </w:rPr>
                    <w:t>3.7869</w:t>
                  </w:r>
                </w:p>
              </w:tc>
              <w:tc>
                <w:tcPr>
                  <w:tcW w:w="6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E621AC">
                  <w:pPr>
                    <w:widowControl/>
                    <w:jc w:val="center"/>
                    <w:textAlignment w:val="center"/>
                    <w:rPr>
                      <w:color w:val="auto"/>
                      <w:sz w:val="21"/>
                      <w:szCs w:val="21"/>
                    </w:rPr>
                  </w:pPr>
                  <w:r>
                    <w:rPr>
                      <w:color w:val="auto"/>
                      <w:kern w:val="0"/>
                      <w:sz w:val="21"/>
                      <w:szCs w:val="21"/>
                      <w:lang w:bidi="ar"/>
                    </w:rPr>
                    <w:t>56.80</w:t>
                  </w:r>
                </w:p>
              </w:tc>
              <w:tc>
                <w:tcPr>
                  <w:tcW w:w="5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0CDA67">
                  <w:pPr>
                    <w:widowControl/>
                    <w:jc w:val="center"/>
                    <w:textAlignment w:val="center"/>
                    <w:rPr>
                      <w:color w:val="auto"/>
                      <w:sz w:val="21"/>
                      <w:szCs w:val="21"/>
                    </w:rPr>
                  </w:pPr>
                  <w:r>
                    <w:rPr>
                      <w:color w:val="auto"/>
                      <w:kern w:val="0"/>
                      <w:sz w:val="21"/>
                      <w:szCs w:val="21"/>
                      <w:lang w:bidi="ar"/>
                    </w:rPr>
                    <w:t>撒播</w:t>
                  </w:r>
                </w:p>
              </w:tc>
            </w:tr>
            <w:tr w14:paraId="7A8BD3AD">
              <w:tblPrEx>
                <w:tblCellMar>
                  <w:top w:w="0" w:type="dxa"/>
                  <w:left w:w="108" w:type="dxa"/>
                  <w:bottom w:w="0" w:type="dxa"/>
                  <w:right w:w="108" w:type="dxa"/>
                </w:tblCellMar>
              </w:tblPrEx>
              <w:trPr>
                <w:trHeight w:val="315" w:hRule="atLeast"/>
              </w:trPr>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44ACB5">
                  <w:pPr>
                    <w:widowControl/>
                    <w:jc w:val="center"/>
                    <w:textAlignment w:val="center"/>
                    <w:rPr>
                      <w:color w:val="auto"/>
                      <w:kern w:val="0"/>
                      <w:sz w:val="21"/>
                      <w:szCs w:val="21"/>
                      <w:lang w:bidi="ar"/>
                    </w:rPr>
                  </w:pPr>
                  <w:r>
                    <w:rPr>
                      <w:rFonts w:hint="eastAsia"/>
                      <w:color w:val="auto"/>
                      <w:kern w:val="0"/>
                      <w:sz w:val="21"/>
                      <w:szCs w:val="21"/>
                      <w:lang w:bidi="ar"/>
                    </w:rPr>
                    <w:t>3</w:t>
                  </w:r>
                </w:p>
              </w:tc>
              <w:tc>
                <w:tcPr>
                  <w:tcW w:w="8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FF2C7B">
                  <w:pPr>
                    <w:widowControl/>
                    <w:jc w:val="center"/>
                    <w:textAlignment w:val="center"/>
                    <w:rPr>
                      <w:color w:val="auto"/>
                      <w:kern w:val="0"/>
                      <w:sz w:val="21"/>
                      <w:szCs w:val="21"/>
                      <w:lang w:bidi="ar"/>
                    </w:rPr>
                  </w:pPr>
                  <w:r>
                    <w:rPr>
                      <w:bCs/>
                      <w:color w:val="auto"/>
                      <w:sz w:val="21"/>
                      <w:szCs w:val="21"/>
                    </w:rPr>
                    <w:t>披碱草</w:t>
                  </w:r>
                </w:p>
              </w:tc>
              <w:tc>
                <w:tcPr>
                  <w:tcW w:w="8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45A462">
                  <w:pPr>
                    <w:widowControl/>
                    <w:jc w:val="center"/>
                    <w:textAlignment w:val="center"/>
                    <w:rPr>
                      <w:color w:val="auto"/>
                      <w:sz w:val="21"/>
                      <w:szCs w:val="21"/>
                    </w:rPr>
                  </w:pPr>
                  <w:r>
                    <w:rPr>
                      <w:color w:val="auto"/>
                      <w:kern w:val="0"/>
                      <w:sz w:val="21"/>
                      <w:szCs w:val="21"/>
                      <w:lang w:bidi="ar"/>
                    </w:rPr>
                    <w:t>——</w:t>
                  </w:r>
                </w:p>
              </w:tc>
              <w:tc>
                <w:tcPr>
                  <w:tcW w:w="10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912695">
                  <w:pPr>
                    <w:widowControl/>
                    <w:jc w:val="center"/>
                    <w:textAlignment w:val="center"/>
                    <w:rPr>
                      <w:color w:val="auto"/>
                      <w:sz w:val="21"/>
                      <w:szCs w:val="21"/>
                    </w:rPr>
                  </w:pPr>
                  <w:r>
                    <w:rPr>
                      <w:color w:val="auto"/>
                      <w:kern w:val="0"/>
                      <w:sz w:val="21"/>
                      <w:szCs w:val="21"/>
                      <w:lang w:bidi="ar"/>
                    </w:rPr>
                    <w:t>15kg/hm</w:t>
                  </w:r>
                  <w:r>
                    <w:rPr>
                      <w:color w:val="auto"/>
                      <w:kern w:val="0"/>
                      <w:sz w:val="21"/>
                      <w:szCs w:val="21"/>
                      <w:vertAlign w:val="superscript"/>
                      <w:lang w:bidi="ar"/>
                    </w:rPr>
                    <w:t>2</w:t>
                  </w:r>
                </w:p>
              </w:tc>
              <w:tc>
                <w:tcPr>
                  <w:tcW w:w="6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63038B">
                  <w:pPr>
                    <w:widowControl/>
                    <w:jc w:val="center"/>
                    <w:textAlignment w:val="center"/>
                    <w:rPr>
                      <w:color w:val="auto"/>
                      <w:sz w:val="21"/>
                      <w:szCs w:val="21"/>
                    </w:rPr>
                  </w:pPr>
                  <w:r>
                    <w:rPr>
                      <w:color w:val="auto"/>
                      <w:kern w:val="0"/>
                      <w:sz w:val="21"/>
                      <w:szCs w:val="21"/>
                      <w:lang w:bidi="ar"/>
                    </w:rPr>
                    <w:t>3.7869</w:t>
                  </w:r>
                </w:p>
              </w:tc>
              <w:tc>
                <w:tcPr>
                  <w:tcW w:w="6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D694C5">
                  <w:pPr>
                    <w:widowControl/>
                    <w:jc w:val="center"/>
                    <w:textAlignment w:val="center"/>
                    <w:rPr>
                      <w:color w:val="auto"/>
                      <w:sz w:val="21"/>
                      <w:szCs w:val="21"/>
                    </w:rPr>
                  </w:pPr>
                  <w:r>
                    <w:rPr>
                      <w:color w:val="auto"/>
                      <w:kern w:val="0"/>
                      <w:sz w:val="21"/>
                      <w:szCs w:val="21"/>
                      <w:lang w:bidi="ar"/>
                    </w:rPr>
                    <w:t>56.80</w:t>
                  </w:r>
                </w:p>
              </w:tc>
              <w:tc>
                <w:tcPr>
                  <w:tcW w:w="5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B4814A">
                  <w:pPr>
                    <w:widowControl/>
                    <w:jc w:val="center"/>
                    <w:textAlignment w:val="center"/>
                    <w:rPr>
                      <w:color w:val="auto"/>
                      <w:sz w:val="21"/>
                      <w:szCs w:val="21"/>
                    </w:rPr>
                  </w:pPr>
                  <w:r>
                    <w:rPr>
                      <w:color w:val="auto"/>
                      <w:kern w:val="0"/>
                      <w:sz w:val="21"/>
                      <w:szCs w:val="21"/>
                      <w:lang w:bidi="ar"/>
                    </w:rPr>
                    <w:t>撒播</w:t>
                  </w:r>
                </w:p>
              </w:tc>
            </w:tr>
          </w:tbl>
          <w:p w14:paraId="55C51A08">
            <w:pPr>
              <w:pStyle w:val="81"/>
              <w:ind w:firstLine="0"/>
              <w:jc w:val="center"/>
              <w:rPr>
                <w:rFonts w:ascii="宋体" w:hAnsi="宋体" w:eastAsia="宋体" w:cs="宋体"/>
                <w:color w:val="auto"/>
                <w:szCs w:val="21"/>
                <w:lang w:val="zh-CN" w:bidi="ar"/>
              </w:rPr>
            </w:pPr>
            <w:bookmarkStart w:id="26" w:name="_Hlk100352051"/>
            <w:r>
              <w:rPr>
                <w:rFonts w:hint="eastAsia" w:ascii="宋体" w:hAnsi="宋体" w:eastAsia="宋体" w:cs="宋体"/>
                <w:color w:val="auto"/>
                <w:szCs w:val="21"/>
                <w:lang w:val="zh-CN" w:bidi="ar"/>
              </w:rPr>
              <w:t>表</w:t>
            </w:r>
            <w:r>
              <w:rPr>
                <w:rFonts w:eastAsia="宋体"/>
                <w:color w:val="auto"/>
                <w:szCs w:val="21"/>
                <w:lang w:bidi="ar"/>
              </w:rPr>
              <w:t>5-</w:t>
            </w:r>
            <w:r>
              <w:rPr>
                <w:rFonts w:hint="eastAsia" w:eastAsia="宋体"/>
                <w:color w:val="auto"/>
                <w:szCs w:val="21"/>
                <w:lang w:val="en-US" w:eastAsia="zh-CN" w:bidi="ar"/>
              </w:rPr>
              <w:t xml:space="preserve">9  </w:t>
            </w:r>
            <w:r>
              <w:rPr>
                <w:rFonts w:hint="eastAsia" w:ascii="宋体" w:hAnsi="宋体" w:eastAsia="宋体" w:cs="宋体"/>
                <w:color w:val="auto"/>
                <w:szCs w:val="21"/>
                <w:lang w:val="zh-CN" w:bidi="ar"/>
              </w:rPr>
              <w:t>露天采场台阶平台植物措施配置表</w:t>
            </w:r>
          </w:p>
          <w:bookmarkEnd w:id="26"/>
          <w:tbl>
            <w:tblPr>
              <w:tblStyle w:val="29"/>
              <w:tblW w:w="8169" w:type="dxa"/>
              <w:tblInd w:w="0" w:type="dxa"/>
              <w:tblLayout w:type="autofit"/>
              <w:tblCellMar>
                <w:top w:w="0" w:type="dxa"/>
                <w:left w:w="108" w:type="dxa"/>
                <w:bottom w:w="0" w:type="dxa"/>
                <w:right w:w="108" w:type="dxa"/>
              </w:tblCellMar>
            </w:tblPr>
            <w:tblGrid>
              <w:gridCol w:w="839"/>
              <w:gridCol w:w="1411"/>
              <w:gridCol w:w="1341"/>
              <w:gridCol w:w="1162"/>
              <w:gridCol w:w="1200"/>
              <w:gridCol w:w="1130"/>
              <w:gridCol w:w="1086"/>
            </w:tblGrid>
            <w:tr w14:paraId="03772C8D">
              <w:tblPrEx>
                <w:tblCellMar>
                  <w:top w:w="0" w:type="dxa"/>
                  <w:left w:w="108" w:type="dxa"/>
                  <w:bottom w:w="0" w:type="dxa"/>
                  <w:right w:w="108" w:type="dxa"/>
                </w:tblCellMar>
              </w:tblPrEx>
              <w:trPr>
                <w:trHeight w:val="300" w:hRule="atLeast"/>
              </w:trPr>
              <w:tc>
                <w:tcPr>
                  <w:tcW w:w="51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0F3B905">
                  <w:pPr>
                    <w:widowControl/>
                    <w:jc w:val="center"/>
                    <w:textAlignment w:val="center"/>
                    <w:rPr>
                      <w:color w:val="auto"/>
                      <w:sz w:val="21"/>
                      <w:szCs w:val="21"/>
                    </w:rPr>
                  </w:pPr>
                  <w:r>
                    <w:rPr>
                      <w:color w:val="auto"/>
                      <w:kern w:val="0"/>
                      <w:sz w:val="21"/>
                      <w:szCs w:val="21"/>
                      <w:lang w:bidi="ar"/>
                    </w:rPr>
                    <w:t>编号</w:t>
                  </w:r>
                </w:p>
              </w:tc>
              <w:tc>
                <w:tcPr>
                  <w:tcW w:w="86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9454CD3">
                  <w:pPr>
                    <w:widowControl/>
                    <w:jc w:val="center"/>
                    <w:textAlignment w:val="center"/>
                    <w:rPr>
                      <w:color w:val="auto"/>
                      <w:sz w:val="21"/>
                      <w:szCs w:val="21"/>
                    </w:rPr>
                  </w:pPr>
                  <w:r>
                    <w:rPr>
                      <w:color w:val="auto"/>
                      <w:kern w:val="0"/>
                      <w:sz w:val="21"/>
                      <w:szCs w:val="21"/>
                      <w:lang w:bidi="ar"/>
                    </w:rPr>
                    <w:t>树种或草种</w:t>
                  </w:r>
                </w:p>
              </w:tc>
              <w:tc>
                <w:tcPr>
                  <w:tcW w:w="82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C7EEBF8">
                  <w:pPr>
                    <w:widowControl/>
                    <w:jc w:val="center"/>
                    <w:textAlignment w:val="center"/>
                    <w:rPr>
                      <w:color w:val="auto"/>
                      <w:sz w:val="21"/>
                      <w:szCs w:val="21"/>
                    </w:rPr>
                  </w:pPr>
                  <w:r>
                    <w:rPr>
                      <w:color w:val="auto"/>
                      <w:kern w:val="0"/>
                      <w:sz w:val="21"/>
                      <w:szCs w:val="21"/>
                      <w:lang w:bidi="ar"/>
                    </w:rPr>
                    <w:t>株行距（m</w:t>
                  </w:r>
                  <w:r>
                    <w:rPr>
                      <w:rFonts w:hint="eastAsia" w:ascii="宋体" w:hAnsi="宋体" w:cs="宋体"/>
                      <w:color w:val="auto"/>
                      <w:kern w:val="0"/>
                      <w:sz w:val="21"/>
                      <w:szCs w:val="21"/>
                      <w:lang w:bidi="ar"/>
                    </w:rPr>
                    <w:t>）</w:t>
                  </w:r>
                </w:p>
              </w:tc>
              <w:tc>
                <w:tcPr>
                  <w:tcW w:w="71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527F9DF">
                  <w:pPr>
                    <w:widowControl/>
                    <w:jc w:val="center"/>
                    <w:textAlignment w:val="center"/>
                    <w:rPr>
                      <w:color w:val="auto"/>
                      <w:sz w:val="21"/>
                      <w:szCs w:val="21"/>
                    </w:rPr>
                  </w:pPr>
                  <w:r>
                    <w:rPr>
                      <w:color w:val="auto"/>
                      <w:kern w:val="0"/>
                      <w:sz w:val="21"/>
                      <w:szCs w:val="21"/>
                      <w:lang w:bidi="ar"/>
                    </w:rPr>
                    <w:t>植树密度/</w:t>
                  </w:r>
                  <w:r>
                    <w:rPr>
                      <w:rFonts w:hint="eastAsia" w:ascii="宋体" w:hAnsi="宋体" w:cs="宋体"/>
                      <w:color w:val="auto"/>
                      <w:kern w:val="0"/>
                      <w:sz w:val="21"/>
                      <w:szCs w:val="21"/>
                      <w:lang w:bidi="ar"/>
                    </w:rPr>
                    <w:t>播种量</w:t>
                  </w:r>
                </w:p>
              </w:tc>
              <w:tc>
                <w:tcPr>
                  <w:tcW w:w="73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DABAB4C">
                  <w:pPr>
                    <w:widowControl/>
                    <w:jc w:val="center"/>
                    <w:textAlignment w:val="center"/>
                    <w:rPr>
                      <w:color w:val="auto"/>
                      <w:sz w:val="21"/>
                      <w:szCs w:val="21"/>
                    </w:rPr>
                  </w:pPr>
                  <w:r>
                    <w:rPr>
                      <w:color w:val="auto"/>
                      <w:kern w:val="0"/>
                      <w:sz w:val="21"/>
                      <w:szCs w:val="21"/>
                      <w:lang w:bidi="ar"/>
                    </w:rPr>
                    <w:t>种植面积（ hm</w:t>
                  </w:r>
                  <w:r>
                    <w:rPr>
                      <w:color w:val="auto"/>
                      <w:kern w:val="0"/>
                      <w:sz w:val="21"/>
                      <w:szCs w:val="21"/>
                      <w:vertAlign w:val="superscript"/>
                      <w:lang w:bidi="ar"/>
                    </w:rPr>
                    <w:t>2</w:t>
                  </w:r>
                  <w:r>
                    <w:rPr>
                      <w:rFonts w:hint="eastAsia" w:ascii="宋体" w:hAnsi="宋体" w:cs="宋体"/>
                      <w:color w:val="auto"/>
                      <w:kern w:val="0"/>
                      <w:sz w:val="21"/>
                      <w:szCs w:val="21"/>
                      <w:lang w:bidi="ar"/>
                    </w:rPr>
                    <w:t>）</w:t>
                  </w:r>
                </w:p>
              </w:tc>
              <w:tc>
                <w:tcPr>
                  <w:tcW w:w="6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50C2E0">
                  <w:pPr>
                    <w:widowControl/>
                    <w:jc w:val="center"/>
                    <w:textAlignment w:val="center"/>
                    <w:rPr>
                      <w:color w:val="auto"/>
                      <w:sz w:val="21"/>
                      <w:szCs w:val="21"/>
                    </w:rPr>
                  </w:pPr>
                  <w:r>
                    <w:rPr>
                      <w:color w:val="auto"/>
                      <w:kern w:val="0"/>
                      <w:sz w:val="21"/>
                      <w:szCs w:val="21"/>
                      <w:lang w:bidi="ar"/>
                    </w:rPr>
                    <w:t>种植</w:t>
                  </w:r>
                </w:p>
              </w:tc>
              <w:tc>
                <w:tcPr>
                  <w:tcW w:w="66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21F9C6E">
                  <w:pPr>
                    <w:widowControl/>
                    <w:jc w:val="center"/>
                    <w:textAlignment w:val="center"/>
                    <w:rPr>
                      <w:color w:val="auto"/>
                      <w:sz w:val="21"/>
                      <w:szCs w:val="21"/>
                    </w:rPr>
                  </w:pPr>
                  <w:r>
                    <w:rPr>
                      <w:color w:val="auto"/>
                      <w:kern w:val="0"/>
                      <w:sz w:val="21"/>
                      <w:szCs w:val="21"/>
                      <w:lang w:bidi="ar"/>
                    </w:rPr>
                    <w:t>播种方式</w:t>
                  </w:r>
                </w:p>
              </w:tc>
            </w:tr>
            <w:tr w14:paraId="64A288D6">
              <w:tblPrEx>
                <w:tblCellMar>
                  <w:top w:w="0" w:type="dxa"/>
                  <w:left w:w="108" w:type="dxa"/>
                  <w:bottom w:w="0" w:type="dxa"/>
                  <w:right w:w="108" w:type="dxa"/>
                </w:tblCellMar>
              </w:tblPrEx>
              <w:trPr>
                <w:trHeight w:val="300" w:hRule="atLeast"/>
              </w:trPr>
              <w:tc>
                <w:tcPr>
                  <w:tcW w:w="51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713E88">
                  <w:pPr>
                    <w:jc w:val="center"/>
                    <w:rPr>
                      <w:color w:val="auto"/>
                      <w:sz w:val="21"/>
                      <w:szCs w:val="21"/>
                    </w:rPr>
                  </w:pPr>
                </w:p>
              </w:tc>
              <w:tc>
                <w:tcPr>
                  <w:tcW w:w="8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D5998B">
                  <w:pPr>
                    <w:jc w:val="center"/>
                    <w:rPr>
                      <w:color w:val="auto"/>
                      <w:sz w:val="21"/>
                      <w:szCs w:val="21"/>
                    </w:rPr>
                  </w:pPr>
                </w:p>
              </w:tc>
              <w:tc>
                <w:tcPr>
                  <w:tcW w:w="8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F9F8C1">
                  <w:pPr>
                    <w:jc w:val="center"/>
                    <w:rPr>
                      <w:color w:val="auto"/>
                      <w:sz w:val="21"/>
                      <w:szCs w:val="21"/>
                    </w:rPr>
                  </w:pPr>
                </w:p>
              </w:tc>
              <w:tc>
                <w:tcPr>
                  <w:tcW w:w="71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A69896">
                  <w:pPr>
                    <w:jc w:val="center"/>
                    <w:rPr>
                      <w:color w:val="auto"/>
                      <w:sz w:val="21"/>
                      <w:szCs w:val="21"/>
                    </w:rPr>
                  </w:pPr>
                </w:p>
              </w:tc>
              <w:tc>
                <w:tcPr>
                  <w:tcW w:w="73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83FCD3">
                  <w:pPr>
                    <w:jc w:val="center"/>
                    <w:rPr>
                      <w:color w:val="auto"/>
                      <w:sz w:val="21"/>
                      <w:szCs w:val="21"/>
                    </w:rPr>
                  </w:pPr>
                </w:p>
              </w:tc>
              <w:tc>
                <w:tcPr>
                  <w:tcW w:w="6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B62A5A">
                  <w:pPr>
                    <w:widowControl/>
                    <w:jc w:val="center"/>
                    <w:textAlignment w:val="center"/>
                    <w:rPr>
                      <w:color w:val="auto"/>
                      <w:sz w:val="21"/>
                      <w:szCs w:val="21"/>
                    </w:rPr>
                  </w:pPr>
                  <w:r>
                    <w:rPr>
                      <w:color w:val="auto"/>
                      <w:kern w:val="0"/>
                      <w:sz w:val="21"/>
                      <w:szCs w:val="21"/>
                      <w:lang w:bidi="ar"/>
                    </w:rPr>
                    <w:t>数量</w:t>
                  </w:r>
                </w:p>
              </w:tc>
              <w:tc>
                <w:tcPr>
                  <w:tcW w:w="66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98F4D0">
                  <w:pPr>
                    <w:jc w:val="center"/>
                    <w:rPr>
                      <w:color w:val="auto"/>
                      <w:sz w:val="21"/>
                      <w:szCs w:val="21"/>
                    </w:rPr>
                  </w:pPr>
                </w:p>
              </w:tc>
            </w:tr>
            <w:tr w14:paraId="5699811C">
              <w:tblPrEx>
                <w:tblCellMar>
                  <w:top w:w="0" w:type="dxa"/>
                  <w:left w:w="108" w:type="dxa"/>
                  <w:bottom w:w="0" w:type="dxa"/>
                  <w:right w:w="108" w:type="dxa"/>
                </w:tblCellMar>
              </w:tblPrEx>
              <w:trPr>
                <w:trHeight w:val="600" w:hRule="atLeast"/>
              </w:trPr>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4CE6EE">
                  <w:pPr>
                    <w:widowControl/>
                    <w:jc w:val="center"/>
                    <w:textAlignment w:val="center"/>
                    <w:rPr>
                      <w:color w:val="auto"/>
                      <w:sz w:val="21"/>
                      <w:szCs w:val="21"/>
                    </w:rPr>
                  </w:pPr>
                  <w:r>
                    <w:rPr>
                      <w:color w:val="auto"/>
                      <w:kern w:val="0"/>
                      <w:sz w:val="21"/>
                      <w:szCs w:val="21"/>
                      <w:lang w:bidi="ar"/>
                    </w:rPr>
                    <w:t>1</w:t>
                  </w:r>
                </w:p>
              </w:tc>
              <w:tc>
                <w:tcPr>
                  <w:tcW w:w="8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187CEF">
                  <w:pPr>
                    <w:widowControl/>
                    <w:jc w:val="center"/>
                    <w:textAlignment w:val="center"/>
                    <w:rPr>
                      <w:rFonts w:ascii="宋体" w:hAnsi="宋体" w:cs="宋体"/>
                      <w:color w:val="auto"/>
                      <w:sz w:val="21"/>
                      <w:szCs w:val="21"/>
                    </w:rPr>
                  </w:pPr>
                  <w:r>
                    <w:rPr>
                      <w:bCs/>
                      <w:color w:val="auto"/>
                      <w:sz w:val="21"/>
                      <w:szCs w:val="21"/>
                    </w:rPr>
                    <w:t>紫穗槐</w:t>
                  </w:r>
                </w:p>
              </w:tc>
              <w:tc>
                <w:tcPr>
                  <w:tcW w:w="8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F2E6F5">
                  <w:pPr>
                    <w:widowControl/>
                    <w:jc w:val="center"/>
                    <w:textAlignment w:val="center"/>
                    <w:rPr>
                      <w:color w:val="auto"/>
                      <w:sz w:val="21"/>
                      <w:szCs w:val="21"/>
                    </w:rPr>
                  </w:pPr>
                  <w:r>
                    <w:rPr>
                      <w:color w:val="auto"/>
                      <w:kern w:val="0"/>
                      <w:sz w:val="21"/>
                      <w:szCs w:val="21"/>
                      <w:lang w:bidi="ar"/>
                    </w:rPr>
                    <w:t>1.5×1.5</w:t>
                  </w:r>
                </w:p>
              </w:tc>
              <w:tc>
                <w:tcPr>
                  <w:tcW w:w="7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BA249B">
                  <w:pPr>
                    <w:widowControl/>
                    <w:jc w:val="center"/>
                    <w:textAlignment w:val="center"/>
                    <w:rPr>
                      <w:color w:val="auto"/>
                      <w:sz w:val="21"/>
                      <w:szCs w:val="21"/>
                    </w:rPr>
                  </w:pPr>
                  <w:r>
                    <w:rPr>
                      <w:color w:val="auto"/>
                      <w:kern w:val="0"/>
                      <w:sz w:val="21"/>
                      <w:szCs w:val="21"/>
                      <w:lang w:bidi="ar"/>
                    </w:rPr>
                    <w:t>10000</w:t>
                  </w:r>
                  <w:r>
                    <w:rPr>
                      <w:rFonts w:hint="eastAsia" w:ascii="宋体" w:hAnsi="宋体" w:cs="宋体"/>
                      <w:color w:val="auto"/>
                      <w:kern w:val="0"/>
                      <w:sz w:val="21"/>
                      <w:szCs w:val="21"/>
                      <w:lang w:bidi="ar"/>
                    </w:rPr>
                    <w:t>株</w:t>
                  </w:r>
                  <w:r>
                    <w:rPr>
                      <w:color w:val="auto"/>
                      <w:kern w:val="0"/>
                      <w:sz w:val="21"/>
                      <w:szCs w:val="21"/>
                      <w:lang w:bidi="ar"/>
                    </w:rPr>
                    <w:t>/hm</w:t>
                  </w:r>
                  <w:r>
                    <w:rPr>
                      <w:color w:val="auto"/>
                      <w:kern w:val="0"/>
                      <w:sz w:val="21"/>
                      <w:szCs w:val="21"/>
                      <w:vertAlign w:val="superscript"/>
                      <w:lang w:bidi="ar"/>
                    </w:rPr>
                    <w:t>2</w:t>
                  </w:r>
                </w:p>
              </w:tc>
              <w:tc>
                <w:tcPr>
                  <w:tcW w:w="7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27D296">
                  <w:pPr>
                    <w:widowControl/>
                    <w:jc w:val="center"/>
                    <w:textAlignment w:val="center"/>
                    <w:rPr>
                      <w:color w:val="auto"/>
                      <w:sz w:val="21"/>
                      <w:szCs w:val="21"/>
                    </w:rPr>
                  </w:pPr>
                  <w:r>
                    <w:rPr>
                      <w:color w:val="auto"/>
                      <w:kern w:val="0"/>
                      <w:sz w:val="21"/>
                      <w:szCs w:val="21"/>
                      <w:lang w:bidi="ar"/>
                    </w:rPr>
                    <w:t>5.9282</w:t>
                  </w:r>
                </w:p>
              </w:tc>
              <w:tc>
                <w:tcPr>
                  <w:tcW w:w="6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81FE3E">
                  <w:pPr>
                    <w:widowControl/>
                    <w:jc w:val="center"/>
                    <w:textAlignment w:val="center"/>
                    <w:rPr>
                      <w:color w:val="auto"/>
                      <w:sz w:val="21"/>
                      <w:szCs w:val="21"/>
                    </w:rPr>
                  </w:pPr>
                  <w:r>
                    <w:rPr>
                      <w:color w:val="auto"/>
                      <w:kern w:val="0"/>
                      <w:sz w:val="21"/>
                      <w:szCs w:val="21"/>
                      <w:lang w:bidi="ar"/>
                    </w:rPr>
                    <w:t>59282</w:t>
                  </w:r>
                </w:p>
              </w:tc>
              <w:tc>
                <w:tcPr>
                  <w:tcW w:w="6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1E663D">
                  <w:pPr>
                    <w:widowControl/>
                    <w:jc w:val="center"/>
                    <w:textAlignment w:val="center"/>
                    <w:rPr>
                      <w:color w:val="auto"/>
                      <w:sz w:val="21"/>
                      <w:szCs w:val="21"/>
                    </w:rPr>
                  </w:pPr>
                  <w:r>
                    <w:rPr>
                      <w:color w:val="auto"/>
                      <w:kern w:val="0"/>
                      <w:sz w:val="21"/>
                      <w:szCs w:val="21"/>
                      <w:lang w:bidi="ar"/>
                    </w:rPr>
                    <w:t>裸根坑植</w:t>
                  </w:r>
                </w:p>
              </w:tc>
            </w:tr>
            <w:tr w14:paraId="4E86A65C">
              <w:tblPrEx>
                <w:tblCellMar>
                  <w:top w:w="0" w:type="dxa"/>
                  <w:left w:w="108" w:type="dxa"/>
                  <w:bottom w:w="0" w:type="dxa"/>
                  <w:right w:w="108" w:type="dxa"/>
                </w:tblCellMar>
              </w:tblPrEx>
              <w:trPr>
                <w:trHeight w:val="315" w:hRule="atLeast"/>
              </w:trPr>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07C3C9">
                  <w:pPr>
                    <w:widowControl/>
                    <w:jc w:val="center"/>
                    <w:textAlignment w:val="center"/>
                    <w:rPr>
                      <w:color w:val="auto"/>
                      <w:sz w:val="21"/>
                      <w:szCs w:val="21"/>
                    </w:rPr>
                  </w:pPr>
                  <w:r>
                    <w:rPr>
                      <w:color w:val="auto"/>
                      <w:kern w:val="0"/>
                      <w:sz w:val="21"/>
                      <w:szCs w:val="21"/>
                      <w:lang w:bidi="ar"/>
                    </w:rPr>
                    <w:t>2</w:t>
                  </w:r>
                </w:p>
              </w:tc>
              <w:tc>
                <w:tcPr>
                  <w:tcW w:w="8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C8505B">
                  <w:pPr>
                    <w:widowControl/>
                    <w:jc w:val="center"/>
                    <w:textAlignment w:val="center"/>
                    <w:rPr>
                      <w:color w:val="auto"/>
                      <w:sz w:val="21"/>
                      <w:szCs w:val="21"/>
                    </w:rPr>
                  </w:pPr>
                  <w:r>
                    <w:rPr>
                      <w:color w:val="auto"/>
                      <w:kern w:val="0"/>
                      <w:sz w:val="21"/>
                      <w:szCs w:val="21"/>
                      <w:lang w:bidi="ar"/>
                    </w:rPr>
                    <w:t>紫花苜蓿</w:t>
                  </w:r>
                </w:p>
              </w:tc>
              <w:tc>
                <w:tcPr>
                  <w:tcW w:w="8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BBB5D1">
                  <w:pPr>
                    <w:widowControl/>
                    <w:jc w:val="center"/>
                    <w:textAlignment w:val="center"/>
                    <w:rPr>
                      <w:color w:val="auto"/>
                      <w:sz w:val="21"/>
                      <w:szCs w:val="21"/>
                    </w:rPr>
                  </w:pPr>
                  <w:r>
                    <w:rPr>
                      <w:color w:val="auto"/>
                      <w:kern w:val="0"/>
                      <w:sz w:val="21"/>
                      <w:szCs w:val="21"/>
                      <w:lang w:bidi="ar"/>
                    </w:rPr>
                    <w:t>——</w:t>
                  </w:r>
                </w:p>
              </w:tc>
              <w:tc>
                <w:tcPr>
                  <w:tcW w:w="7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45DCE2">
                  <w:pPr>
                    <w:widowControl/>
                    <w:jc w:val="center"/>
                    <w:textAlignment w:val="center"/>
                    <w:rPr>
                      <w:color w:val="auto"/>
                      <w:sz w:val="21"/>
                      <w:szCs w:val="21"/>
                    </w:rPr>
                  </w:pPr>
                  <w:r>
                    <w:rPr>
                      <w:color w:val="auto"/>
                      <w:kern w:val="0"/>
                      <w:sz w:val="21"/>
                      <w:szCs w:val="21"/>
                      <w:lang w:bidi="ar"/>
                    </w:rPr>
                    <w:t>15kg/hm</w:t>
                  </w:r>
                  <w:r>
                    <w:rPr>
                      <w:color w:val="auto"/>
                      <w:kern w:val="0"/>
                      <w:sz w:val="21"/>
                      <w:szCs w:val="21"/>
                      <w:vertAlign w:val="superscript"/>
                      <w:lang w:bidi="ar"/>
                    </w:rPr>
                    <w:t>2</w:t>
                  </w:r>
                </w:p>
              </w:tc>
              <w:tc>
                <w:tcPr>
                  <w:tcW w:w="7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2D8E40">
                  <w:pPr>
                    <w:widowControl/>
                    <w:jc w:val="center"/>
                    <w:textAlignment w:val="center"/>
                    <w:rPr>
                      <w:color w:val="auto"/>
                      <w:sz w:val="21"/>
                      <w:szCs w:val="21"/>
                    </w:rPr>
                  </w:pPr>
                  <w:r>
                    <w:rPr>
                      <w:color w:val="auto"/>
                      <w:kern w:val="0"/>
                      <w:sz w:val="21"/>
                      <w:szCs w:val="21"/>
                      <w:lang w:bidi="ar"/>
                    </w:rPr>
                    <w:t>5.9282</w:t>
                  </w:r>
                </w:p>
              </w:tc>
              <w:tc>
                <w:tcPr>
                  <w:tcW w:w="6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331D79">
                  <w:pPr>
                    <w:widowControl/>
                    <w:jc w:val="center"/>
                    <w:textAlignment w:val="center"/>
                    <w:rPr>
                      <w:color w:val="auto"/>
                      <w:sz w:val="21"/>
                      <w:szCs w:val="21"/>
                    </w:rPr>
                  </w:pPr>
                  <w:r>
                    <w:rPr>
                      <w:color w:val="auto"/>
                      <w:kern w:val="0"/>
                      <w:sz w:val="21"/>
                      <w:szCs w:val="21"/>
                      <w:lang w:bidi="ar"/>
                    </w:rPr>
                    <w:t>88.92</w:t>
                  </w:r>
                </w:p>
              </w:tc>
              <w:tc>
                <w:tcPr>
                  <w:tcW w:w="6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EE278E">
                  <w:pPr>
                    <w:widowControl/>
                    <w:jc w:val="center"/>
                    <w:textAlignment w:val="center"/>
                    <w:rPr>
                      <w:color w:val="auto"/>
                      <w:sz w:val="21"/>
                      <w:szCs w:val="21"/>
                    </w:rPr>
                  </w:pPr>
                  <w:r>
                    <w:rPr>
                      <w:color w:val="auto"/>
                      <w:kern w:val="0"/>
                      <w:sz w:val="21"/>
                      <w:szCs w:val="21"/>
                      <w:lang w:bidi="ar"/>
                    </w:rPr>
                    <w:t>撒播</w:t>
                  </w:r>
                </w:p>
              </w:tc>
            </w:tr>
            <w:tr w14:paraId="4C169083">
              <w:tblPrEx>
                <w:tblCellMar>
                  <w:top w:w="0" w:type="dxa"/>
                  <w:left w:w="108" w:type="dxa"/>
                  <w:bottom w:w="0" w:type="dxa"/>
                  <w:right w:w="108" w:type="dxa"/>
                </w:tblCellMar>
              </w:tblPrEx>
              <w:trPr>
                <w:trHeight w:val="315" w:hRule="atLeast"/>
              </w:trPr>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EF7C6E">
                  <w:pPr>
                    <w:widowControl/>
                    <w:jc w:val="center"/>
                    <w:textAlignment w:val="center"/>
                    <w:rPr>
                      <w:color w:val="auto"/>
                      <w:kern w:val="0"/>
                      <w:sz w:val="21"/>
                      <w:szCs w:val="21"/>
                      <w:lang w:bidi="ar"/>
                    </w:rPr>
                  </w:pPr>
                  <w:r>
                    <w:rPr>
                      <w:rFonts w:hint="eastAsia"/>
                      <w:color w:val="auto"/>
                      <w:kern w:val="0"/>
                      <w:sz w:val="21"/>
                      <w:szCs w:val="21"/>
                      <w:lang w:bidi="ar"/>
                    </w:rPr>
                    <w:t>3</w:t>
                  </w:r>
                </w:p>
              </w:tc>
              <w:tc>
                <w:tcPr>
                  <w:tcW w:w="8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0621BB">
                  <w:pPr>
                    <w:widowControl/>
                    <w:jc w:val="center"/>
                    <w:textAlignment w:val="center"/>
                    <w:rPr>
                      <w:color w:val="auto"/>
                      <w:kern w:val="0"/>
                      <w:sz w:val="21"/>
                      <w:szCs w:val="21"/>
                      <w:lang w:bidi="ar"/>
                    </w:rPr>
                  </w:pPr>
                  <w:r>
                    <w:rPr>
                      <w:rFonts w:hint="eastAsia"/>
                      <w:color w:val="auto"/>
                      <w:kern w:val="0"/>
                      <w:sz w:val="21"/>
                      <w:szCs w:val="21"/>
                      <w:lang w:bidi="ar"/>
                    </w:rPr>
                    <w:t>披碱草</w:t>
                  </w:r>
                </w:p>
              </w:tc>
              <w:tc>
                <w:tcPr>
                  <w:tcW w:w="8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543203">
                  <w:pPr>
                    <w:widowControl/>
                    <w:jc w:val="center"/>
                    <w:textAlignment w:val="center"/>
                    <w:rPr>
                      <w:color w:val="auto"/>
                      <w:sz w:val="21"/>
                      <w:szCs w:val="21"/>
                    </w:rPr>
                  </w:pPr>
                  <w:r>
                    <w:rPr>
                      <w:color w:val="auto"/>
                      <w:kern w:val="0"/>
                      <w:sz w:val="21"/>
                      <w:szCs w:val="21"/>
                      <w:lang w:bidi="ar"/>
                    </w:rPr>
                    <w:t>——</w:t>
                  </w:r>
                </w:p>
              </w:tc>
              <w:tc>
                <w:tcPr>
                  <w:tcW w:w="7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0D771D">
                  <w:pPr>
                    <w:widowControl/>
                    <w:jc w:val="center"/>
                    <w:textAlignment w:val="center"/>
                    <w:rPr>
                      <w:color w:val="auto"/>
                      <w:sz w:val="21"/>
                      <w:szCs w:val="21"/>
                    </w:rPr>
                  </w:pPr>
                  <w:r>
                    <w:rPr>
                      <w:color w:val="auto"/>
                      <w:kern w:val="0"/>
                      <w:sz w:val="21"/>
                      <w:szCs w:val="21"/>
                      <w:lang w:bidi="ar"/>
                    </w:rPr>
                    <w:t>15kg/hm</w:t>
                  </w:r>
                  <w:r>
                    <w:rPr>
                      <w:color w:val="auto"/>
                      <w:kern w:val="0"/>
                      <w:sz w:val="21"/>
                      <w:szCs w:val="21"/>
                      <w:vertAlign w:val="superscript"/>
                      <w:lang w:bidi="ar"/>
                    </w:rPr>
                    <w:t>2</w:t>
                  </w:r>
                </w:p>
              </w:tc>
              <w:tc>
                <w:tcPr>
                  <w:tcW w:w="7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FEB689">
                  <w:pPr>
                    <w:widowControl/>
                    <w:jc w:val="center"/>
                    <w:textAlignment w:val="center"/>
                    <w:rPr>
                      <w:color w:val="auto"/>
                      <w:sz w:val="21"/>
                      <w:szCs w:val="21"/>
                    </w:rPr>
                  </w:pPr>
                  <w:r>
                    <w:rPr>
                      <w:color w:val="auto"/>
                      <w:kern w:val="0"/>
                      <w:sz w:val="21"/>
                      <w:szCs w:val="21"/>
                      <w:lang w:bidi="ar"/>
                    </w:rPr>
                    <w:t>5.9282</w:t>
                  </w:r>
                </w:p>
              </w:tc>
              <w:tc>
                <w:tcPr>
                  <w:tcW w:w="6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6057DE">
                  <w:pPr>
                    <w:widowControl/>
                    <w:jc w:val="center"/>
                    <w:textAlignment w:val="center"/>
                    <w:rPr>
                      <w:color w:val="auto"/>
                      <w:sz w:val="21"/>
                      <w:szCs w:val="21"/>
                    </w:rPr>
                  </w:pPr>
                  <w:r>
                    <w:rPr>
                      <w:color w:val="auto"/>
                      <w:kern w:val="0"/>
                      <w:sz w:val="21"/>
                      <w:szCs w:val="21"/>
                      <w:lang w:bidi="ar"/>
                    </w:rPr>
                    <w:t>88.92</w:t>
                  </w:r>
                </w:p>
              </w:tc>
              <w:tc>
                <w:tcPr>
                  <w:tcW w:w="6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A5EB99">
                  <w:pPr>
                    <w:widowControl/>
                    <w:jc w:val="center"/>
                    <w:textAlignment w:val="center"/>
                    <w:rPr>
                      <w:color w:val="auto"/>
                      <w:sz w:val="21"/>
                      <w:szCs w:val="21"/>
                    </w:rPr>
                  </w:pPr>
                  <w:r>
                    <w:rPr>
                      <w:color w:val="auto"/>
                      <w:kern w:val="0"/>
                      <w:sz w:val="21"/>
                      <w:szCs w:val="21"/>
                      <w:lang w:bidi="ar"/>
                    </w:rPr>
                    <w:t>撒播</w:t>
                  </w:r>
                </w:p>
              </w:tc>
            </w:tr>
          </w:tbl>
          <w:p w14:paraId="619F7787">
            <w:pPr>
              <w:pStyle w:val="82"/>
              <w:keepNext w:val="0"/>
              <w:keepLines w:val="0"/>
              <w:pageBreakBefore w:val="0"/>
              <w:widowControl/>
              <w:kinsoku/>
              <w:wordWrap/>
              <w:overflowPunct/>
              <w:topLinePunct w:val="0"/>
              <w:autoSpaceDE/>
              <w:autoSpaceDN/>
              <w:bidi w:val="0"/>
              <w:adjustRightInd/>
              <w:snapToGrid/>
              <w:spacing w:line="480" w:lineRule="exact"/>
              <w:ind w:firstLine="436" w:firstLineChars="182"/>
              <w:textAlignment w:val="auto"/>
              <w:rPr>
                <w:rFonts w:ascii="宋体" w:hAnsi="宋体" w:cs="宋体"/>
                <w:color w:val="auto"/>
              </w:rPr>
            </w:pPr>
            <w:r>
              <w:rPr>
                <w:rFonts w:hint="eastAsia" w:ascii="宋体" w:hAnsi="宋体" w:cs="宋体"/>
                <w:color w:val="auto"/>
                <w:lang w:val="en-US" w:eastAsia="zh-CN"/>
              </w:rPr>
              <w:t>④</w:t>
            </w:r>
            <w:r>
              <w:rPr>
                <w:rFonts w:hint="eastAsia" w:ascii="宋体" w:hAnsi="宋体" w:cs="宋体"/>
                <w:color w:val="auto"/>
              </w:rPr>
              <w:t>办公生活区复垦工程设计</w:t>
            </w:r>
          </w:p>
          <w:p w14:paraId="1052FAB2">
            <w:pPr>
              <w:pStyle w:val="82"/>
              <w:keepNext w:val="0"/>
              <w:keepLines w:val="0"/>
              <w:pageBreakBefore w:val="0"/>
              <w:widowControl/>
              <w:kinsoku/>
              <w:wordWrap/>
              <w:overflowPunct/>
              <w:topLinePunct w:val="0"/>
              <w:autoSpaceDE/>
              <w:autoSpaceDN/>
              <w:bidi w:val="0"/>
              <w:adjustRightInd/>
              <w:snapToGrid/>
              <w:spacing w:line="480" w:lineRule="exact"/>
              <w:ind w:firstLine="436" w:firstLineChars="182"/>
              <w:textAlignment w:val="auto"/>
              <w:rPr>
                <w:rFonts w:ascii="宋体" w:hAnsi="宋体" w:cs="宋体"/>
                <w:color w:val="auto"/>
              </w:rPr>
            </w:pPr>
            <w:r>
              <w:rPr>
                <w:rFonts w:hint="eastAsia" w:ascii="宋体" w:hAnsi="宋体" w:cs="宋体"/>
                <w:color w:val="auto"/>
              </w:rPr>
              <w:t>根据适宜性评价，办公生活区复垦为乔木林地，复垦面积</w:t>
            </w:r>
            <w:r>
              <w:rPr>
                <w:rFonts w:hint="default" w:ascii="Times New Roman" w:hAnsi="Times New Roman" w:cs="Times New Roman"/>
                <w:color w:val="auto"/>
              </w:rPr>
              <w:t>0.2962hm</w:t>
            </w:r>
            <w:r>
              <w:rPr>
                <w:rFonts w:hint="default" w:ascii="Times New Roman" w:hAnsi="Times New Roman" w:cs="Times New Roman"/>
                <w:color w:val="auto"/>
                <w:vertAlign w:val="superscript"/>
              </w:rPr>
              <w:t>2</w:t>
            </w:r>
            <w:r>
              <w:rPr>
                <w:rFonts w:hint="eastAsia" w:ascii="宋体" w:hAnsi="宋体" w:cs="宋体"/>
                <w:color w:val="auto"/>
              </w:rPr>
              <w:t>，复垦措施主要为砌体拆除、石渣外运、覆土、种植乔草等。</w:t>
            </w:r>
          </w:p>
          <w:p w14:paraId="50FF5C5A">
            <w:pPr>
              <w:pStyle w:val="82"/>
              <w:keepNext w:val="0"/>
              <w:keepLines w:val="0"/>
              <w:pageBreakBefore w:val="0"/>
              <w:widowControl/>
              <w:kinsoku/>
              <w:wordWrap/>
              <w:overflowPunct/>
              <w:topLinePunct w:val="0"/>
              <w:autoSpaceDE/>
              <w:autoSpaceDN/>
              <w:bidi w:val="0"/>
              <w:adjustRightInd/>
              <w:snapToGrid/>
              <w:spacing w:line="480" w:lineRule="exact"/>
              <w:ind w:firstLine="436" w:firstLineChars="182"/>
              <w:textAlignment w:val="auto"/>
              <w:rPr>
                <w:rFonts w:hint="default" w:ascii="Times New Roman" w:hAnsi="Times New Roman" w:cs="Times New Roman"/>
                <w:color w:val="auto"/>
              </w:rPr>
            </w:pPr>
            <w:r>
              <w:rPr>
                <w:rFonts w:hint="default" w:ascii="Times New Roman" w:hAnsi="Times New Roman" w:cs="Times New Roman"/>
                <w:color w:val="auto"/>
              </w:rPr>
              <w:t>办公生活区砌体拆除石渣外运量为1592m</w:t>
            </w:r>
            <w:r>
              <w:rPr>
                <w:rFonts w:hint="default" w:ascii="Times New Roman" w:hAnsi="Times New Roman" w:cs="Times New Roman"/>
                <w:color w:val="auto"/>
                <w:vertAlign w:val="superscript"/>
              </w:rPr>
              <w:t>3</w:t>
            </w:r>
            <w:r>
              <w:rPr>
                <w:rFonts w:hint="default" w:ascii="Times New Roman" w:hAnsi="Times New Roman" w:cs="Times New Roman"/>
                <w:color w:val="auto"/>
              </w:rPr>
              <w:t>，拆除后废渣运往露天采场底平台处堆放，然后平整场地并覆土，覆土厚度0.8m，复垦为乔木林地。</w:t>
            </w:r>
          </w:p>
          <w:p w14:paraId="473C0CC2">
            <w:pPr>
              <w:pStyle w:val="82"/>
              <w:keepNext w:val="0"/>
              <w:keepLines w:val="0"/>
              <w:pageBreakBefore w:val="0"/>
              <w:widowControl/>
              <w:kinsoku/>
              <w:wordWrap/>
              <w:overflowPunct/>
              <w:topLinePunct w:val="0"/>
              <w:autoSpaceDE/>
              <w:autoSpaceDN/>
              <w:bidi w:val="0"/>
              <w:adjustRightInd/>
              <w:snapToGrid/>
              <w:spacing w:line="480" w:lineRule="exact"/>
              <w:ind w:firstLine="436" w:firstLineChars="182"/>
              <w:textAlignment w:val="auto"/>
              <w:rPr>
                <w:rFonts w:hint="default" w:ascii="Times New Roman" w:hAnsi="Times New Roman" w:cs="Times New Roman"/>
                <w:color w:val="auto"/>
              </w:rPr>
            </w:pPr>
            <w:r>
              <w:rPr>
                <w:rFonts w:hint="default" w:ascii="Times New Roman" w:hAnsi="Times New Roman" w:cs="Times New Roman"/>
                <w:color w:val="auto"/>
              </w:rPr>
              <w:t>工业场地和办公生活区复垦为乔木林地，复垦模式为乔草混播，乔木为5年生油松，株行距为2m×3m，种植密度为1667株/hm</w:t>
            </w:r>
            <w:r>
              <w:rPr>
                <w:rFonts w:hint="default" w:ascii="Times New Roman" w:hAnsi="Times New Roman" w:cs="Times New Roman"/>
                <w:color w:val="auto"/>
                <w:vertAlign w:val="superscript"/>
              </w:rPr>
              <w:t>2</w:t>
            </w:r>
            <w:r>
              <w:rPr>
                <w:rFonts w:hint="default" w:ascii="Times New Roman" w:hAnsi="Times New Roman" w:cs="Times New Roman"/>
                <w:color w:val="auto"/>
              </w:rPr>
              <w:t>，整地方式与规格为圆形穴坑整地，采用0.6×0.6×0.6m的圆穴。林下撒播草籽，草种选择紫花苜蓿和披碱草，种植密度各15kg/hm</w:t>
            </w:r>
            <w:r>
              <w:rPr>
                <w:rFonts w:hint="default" w:ascii="Times New Roman" w:hAnsi="Times New Roman" w:cs="Times New Roman"/>
                <w:color w:val="auto"/>
                <w:vertAlign w:val="superscript"/>
              </w:rPr>
              <w:t>2</w:t>
            </w:r>
            <w:r>
              <w:rPr>
                <w:rFonts w:hint="default" w:ascii="Times New Roman" w:hAnsi="Times New Roman" w:cs="Times New Roman"/>
                <w:color w:val="auto"/>
              </w:rPr>
              <w:t>。共种植油松494株，播撒紫花苜蓿和披碱草共4.44kg。</w:t>
            </w:r>
          </w:p>
          <w:p w14:paraId="3113C824">
            <w:pPr>
              <w:keepNext w:val="0"/>
              <w:keepLines w:val="0"/>
              <w:pageBreakBefore w:val="0"/>
              <w:widowControl/>
              <w:kinsoku/>
              <w:wordWrap/>
              <w:overflowPunct/>
              <w:topLinePunct w:val="0"/>
              <w:autoSpaceDE/>
              <w:autoSpaceDN/>
              <w:bidi w:val="0"/>
              <w:adjustRightInd/>
              <w:snapToGrid/>
              <w:spacing w:line="480" w:lineRule="exact"/>
              <w:jc w:val="center"/>
              <w:textAlignment w:val="auto"/>
              <w:rPr>
                <w:rFonts w:hint="eastAsia" w:ascii="宋体" w:hAnsi="宋体" w:cs="宋体"/>
                <w:color w:val="FF0000"/>
                <w:szCs w:val="21"/>
                <w:lang w:val="zh-CN" w:bidi="ar"/>
              </w:rPr>
            </w:pPr>
          </w:p>
          <w:p w14:paraId="4AE2B979">
            <w:pPr>
              <w:keepNext w:val="0"/>
              <w:keepLines w:val="0"/>
              <w:pageBreakBefore w:val="0"/>
              <w:widowControl/>
              <w:kinsoku/>
              <w:wordWrap/>
              <w:overflowPunct/>
              <w:topLinePunct w:val="0"/>
              <w:autoSpaceDE/>
              <w:autoSpaceDN/>
              <w:bidi w:val="0"/>
              <w:adjustRightInd/>
              <w:snapToGrid/>
              <w:spacing w:line="480" w:lineRule="exact"/>
              <w:jc w:val="center"/>
              <w:textAlignment w:val="auto"/>
              <w:rPr>
                <w:rFonts w:hint="eastAsia" w:ascii="宋体" w:hAnsi="宋体" w:cs="宋体"/>
                <w:color w:val="FF0000"/>
                <w:szCs w:val="21"/>
                <w:lang w:val="zh-CN" w:bidi="ar"/>
              </w:rPr>
            </w:pPr>
          </w:p>
          <w:p w14:paraId="226EA665">
            <w:pPr>
              <w:keepNext w:val="0"/>
              <w:keepLines w:val="0"/>
              <w:pageBreakBefore w:val="0"/>
              <w:widowControl/>
              <w:kinsoku/>
              <w:wordWrap/>
              <w:overflowPunct/>
              <w:topLinePunct w:val="0"/>
              <w:autoSpaceDE/>
              <w:autoSpaceDN/>
              <w:bidi w:val="0"/>
              <w:adjustRightInd/>
              <w:snapToGrid/>
              <w:spacing w:line="480" w:lineRule="exact"/>
              <w:jc w:val="center"/>
              <w:textAlignment w:val="auto"/>
              <w:rPr>
                <w:rFonts w:ascii="宋体" w:hAnsi="宋体" w:cs="宋体"/>
                <w:color w:val="auto"/>
                <w:szCs w:val="21"/>
                <w:lang w:val="zh-CN" w:bidi="ar"/>
              </w:rPr>
            </w:pPr>
            <w:r>
              <w:rPr>
                <w:rFonts w:hint="eastAsia" w:ascii="宋体" w:hAnsi="宋体" w:cs="宋体"/>
                <w:color w:val="auto"/>
                <w:szCs w:val="21"/>
                <w:lang w:val="zh-CN" w:bidi="ar"/>
              </w:rPr>
              <w:t>表</w:t>
            </w:r>
            <w:r>
              <w:rPr>
                <w:color w:val="auto"/>
                <w:szCs w:val="21"/>
                <w:lang w:bidi="ar"/>
              </w:rPr>
              <w:t>5-</w:t>
            </w:r>
            <w:r>
              <w:rPr>
                <w:rFonts w:hint="eastAsia"/>
                <w:color w:val="auto"/>
                <w:szCs w:val="21"/>
                <w:lang w:val="en-US" w:eastAsia="zh-CN" w:bidi="ar"/>
              </w:rPr>
              <w:t>10</w:t>
            </w:r>
            <w:r>
              <w:rPr>
                <w:rFonts w:hint="eastAsia" w:ascii="宋体" w:hAnsi="宋体" w:cs="宋体"/>
                <w:color w:val="auto"/>
                <w:szCs w:val="21"/>
                <w:lang w:bidi="ar"/>
              </w:rPr>
              <w:t xml:space="preserve">  </w:t>
            </w:r>
            <w:r>
              <w:rPr>
                <w:rFonts w:hint="eastAsia" w:ascii="宋体" w:hAnsi="宋体" w:cs="宋体"/>
                <w:color w:val="auto"/>
                <w:szCs w:val="21"/>
                <w:lang w:val="zh-CN" w:bidi="ar"/>
              </w:rPr>
              <w:t>露天采场底平台植物措施配置表</w:t>
            </w:r>
          </w:p>
          <w:tbl>
            <w:tblPr>
              <w:tblStyle w:val="29"/>
              <w:tblW w:w="4996" w:type="pct"/>
              <w:tblInd w:w="0" w:type="dxa"/>
              <w:tblLayout w:type="autofit"/>
              <w:tblCellMar>
                <w:top w:w="0" w:type="dxa"/>
                <w:left w:w="108" w:type="dxa"/>
                <w:bottom w:w="0" w:type="dxa"/>
                <w:right w:w="108" w:type="dxa"/>
              </w:tblCellMar>
            </w:tblPr>
            <w:tblGrid>
              <w:gridCol w:w="834"/>
              <w:gridCol w:w="1311"/>
              <w:gridCol w:w="1329"/>
              <w:gridCol w:w="1677"/>
              <w:gridCol w:w="1081"/>
              <w:gridCol w:w="1003"/>
              <w:gridCol w:w="930"/>
            </w:tblGrid>
            <w:tr w14:paraId="5E9ACBA1">
              <w:tblPrEx>
                <w:tblCellMar>
                  <w:top w:w="0" w:type="dxa"/>
                  <w:left w:w="108" w:type="dxa"/>
                  <w:bottom w:w="0" w:type="dxa"/>
                  <w:right w:w="108" w:type="dxa"/>
                </w:tblCellMar>
              </w:tblPrEx>
              <w:trPr>
                <w:trHeight w:val="266" w:hRule="atLeast"/>
              </w:trPr>
              <w:tc>
                <w:tcPr>
                  <w:tcW w:w="51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8F55CDC">
                  <w:pPr>
                    <w:widowControl/>
                    <w:jc w:val="center"/>
                    <w:textAlignment w:val="center"/>
                    <w:rPr>
                      <w:color w:val="auto"/>
                      <w:sz w:val="21"/>
                      <w:szCs w:val="21"/>
                    </w:rPr>
                  </w:pPr>
                  <w:r>
                    <w:rPr>
                      <w:color w:val="auto"/>
                      <w:kern w:val="0"/>
                      <w:sz w:val="21"/>
                      <w:szCs w:val="21"/>
                      <w:lang w:bidi="ar"/>
                    </w:rPr>
                    <w:t>编号</w:t>
                  </w:r>
                </w:p>
              </w:tc>
              <w:tc>
                <w:tcPr>
                  <w:tcW w:w="80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205CC1D">
                  <w:pPr>
                    <w:widowControl/>
                    <w:jc w:val="center"/>
                    <w:textAlignment w:val="center"/>
                    <w:rPr>
                      <w:color w:val="auto"/>
                      <w:sz w:val="21"/>
                      <w:szCs w:val="21"/>
                    </w:rPr>
                  </w:pPr>
                  <w:r>
                    <w:rPr>
                      <w:color w:val="auto"/>
                      <w:kern w:val="0"/>
                      <w:sz w:val="21"/>
                      <w:szCs w:val="21"/>
                      <w:lang w:bidi="ar"/>
                    </w:rPr>
                    <w:t>树种或草种</w:t>
                  </w:r>
                </w:p>
              </w:tc>
              <w:tc>
                <w:tcPr>
                  <w:tcW w:w="81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147846F">
                  <w:pPr>
                    <w:widowControl/>
                    <w:jc w:val="center"/>
                    <w:textAlignment w:val="center"/>
                    <w:rPr>
                      <w:color w:val="auto"/>
                      <w:sz w:val="21"/>
                      <w:szCs w:val="21"/>
                    </w:rPr>
                  </w:pPr>
                  <w:r>
                    <w:rPr>
                      <w:color w:val="auto"/>
                      <w:kern w:val="0"/>
                      <w:sz w:val="21"/>
                      <w:szCs w:val="21"/>
                      <w:lang w:bidi="ar"/>
                    </w:rPr>
                    <w:t>株行距（m</w:t>
                  </w:r>
                  <w:r>
                    <w:rPr>
                      <w:rFonts w:hint="eastAsia" w:ascii="宋体" w:hAnsi="宋体" w:cs="宋体"/>
                      <w:color w:val="auto"/>
                      <w:kern w:val="0"/>
                      <w:sz w:val="21"/>
                      <w:szCs w:val="21"/>
                      <w:lang w:bidi="ar"/>
                    </w:rPr>
                    <w:t>）</w:t>
                  </w:r>
                </w:p>
              </w:tc>
              <w:tc>
                <w:tcPr>
                  <w:tcW w:w="102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3358E45">
                  <w:pPr>
                    <w:widowControl/>
                    <w:jc w:val="center"/>
                    <w:textAlignment w:val="center"/>
                    <w:rPr>
                      <w:color w:val="auto"/>
                      <w:sz w:val="21"/>
                      <w:szCs w:val="21"/>
                    </w:rPr>
                  </w:pPr>
                  <w:r>
                    <w:rPr>
                      <w:color w:val="auto"/>
                      <w:kern w:val="0"/>
                      <w:sz w:val="21"/>
                      <w:szCs w:val="21"/>
                      <w:lang w:bidi="ar"/>
                    </w:rPr>
                    <w:t>植树密度/</w:t>
                  </w:r>
                  <w:r>
                    <w:rPr>
                      <w:rFonts w:hint="eastAsia" w:ascii="宋体" w:hAnsi="宋体" w:cs="宋体"/>
                      <w:color w:val="auto"/>
                      <w:kern w:val="0"/>
                      <w:sz w:val="21"/>
                      <w:szCs w:val="21"/>
                      <w:lang w:bidi="ar"/>
                    </w:rPr>
                    <w:t>播种量</w:t>
                  </w:r>
                </w:p>
              </w:tc>
              <w:tc>
                <w:tcPr>
                  <w:tcW w:w="66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7A24622">
                  <w:pPr>
                    <w:widowControl/>
                    <w:jc w:val="center"/>
                    <w:textAlignment w:val="center"/>
                    <w:rPr>
                      <w:color w:val="auto"/>
                      <w:sz w:val="21"/>
                      <w:szCs w:val="21"/>
                    </w:rPr>
                  </w:pPr>
                  <w:r>
                    <w:rPr>
                      <w:color w:val="auto"/>
                      <w:kern w:val="0"/>
                      <w:sz w:val="21"/>
                      <w:szCs w:val="21"/>
                      <w:lang w:bidi="ar"/>
                    </w:rPr>
                    <w:t>种植面积（ hm</w:t>
                  </w:r>
                  <w:r>
                    <w:rPr>
                      <w:color w:val="auto"/>
                      <w:kern w:val="0"/>
                      <w:sz w:val="21"/>
                      <w:szCs w:val="21"/>
                      <w:vertAlign w:val="superscript"/>
                      <w:lang w:bidi="ar"/>
                    </w:rPr>
                    <w:t>2</w:t>
                  </w:r>
                  <w:r>
                    <w:rPr>
                      <w:rFonts w:hint="eastAsia" w:ascii="宋体" w:hAnsi="宋体" w:cs="宋体"/>
                      <w:color w:val="auto"/>
                      <w:kern w:val="0"/>
                      <w:sz w:val="21"/>
                      <w:szCs w:val="21"/>
                      <w:lang w:bidi="ar"/>
                    </w:rPr>
                    <w:t>）</w:t>
                  </w:r>
                </w:p>
              </w:tc>
              <w:tc>
                <w:tcPr>
                  <w:tcW w:w="6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0AD5C1">
                  <w:pPr>
                    <w:widowControl/>
                    <w:jc w:val="center"/>
                    <w:textAlignment w:val="center"/>
                    <w:rPr>
                      <w:color w:val="auto"/>
                      <w:sz w:val="21"/>
                      <w:szCs w:val="21"/>
                    </w:rPr>
                  </w:pPr>
                  <w:r>
                    <w:rPr>
                      <w:color w:val="auto"/>
                      <w:kern w:val="0"/>
                      <w:sz w:val="21"/>
                      <w:szCs w:val="21"/>
                      <w:lang w:bidi="ar"/>
                    </w:rPr>
                    <w:t>种植</w:t>
                  </w:r>
                </w:p>
              </w:tc>
              <w:tc>
                <w:tcPr>
                  <w:tcW w:w="56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01FDDB2">
                  <w:pPr>
                    <w:widowControl/>
                    <w:jc w:val="center"/>
                    <w:textAlignment w:val="center"/>
                    <w:rPr>
                      <w:color w:val="auto"/>
                      <w:sz w:val="21"/>
                      <w:szCs w:val="21"/>
                    </w:rPr>
                  </w:pPr>
                  <w:r>
                    <w:rPr>
                      <w:color w:val="auto"/>
                      <w:kern w:val="0"/>
                      <w:sz w:val="21"/>
                      <w:szCs w:val="21"/>
                      <w:lang w:bidi="ar"/>
                    </w:rPr>
                    <w:t>播种方式</w:t>
                  </w:r>
                </w:p>
              </w:tc>
            </w:tr>
            <w:tr w14:paraId="0D657304">
              <w:tblPrEx>
                <w:tblCellMar>
                  <w:top w:w="0" w:type="dxa"/>
                  <w:left w:w="108" w:type="dxa"/>
                  <w:bottom w:w="0" w:type="dxa"/>
                  <w:right w:w="108" w:type="dxa"/>
                </w:tblCellMar>
              </w:tblPrEx>
              <w:trPr>
                <w:trHeight w:val="315" w:hRule="atLeast"/>
              </w:trPr>
              <w:tc>
                <w:tcPr>
                  <w:tcW w:w="51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DA22E2">
                  <w:pPr>
                    <w:jc w:val="center"/>
                    <w:rPr>
                      <w:color w:val="auto"/>
                      <w:sz w:val="21"/>
                      <w:szCs w:val="21"/>
                    </w:rPr>
                  </w:pPr>
                </w:p>
              </w:tc>
              <w:tc>
                <w:tcPr>
                  <w:tcW w:w="80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FABB50">
                  <w:pPr>
                    <w:jc w:val="center"/>
                    <w:rPr>
                      <w:color w:val="auto"/>
                      <w:sz w:val="21"/>
                      <w:szCs w:val="21"/>
                    </w:rPr>
                  </w:pPr>
                </w:p>
              </w:tc>
              <w:tc>
                <w:tcPr>
                  <w:tcW w:w="81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C19859">
                  <w:pPr>
                    <w:jc w:val="center"/>
                    <w:rPr>
                      <w:color w:val="auto"/>
                      <w:sz w:val="21"/>
                      <w:szCs w:val="21"/>
                    </w:rPr>
                  </w:pPr>
                </w:p>
              </w:tc>
              <w:tc>
                <w:tcPr>
                  <w:tcW w:w="102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28863E">
                  <w:pPr>
                    <w:jc w:val="center"/>
                    <w:rPr>
                      <w:color w:val="auto"/>
                      <w:sz w:val="21"/>
                      <w:szCs w:val="21"/>
                    </w:rPr>
                  </w:pPr>
                </w:p>
              </w:tc>
              <w:tc>
                <w:tcPr>
                  <w:tcW w:w="6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6D3984">
                  <w:pPr>
                    <w:jc w:val="center"/>
                    <w:rPr>
                      <w:color w:val="auto"/>
                      <w:sz w:val="21"/>
                      <w:szCs w:val="21"/>
                    </w:rPr>
                  </w:pPr>
                </w:p>
              </w:tc>
              <w:tc>
                <w:tcPr>
                  <w:tcW w:w="6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B8DFAC">
                  <w:pPr>
                    <w:widowControl/>
                    <w:jc w:val="center"/>
                    <w:textAlignment w:val="center"/>
                    <w:rPr>
                      <w:color w:val="auto"/>
                      <w:sz w:val="21"/>
                      <w:szCs w:val="21"/>
                    </w:rPr>
                  </w:pPr>
                  <w:r>
                    <w:rPr>
                      <w:color w:val="auto"/>
                      <w:kern w:val="0"/>
                      <w:sz w:val="21"/>
                      <w:szCs w:val="21"/>
                      <w:lang w:bidi="ar"/>
                    </w:rPr>
                    <w:t>数量</w:t>
                  </w:r>
                </w:p>
              </w:tc>
              <w:tc>
                <w:tcPr>
                  <w:tcW w:w="56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2A8B74">
                  <w:pPr>
                    <w:jc w:val="center"/>
                    <w:rPr>
                      <w:color w:val="auto"/>
                      <w:sz w:val="21"/>
                      <w:szCs w:val="21"/>
                    </w:rPr>
                  </w:pPr>
                </w:p>
              </w:tc>
            </w:tr>
            <w:tr w14:paraId="13197D22">
              <w:tblPrEx>
                <w:tblCellMar>
                  <w:top w:w="0" w:type="dxa"/>
                  <w:left w:w="108" w:type="dxa"/>
                  <w:bottom w:w="0" w:type="dxa"/>
                  <w:right w:w="108" w:type="dxa"/>
                </w:tblCellMar>
              </w:tblPrEx>
              <w:trPr>
                <w:trHeight w:val="488" w:hRule="atLeast"/>
              </w:trPr>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F8F2DD">
                  <w:pPr>
                    <w:widowControl/>
                    <w:jc w:val="center"/>
                    <w:textAlignment w:val="center"/>
                    <w:rPr>
                      <w:color w:val="auto"/>
                      <w:sz w:val="21"/>
                      <w:szCs w:val="21"/>
                    </w:rPr>
                  </w:pPr>
                  <w:r>
                    <w:rPr>
                      <w:color w:val="auto"/>
                      <w:kern w:val="0"/>
                      <w:sz w:val="21"/>
                      <w:szCs w:val="21"/>
                      <w:lang w:bidi="ar"/>
                    </w:rPr>
                    <w:t>1</w:t>
                  </w:r>
                </w:p>
              </w:tc>
              <w:tc>
                <w:tcPr>
                  <w:tcW w:w="8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9C6896">
                  <w:pPr>
                    <w:widowControl/>
                    <w:jc w:val="center"/>
                    <w:textAlignment w:val="center"/>
                    <w:rPr>
                      <w:rFonts w:ascii="宋体" w:hAnsi="宋体" w:cs="宋体"/>
                      <w:color w:val="auto"/>
                      <w:sz w:val="21"/>
                      <w:szCs w:val="21"/>
                    </w:rPr>
                  </w:pPr>
                  <w:r>
                    <w:rPr>
                      <w:rFonts w:hint="eastAsia" w:ascii="宋体" w:hAnsi="宋体" w:cs="宋体"/>
                      <w:color w:val="auto"/>
                      <w:kern w:val="0"/>
                      <w:sz w:val="21"/>
                      <w:szCs w:val="21"/>
                      <w:lang w:bidi="ar"/>
                    </w:rPr>
                    <w:t>油松</w:t>
                  </w:r>
                </w:p>
              </w:tc>
              <w:tc>
                <w:tcPr>
                  <w:tcW w:w="8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6F31C8">
                  <w:pPr>
                    <w:widowControl/>
                    <w:jc w:val="center"/>
                    <w:textAlignment w:val="center"/>
                    <w:rPr>
                      <w:color w:val="auto"/>
                      <w:sz w:val="21"/>
                      <w:szCs w:val="21"/>
                    </w:rPr>
                  </w:pPr>
                  <w:r>
                    <w:rPr>
                      <w:color w:val="auto"/>
                      <w:kern w:val="0"/>
                      <w:sz w:val="21"/>
                      <w:szCs w:val="21"/>
                      <w:lang w:bidi="ar"/>
                    </w:rPr>
                    <w:t>2×3</w:t>
                  </w:r>
                </w:p>
              </w:tc>
              <w:tc>
                <w:tcPr>
                  <w:tcW w:w="10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BD8729">
                  <w:pPr>
                    <w:widowControl/>
                    <w:jc w:val="center"/>
                    <w:textAlignment w:val="center"/>
                    <w:rPr>
                      <w:color w:val="auto"/>
                      <w:sz w:val="21"/>
                      <w:szCs w:val="21"/>
                    </w:rPr>
                  </w:pPr>
                  <w:r>
                    <w:rPr>
                      <w:color w:val="auto"/>
                      <w:kern w:val="0"/>
                      <w:sz w:val="21"/>
                      <w:szCs w:val="21"/>
                      <w:lang w:bidi="ar"/>
                    </w:rPr>
                    <w:t>1667</w:t>
                  </w:r>
                  <w:r>
                    <w:rPr>
                      <w:rFonts w:hint="eastAsia" w:ascii="宋体" w:hAnsi="宋体" w:cs="宋体"/>
                      <w:color w:val="auto"/>
                      <w:kern w:val="0"/>
                      <w:sz w:val="21"/>
                      <w:szCs w:val="21"/>
                      <w:lang w:bidi="ar"/>
                    </w:rPr>
                    <w:t>株</w:t>
                  </w:r>
                  <w:r>
                    <w:rPr>
                      <w:color w:val="auto"/>
                      <w:kern w:val="0"/>
                      <w:sz w:val="21"/>
                      <w:szCs w:val="21"/>
                      <w:lang w:bidi="ar"/>
                    </w:rPr>
                    <w:t>/hm</w:t>
                  </w:r>
                  <w:r>
                    <w:rPr>
                      <w:color w:val="auto"/>
                      <w:kern w:val="0"/>
                      <w:sz w:val="21"/>
                      <w:szCs w:val="21"/>
                      <w:vertAlign w:val="superscript"/>
                      <w:lang w:bidi="ar"/>
                    </w:rPr>
                    <w:t>2</w:t>
                  </w:r>
                </w:p>
              </w:tc>
              <w:tc>
                <w:tcPr>
                  <w:tcW w:w="6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E4893C">
                  <w:pPr>
                    <w:widowControl/>
                    <w:jc w:val="center"/>
                    <w:textAlignment w:val="center"/>
                    <w:rPr>
                      <w:color w:val="auto"/>
                      <w:sz w:val="21"/>
                      <w:szCs w:val="21"/>
                    </w:rPr>
                  </w:pPr>
                  <w:r>
                    <w:rPr>
                      <w:color w:val="auto"/>
                      <w:kern w:val="0"/>
                      <w:sz w:val="21"/>
                      <w:szCs w:val="21"/>
                      <w:lang w:bidi="ar"/>
                    </w:rPr>
                    <w:t>0.2962</w:t>
                  </w:r>
                </w:p>
              </w:tc>
              <w:tc>
                <w:tcPr>
                  <w:tcW w:w="6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963B01">
                  <w:pPr>
                    <w:widowControl/>
                    <w:jc w:val="center"/>
                    <w:textAlignment w:val="center"/>
                    <w:rPr>
                      <w:color w:val="auto"/>
                      <w:sz w:val="21"/>
                      <w:szCs w:val="21"/>
                    </w:rPr>
                  </w:pPr>
                  <w:r>
                    <w:rPr>
                      <w:color w:val="auto"/>
                      <w:kern w:val="0"/>
                      <w:sz w:val="21"/>
                      <w:szCs w:val="21"/>
                      <w:lang w:bidi="ar"/>
                    </w:rPr>
                    <w:t>494</w:t>
                  </w:r>
                </w:p>
              </w:tc>
              <w:tc>
                <w:tcPr>
                  <w:tcW w:w="5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737E6D">
                  <w:pPr>
                    <w:widowControl/>
                    <w:jc w:val="center"/>
                    <w:textAlignment w:val="center"/>
                    <w:rPr>
                      <w:color w:val="auto"/>
                      <w:sz w:val="21"/>
                      <w:szCs w:val="21"/>
                    </w:rPr>
                  </w:pPr>
                  <w:r>
                    <w:rPr>
                      <w:color w:val="auto"/>
                      <w:kern w:val="0"/>
                      <w:sz w:val="21"/>
                      <w:szCs w:val="21"/>
                      <w:lang w:bidi="ar"/>
                    </w:rPr>
                    <w:t>带土球移植</w:t>
                  </w:r>
                </w:p>
              </w:tc>
            </w:tr>
            <w:tr w14:paraId="07F25F5B">
              <w:tblPrEx>
                <w:tblCellMar>
                  <w:top w:w="0" w:type="dxa"/>
                  <w:left w:w="108" w:type="dxa"/>
                  <w:bottom w:w="0" w:type="dxa"/>
                  <w:right w:w="108" w:type="dxa"/>
                </w:tblCellMar>
              </w:tblPrEx>
              <w:trPr>
                <w:trHeight w:val="315" w:hRule="atLeast"/>
              </w:trPr>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E03A12">
                  <w:pPr>
                    <w:widowControl/>
                    <w:jc w:val="center"/>
                    <w:textAlignment w:val="center"/>
                    <w:rPr>
                      <w:color w:val="auto"/>
                      <w:sz w:val="21"/>
                      <w:szCs w:val="21"/>
                    </w:rPr>
                  </w:pPr>
                  <w:r>
                    <w:rPr>
                      <w:color w:val="auto"/>
                      <w:kern w:val="0"/>
                      <w:sz w:val="21"/>
                      <w:szCs w:val="21"/>
                      <w:lang w:bidi="ar"/>
                    </w:rPr>
                    <w:t>2</w:t>
                  </w:r>
                </w:p>
              </w:tc>
              <w:tc>
                <w:tcPr>
                  <w:tcW w:w="8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5E8D31">
                  <w:pPr>
                    <w:widowControl/>
                    <w:jc w:val="center"/>
                    <w:textAlignment w:val="center"/>
                    <w:rPr>
                      <w:color w:val="auto"/>
                      <w:sz w:val="21"/>
                      <w:szCs w:val="21"/>
                    </w:rPr>
                  </w:pPr>
                  <w:r>
                    <w:rPr>
                      <w:color w:val="auto"/>
                      <w:kern w:val="0"/>
                      <w:sz w:val="21"/>
                      <w:szCs w:val="21"/>
                      <w:lang w:bidi="ar"/>
                    </w:rPr>
                    <w:t>紫花苜蓿</w:t>
                  </w:r>
                </w:p>
              </w:tc>
              <w:tc>
                <w:tcPr>
                  <w:tcW w:w="8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91D5DB">
                  <w:pPr>
                    <w:widowControl/>
                    <w:jc w:val="center"/>
                    <w:textAlignment w:val="center"/>
                    <w:rPr>
                      <w:color w:val="auto"/>
                      <w:sz w:val="21"/>
                      <w:szCs w:val="21"/>
                    </w:rPr>
                  </w:pPr>
                  <w:r>
                    <w:rPr>
                      <w:color w:val="auto"/>
                      <w:kern w:val="0"/>
                      <w:sz w:val="21"/>
                      <w:szCs w:val="21"/>
                      <w:lang w:bidi="ar"/>
                    </w:rPr>
                    <w:t>——</w:t>
                  </w:r>
                </w:p>
              </w:tc>
              <w:tc>
                <w:tcPr>
                  <w:tcW w:w="10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9A0706">
                  <w:pPr>
                    <w:widowControl/>
                    <w:jc w:val="center"/>
                    <w:textAlignment w:val="center"/>
                    <w:rPr>
                      <w:color w:val="auto"/>
                      <w:sz w:val="21"/>
                      <w:szCs w:val="21"/>
                    </w:rPr>
                  </w:pPr>
                  <w:r>
                    <w:rPr>
                      <w:color w:val="auto"/>
                      <w:kern w:val="0"/>
                      <w:sz w:val="21"/>
                      <w:szCs w:val="21"/>
                      <w:lang w:bidi="ar"/>
                    </w:rPr>
                    <w:t>15kg/hm</w:t>
                  </w:r>
                  <w:r>
                    <w:rPr>
                      <w:color w:val="auto"/>
                      <w:kern w:val="0"/>
                      <w:sz w:val="21"/>
                      <w:szCs w:val="21"/>
                      <w:vertAlign w:val="superscript"/>
                      <w:lang w:bidi="ar"/>
                    </w:rPr>
                    <w:t>2</w:t>
                  </w:r>
                </w:p>
              </w:tc>
              <w:tc>
                <w:tcPr>
                  <w:tcW w:w="6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2BEB53">
                  <w:pPr>
                    <w:jc w:val="center"/>
                    <w:rPr>
                      <w:color w:val="auto"/>
                      <w:sz w:val="21"/>
                      <w:szCs w:val="21"/>
                    </w:rPr>
                  </w:pPr>
                  <w:r>
                    <w:rPr>
                      <w:color w:val="auto"/>
                      <w:kern w:val="0"/>
                      <w:sz w:val="21"/>
                      <w:szCs w:val="21"/>
                      <w:lang w:bidi="ar"/>
                    </w:rPr>
                    <w:t>0.2962</w:t>
                  </w:r>
                </w:p>
              </w:tc>
              <w:tc>
                <w:tcPr>
                  <w:tcW w:w="6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E09210">
                  <w:pPr>
                    <w:widowControl/>
                    <w:jc w:val="center"/>
                    <w:textAlignment w:val="center"/>
                    <w:rPr>
                      <w:color w:val="auto"/>
                      <w:sz w:val="21"/>
                      <w:szCs w:val="21"/>
                    </w:rPr>
                  </w:pPr>
                  <w:r>
                    <w:rPr>
                      <w:color w:val="auto"/>
                      <w:kern w:val="0"/>
                      <w:sz w:val="21"/>
                      <w:szCs w:val="21"/>
                      <w:lang w:bidi="ar"/>
                    </w:rPr>
                    <w:t>4.44</w:t>
                  </w:r>
                </w:p>
              </w:tc>
              <w:tc>
                <w:tcPr>
                  <w:tcW w:w="5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9CD4BA">
                  <w:pPr>
                    <w:widowControl/>
                    <w:jc w:val="center"/>
                    <w:textAlignment w:val="center"/>
                    <w:rPr>
                      <w:color w:val="auto"/>
                      <w:sz w:val="21"/>
                      <w:szCs w:val="21"/>
                    </w:rPr>
                  </w:pPr>
                  <w:r>
                    <w:rPr>
                      <w:color w:val="auto"/>
                      <w:kern w:val="0"/>
                      <w:sz w:val="21"/>
                      <w:szCs w:val="21"/>
                      <w:lang w:bidi="ar"/>
                    </w:rPr>
                    <w:t>撒播</w:t>
                  </w:r>
                </w:p>
              </w:tc>
            </w:tr>
            <w:tr w14:paraId="4F234BFA">
              <w:tblPrEx>
                <w:tblCellMar>
                  <w:top w:w="0" w:type="dxa"/>
                  <w:left w:w="108" w:type="dxa"/>
                  <w:bottom w:w="0" w:type="dxa"/>
                  <w:right w:w="108" w:type="dxa"/>
                </w:tblCellMar>
              </w:tblPrEx>
              <w:trPr>
                <w:trHeight w:val="315" w:hRule="atLeast"/>
              </w:trPr>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EA90F3">
                  <w:pPr>
                    <w:widowControl/>
                    <w:jc w:val="center"/>
                    <w:textAlignment w:val="center"/>
                    <w:rPr>
                      <w:color w:val="auto"/>
                      <w:kern w:val="0"/>
                      <w:sz w:val="21"/>
                      <w:szCs w:val="21"/>
                      <w:lang w:bidi="ar"/>
                    </w:rPr>
                  </w:pPr>
                  <w:r>
                    <w:rPr>
                      <w:rFonts w:hint="eastAsia"/>
                      <w:color w:val="auto"/>
                      <w:kern w:val="0"/>
                      <w:sz w:val="21"/>
                      <w:szCs w:val="21"/>
                      <w:lang w:bidi="ar"/>
                    </w:rPr>
                    <w:t>3</w:t>
                  </w:r>
                </w:p>
              </w:tc>
              <w:tc>
                <w:tcPr>
                  <w:tcW w:w="8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06B9F2">
                  <w:pPr>
                    <w:widowControl/>
                    <w:jc w:val="center"/>
                    <w:textAlignment w:val="center"/>
                    <w:rPr>
                      <w:color w:val="auto"/>
                      <w:kern w:val="0"/>
                      <w:sz w:val="21"/>
                      <w:szCs w:val="21"/>
                      <w:lang w:bidi="ar"/>
                    </w:rPr>
                  </w:pPr>
                  <w:r>
                    <w:rPr>
                      <w:bCs/>
                      <w:color w:val="auto"/>
                      <w:sz w:val="21"/>
                      <w:szCs w:val="21"/>
                    </w:rPr>
                    <w:t>披碱草</w:t>
                  </w:r>
                </w:p>
              </w:tc>
              <w:tc>
                <w:tcPr>
                  <w:tcW w:w="8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2CDDBF">
                  <w:pPr>
                    <w:widowControl/>
                    <w:jc w:val="center"/>
                    <w:textAlignment w:val="center"/>
                    <w:rPr>
                      <w:color w:val="auto"/>
                      <w:sz w:val="21"/>
                      <w:szCs w:val="21"/>
                    </w:rPr>
                  </w:pPr>
                  <w:r>
                    <w:rPr>
                      <w:color w:val="auto"/>
                      <w:kern w:val="0"/>
                      <w:sz w:val="21"/>
                      <w:szCs w:val="21"/>
                      <w:lang w:bidi="ar"/>
                    </w:rPr>
                    <w:t>——</w:t>
                  </w:r>
                </w:p>
              </w:tc>
              <w:tc>
                <w:tcPr>
                  <w:tcW w:w="10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77E7FD">
                  <w:pPr>
                    <w:widowControl/>
                    <w:jc w:val="center"/>
                    <w:textAlignment w:val="center"/>
                    <w:rPr>
                      <w:color w:val="auto"/>
                      <w:sz w:val="21"/>
                      <w:szCs w:val="21"/>
                    </w:rPr>
                  </w:pPr>
                  <w:r>
                    <w:rPr>
                      <w:color w:val="auto"/>
                      <w:kern w:val="0"/>
                      <w:sz w:val="21"/>
                      <w:szCs w:val="21"/>
                      <w:lang w:bidi="ar"/>
                    </w:rPr>
                    <w:t>15kg/hm</w:t>
                  </w:r>
                  <w:r>
                    <w:rPr>
                      <w:color w:val="auto"/>
                      <w:kern w:val="0"/>
                      <w:sz w:val="21"/>
                      <w:szCs w:val="21"/>
                      <w:vertAlign w:val="superscript"/>
                      <w:lang w:bidi="ar"/>
                    </w:rPr>
                    <w:t>2</w:t>
                  </w:r>
                </w:p>
              </w:tc>
              <w:tc>
                <w:tcPr>
                  <w:tcW w:w="6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0D682D">
                  <w:pPr>
                    <w:jc w:val="center"/>
                    <w:rPr>
                      <w:color w:val="auto"/>
                      <w:sz w:val="21"/>
                      <w:szCs w:val="21"/>
                    </w:rPr>
                  </w:pPr>
                  <w:r>
                    <w:rPr>
                      <w:color w:val="auto"/>
                      <w:kern w:val="0"/>
                      <w:sz w:val="21"/>
                      <w:szCs w:val="21"/>
                      <w:lang w:bidi="ar"/>
                    </w:rPr>
                    <w:t>0.2962</w:t>
                  </w:r>
                </w:p>
              </w:tc>
              <w:tc>
                <w:tcPr>
                  <w:tcW w:w="6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050D6A">
                  <w:pPr>
                    <w:widowControl/>
                    <w:jc w:val="center"/>
                    <w:textAlignment w:val="center"/>
                    <w:rPr>
                      <w:color w:val="auto"/>
                      <w:sz w:val="21"/>
                      <w:szCs w:val="21"/>
                    </w:rPr>
                  </w:pPr>
                  <w:r>
                    <w:rPr>
                      <w:color w:val="auto"/>
                      <w:kern w:val="0"/>
                      <w:sz w:val="21"/>
                      <w:szCs w:val="21"/>
                      <w:lang w:bidi="ar"/>
                    </w:rPr>
                    <w:t>4.44</w:t>
                  </w:r>
                </w:p>
              </w:tc>
              <w:tc>
                <w:tcPr>
                  <w:tcW w:w="5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C39D9D">
                  <w:pPr>
                    <w:widowControl/>
                    <w:jc w:val="center"/>
                    <w:textAlignment w:val="center"/>
                    <w:rPr>
                      <w:color w:val="auto"/>
                      <w:sz w:val="21"/>
                      <w:szCs w:val="21"/>
                    </w:rPr>
                  </w:pPr>
                  <w:r>
                    <w:rPr>
                      <w:color w:val="auto"/>
                      <w:kern w:val="0"/>
                      <w:sz w:val="21"/>
                      <w:szCs w:val="21"/>
                      <w:lang w:bidi="ar"/>
                    </w:rPr>
                    <w:t>撒播</w:t>
                  </w:r>
                </w:p>
              </w:tc>
            </w:tr>
          </w:tbl>
          <w:p w14:paraId="334FF7D9">
            <w:pPr>
              <w:pStyle w:val="82"/>
              <w:keepNext w:val="0"/>
              <w:keepLines w:val="0"/>
              <w:pageBreakBefore w:val="0"/>
              <w:widowControl/>
              <w:kinsoku/>
              <w:wordWrap/>
              <w:overflowPunct/>
              <w:topLinePunct w:val="0"/>
              <w:autoSpaceDE/>
              <w:autoSpaceDN/>
              <w:bidi w:val="0"/>
              <w:adjustRightInd/>
              <w:snapToGrid/>
              <w:spacing w:line="480" w:lineRule="exact"/>
              <w:ind w:firstLine="436" w:firstLineChars="182"/>
              <w:textAlignment w:val="auto"/>
              <w:rPr>
                <w:rFonts w:ascii="宋体" w:hAnsi="宋体" w:cs="宋体"/>
                <w:color w:val="auto"/>
                <w:highlight w:val="none"/>
              </w:rPr>
            </w:pPr>
            <w:r>
              <w:rPr>
                <w:rFonts w:hint="eastAsia" w:ascii="宋体" w:hAnsi="宋体" w:cs="宋体"/>
                <w:color w:val="auto"/>
                <w:highlight w:val="none"/>
                <w:lang w:val="en-US" w:eastAsia="zh-CN"/>
              </w:rPr>
              <w:t>⑤</w:t>
            </w:r>
            <w:r>
              <w:rPr>
                <w:rFonts w:hint="eastAsia" w:ascii="宋体" w:hAnsi="宋体" w:cs="宋体"/>
                <w:color w:val="auto"/>
                <w:highlight w:val="none"/>
              </w:rPr>
              <w:t>排土场复垦工程设计</w:t>
            </w:r>
          </w:p>
          <w:p w14:paraId="2A131072">
            <w:pPr>
              <w:keepNext w:val="0"/>
              <w:keepLines w:val="0"/>
              <w:pageBreakBefore w:val="0"/>
              <w:kinsoku/>
              <w:wordWrap/>
              <w:overflowPunct/>
              <w:topLinePunct w:val="0"/>
              <w:autoSpaceDE/>
              <w:autoSpaceDN/>
              <w:bidi w:val="0"/>
              <w:adjustRightInd/>
              <w:snapToGrid/>
              <w:spacing w:line="480" w:lineRule="exact"/>
              <w:ind w:firstLine="480" w:firstLineChars="200"/>
              <w:textAlignment w:val="auto"/>
              <w:rPr>
                <w:color w:val="auto"/>
                <w:sz w:val="24"/>
              </w:rPr>
            </w:pPr>
            <w:r>
              <w:rPr>
                <w:color w:val="auto"/>
                <w:sz w:val="24"/>
              </w:rPr>
              <w:t>排土场需复垦面积共计</w:t>
            </w:r>
            <w:r>
              <w:rPr>
                <w:rFonts w:hint="eastAsia"/>
                <w:color w:val="auto"/>
                <w:sz w:val="24"/>
                <w:lang w:val="en-US" w:eastAsia="zh-CN"/>
              </w:rPr>
              <w:t>4.5619</w:t>
            </w:r>
            <w:r>
              <w:rPr>
                <w:color w:val="auto"/>
                <w:sz w:val="24"/>
              </w:rPr>
              <w:t>hm</w:t>
            </w:r>
            <w:r>
              <w:rPr>
                <w:color w:val="auto"/>
                <w:sz w:val="24"/>
                <w:vertAlign w:val="superscript"/>
              </w:rPr>
              <w:t>2</w:t>
            </w:r>
            <w:r>
              <w:rPr>
                <w:color w:val="auto"/>
                <w:sz w:val="24"/>
              </w:rPr>
              <w:t>，其中排土场平台2.</w:t>
            </w:r>
            <w:r>
              <w:rPr>
                <w:rFonts w:hint="eastAsia"/>
                <w:color w:val="auto"/>
                <w:sz w:val="24"/>
                <w:lang w:val="en-US" w:eastAsia="zh-CN"/>
              </w:rPr>
              <w:t>27</w:t>
            </w:r>
            <w:r>
              <w:rPr>
                <w:color w:val="auto"/>
                <w:sz w:val="24"/>
              </w:rPr>
              <w:t>20hm</w:t>
            </w:r>
            <w:r>
              <w:rPr>
                <w:color w:val="auto"/>
                <w:sz w:val="24"/>
                <w:vertAlign w:val="superscript"/>
              </w:rPr>
              <w:t>2</w:t>
            </w:r>
            <w:r>
              <w:rPr>
                <w:color w:val="auto"/>
                <w:sz w:val="24"/>
              </w:rPr>
              <w:t>、排土场边坡</w:t>
            </w:r>
            <w:r>
              <w:rPr>
                <w:rFonts w:hint="eastAsia"/>
                <w:bCs/>
                <w:color w:val="auto"/>
                <w:sz w:val="24"/>
                <w:lang w:val="en-US" w:eastAsia="zh-CN"/>
              </w:rPr>
              <w:t>2.2899</w:t>
            </w:r>
            <w:r>
              <w:rPr>
                <w:color w:val="auto"/>
                <w:sz w:val="24"/>
              </w:rPr>
              <w:t>hm</w:t>
            </w:r>
            <w:r>
              <w:rPr>
                <w:color w:val="auto"/>
                <w:sz w:val="24"/>
                <w:vertAlign w:val="superscript"/>
              </w:rPr>
              <w:t>2</w:t>
            </w:r>
            <w:r>
              <w:rPr>
                <w:color w:val="auto"/>
                <w:sz w:val="24"/>
              </w:rPr>
              <w:t>，根据适宜性评价，排土场平台复垦为乔木林地</w:t>
            </w:r>
            <w:r>
              <w:rPr>
                <w:rFonts w:hint="eastAsia"/>
                <w:color w:val="auto"/>
                <w:sz w:val="24"/>
              </w:rPr>
              <w:t>，</w:t>
            </w:r>
            <w:r>
              <w:rPr>
                <w:color w:val="auto"/>
                <w:sz w:val="24"/>
              </w:rPr>
              <w:t>排土场</w:t>
            </w:r>
            <w:r>
              <w:rPr>
                <w:rFonts w:hint="eastAsia"/>
                <w:color w:val="auto"/>
                <w:sz w:val="24"/>
              </w:rPr>
              <w:t>边坡</w:t>
            </w:r>
            <w:r>
              <w:rPr>
                <w:color w:val="auto"/>
                <w:sz w:val="24"/>
              </w:rPr>
              <w:t>复垦为</w:t>
            </w:r>
            <w:r>
              <w:rPr>
                <w:rFonts w:hint="eastAsia"/>
                <w:color w:val="auto"/>
                <w:sz w:val="24"/>
              </w:rPr>
              <w:t>灌木</w:t>
            </w:r>
            <w:r>
              <w:rPr>
                <w:color w:val="auto"/>
                <w:sz w:val="24"/>
              </w:rPr>
              <w:t>林地。复垦措施主要为种植乔木</w:t>
            </w:r>
            <w:r>
              <w:rPr>
                <w:rFonts w:hint="eastAsia"/>
                <w:color w:val="auto"/>
                <w:sz w:val="24"/>
                <w:lang w:eastAsia="zh-CN"/>
              </w:rPr>
              <w:t>、</w:t>
            </w:r>
            <w:r>
              <w:rPr>
                <w:rFonts w:hint="eastAsia"/>
                <w:color w:val="auto"/>
                <w:sz w:val="24"/>
                <w:lang w:val="en-US" w:eastAsia="zh-CN"/>
              </w:rPr>
              <w:t>灌木</w:t>
            </w:r>
            <w:r>
              <w:rPr>
                <w:color w:val="auto"/>
                <w:sz w:val="24"/>
              </w:rPr>
              <w:t>及撒播草籽。</w:t>
            </w:r>
          </w:p>
          <w:p w14:paraId="3894D50F">
            <w:pPr>
              <w:pStyle w:val="79"/>
              <w:keepNext w:val="0"/>
              <w:keepLines w:val="0"/>
              <w:pageBreakBefore w:val="0"/>
              <w:kinsoku/>
              <w:wordWrap/>
              <w:overflowPunct/>
              <w:topLinePunct w:val="0"/>
              <w:autoSpaceDE/>
              <w:autoSpaceDN/>
              <w:bidi w:val="0"/>
              <w:adjustRightInd/>
              <w:snapToGrid/>
              <w:spacing w:line="480" w:lineRule="exact"/>
              <w:ind w:firstLine="480"/>
              <w:jc w:val="left"/>
              <w:textAlignment w:val="auto"/>
              <w:rPr>
                <w:color w:val="auto"/>
                <w:sz w:val="24"/>
              </w:rPr>
            </w:pPr>
            <w:r>
              <w:rPr>
                <w:rFonts w:hint="eastAsia"/>
                <w:color w:val="auto"/>
                <w:sz w:val="24"/>
              </w:rPr>
              <w:t>a</w:t>
            </w:r>
            <w:r>
              <w:rPr>
                <w:color w:val="auto"/>
                <w:sz w:val="24"/>
              </w:rPr>
              <w:t>覆土工程设计</w:t>
            </w:r>
          </w:p>
          <w:p w14:paraId="600E0943">
            <w:pPr>
              <w:keepNext w:val="0"/>
              <w:keepLines w:val="0"/>
              <w:pageBreakBefore w:val="0"/>
              <w:kinsoku/>
              <w:wordWrap/>
              <w:overflowPunct/>
              <w:topLinePunct w:val="0"/>
              <w:autoSpaceDE/>
              <w:autoSpaceDN/>
              <w:bidi w:val="0"/>
              <w:adjustRightInd/>
              <w:snapToGrid/>
              <w:spacing w:line="480" w:lineRule="exact"/>
              <w:ind w:firstLine="480" w:firstLineChars="200"/>
              <w:textAlignment w:val="auto"/>
              <w:rPr>
                <w:bCs/>
                <w:color w:val="auto"/>
                <w:sz w:val="24"/>
                <w:szCs w:val="32"/>
              </w:rPr>
            </w:pPr>
            <w:r>
              <w:rPr>
                <w:rFonts w:hint="eastAsia"/>
                <w:color w:val="auto"/>
                <w:sz w:val="24"/>
              </w:rPr>
              <w:t>排土场平台复垦方向为乔木林地，</w:t>
            </w:r>
            <w:r>
              <w:rPr>
                <w:color w:val="auto"/>
                <w:sz w:val="24"/>
              </w:rPr>
              <w:t>覆土厚度为0.8m，覆土量</w:t>
            </w:r>
            <w:r>
              <w:rPr>
                <w:rFonts w:hint="eastAsia"/>
                <w:color w:val="auto"/>
                <w:sz w:val="24"/>
                <w:lang w:val="en-US" w:eastAsia="zh-CN"/>
              </w:rPr>
              <w:t>1.8176</w:t>
            </w:r>
            <w:r>
              <w:rPr>
                <w:color w:val="auto"/>
                <w:sz w:val="24"/>
              </w:rPr>
              <w:t>万m</w:t>
            </w:r>
            <w:r>
              <w:rPr>
                <w:color w:val="auto"/>
                <w:sz w:val="24"/>
                <w:vertAlign w:val="superscript"/>
              </w:rPr>
              <w:t>3</w:t>
            </w:r>
            <w:r>
              <w:rPr>
                <w:color w:val="auto"/>
                <w:sz w:val="24"/>
              </w:rPr>
              <w:t>。排土场边坡</w:t>
            </w:r>
            <w:r>
              <w:rPr>
                <w:bCs/>
                <w:color w:val="auto"/>
                <w:sz w:val="24"/>
                <w:szCs w:val="32"/>
              </w:rPr>
              <w:t>复垦为</w:t>
            </w:r>
            <w:r>
              <w:rPr>
                <w:rFonts w:hint="eastAsia"/>
                <w:bCs/>
                <w:color w:val="auto"/>
                <w:sz w:val="24"/>
                <w:szCs w:val="32"/>
              </w:rPr>
              <w:t>灌木</w:t>
            </w:r>
            <w:r>
              <w:rPr>
                <w:bCs/>
                <w:color w:val="auto"/>
                <w:sz w:val="24"/>
                <w:szCs w:val="32"/>
              </w:rPr>
              <w:t>林地</w:t>
            </w:r>
            <w:r>
              <w:rPr>
                <w:rFonts w:hint="eastAsia"/>
                <w:bCs/>
                <w:color w:val="auto"/>
                <w:sz w:val="24"/>
                <w:szCs w:val="32"/>
              </w:rPr>
              <w:t>，</w:t>
            </w:r>
            <w:r>
              <w:rPr>
                <w:bCs/>
                <w:color w:val="auto"/>
                <w:sz w:val="24"/>
                <w:szCs w:val="32"/>
              </w:rPr>
              <w:t>覆土厚度为</w:t>
            </w:r>
            <w:r>
              <w:rPr>
                <w:color w:val="auto"/>
                <w:sz w:val="24"/>
                <w:lang w:bidi="ar"/>
              </w:rPr>
              <w:t>0.5m</w:t>
            </w:r>
            <w:r>
              <w:rPr>
                <w:rFonts w:hint="eastAsia" w:ascii="宋体" w:hAnsi="宋体" w:cs="宋体"/>
                <w:color w:val="auto"/>
                <w:sz w:val="24"/>
                <w:lang w:bidi="ar"/>
              </w:rPr>
              <w:t>，覆土量为</w:t>
            </w:r>
            <w:r>
              <w:rPr>
                <w:rFonts w:hint="eastAsia" w:cs="Times New Roman"/>
                <w:color w:val="auto"/>
                <w:sz w:val="24"/>
                <w:lang w:val="en-US" w:eastAsia="zh-CN" w:bidi="ar"/>
              </w:rPr>
              <w:t>1.1450</w:t>
            </w:r>
            <w:r>
              <w:rPr>
                <w:color w:val="auto"/>
                <w:sz w:val="24"/>
                <w:lang w:bidi="ar"/>
              </w:rPr>
              <w:t>万m</w:t>
            </w:r>
            <w:r>
              <w:rPr>
                <w:color w:val="auto"/>
                <w:sz w:val="24"/>
                <w:vertAlign w:val="superscript"/>
                <w:lang w:bidi="ar"/>
              </w:rPr>
              <w:t>2</w:t>
            </w:r>
            <w:r>
              <w:rPr>
                <w:bCs/>
                <w:color w:val="auto"/>
                <w:sz w:val="24"/>
                <w:szCs w:val="32"/>
              </w:rPr>
              <w:t>。</w:t>
            </w:r>
          </w:p>
          <w:p w14:paraId="39E2A080">
            <w:pPr>
              <w:pStyle w:val="79"/>
              <w:keepNext w:val="0"/>
              <w:keepLines w:val="0"/>
              <w:pageBreakBefore w:val="0"/>
              <w:kinsoku/>
              <w:wordWrap/>
              <w:overflowPunct/>
              <w:topLinePunct w:val="0"/>
              <w:autoSpaceDE/>
              <w:autoSpaceDN/>
              <w:bidi w:val="0"/>
              <w:adjustRightInd/>
              <w:snapToGrid/>
              <w:spacing w:line="480" w:lineRule="exact"/>
              <w:ind w:firstLine="480"/>
              <w:jc w:val="left"/>
              <w:textAlignment w:val="auto"/>
              <w:rPr>
                <w:rFonts w:ascii="宋体" w:hAnsi="宋体" w:cs="宋体"/>
                <w:color w:val="auto"/>
                <w:sz w:val="24"/>
              </w:rPr>
            </w:pPr>
            <w:r>
              <w:rPr>
                <w:color w:val="auto"/>
                <w:sz w:val="24"/>
              </w:rPr>
              <w:t>b</w:t>
            </w:r>
            <w:r>
              <w:rPr>
                <w:rFonts w:hint="eastAsia" w:ascii="宋体" w:hAnsi="宋体" w:cs="宋体"/>
                <w:color w:val="auto"/>
                <w:sz w:val="24"/>
              </w:rPr>
              <w:t>生态复垦设计</w:t>
            </w:r>
          </w:p>
          <w:p w14:paraId="12D9CC3D">
            <w:pPr>
              <w:keepNext w:val="0"/>
              <w:keepLines w:val="0"/>
              <w:pageBreakBefore w:val="0"/>
              <w:kinsoku/>
              <w:wordWrap/>
              <w:overflowPunct/>
              <w:topLinePunct w:val="0"/>
              <w:autoSpaceDE/>
              <w:autoSpaceDN/>
              <w:bidi w:val="0"/>
              <w:adjustRightInd/>
              <w:snapToGrid/>
              <w:spacing w:line="480" w:lineRule="exact"/>
              <w:ind w:firstLine="480" w:firstLineChars="200"/>
              <w:textAlignment w:val="auto"/>
              <w:rPr>
                <w:color w:val="auto"/>
                <w:sz w:val="24"/>
              </w:rPr>
            </w:pPr>
            <w:r>
              <w:rPr>
                <w:color w:val="auto"/>
                <w:sz w:val="24"/>
              </w:rPr>
              <w:t>排土场平台面积为2.</w:t>
            </w:r>
            <w:r>
              <w:rPr>
                <w:rFonts w:hint="eastAsia"/>
                <w:color w:val="auto"/>
                <w:sz w:val="24"/>
                <w:lang w:val="en-US" w:eastAsia="zh-CN"/>
              </w:rPr>
              <w:t>27</w:t>
            </w:r>
            <w:r>
              <w:rPr>
                <w:color w:val="auto"/>
                <w:sz w:val="24"/>
              </w:rPr>
              <w:t>20hm</w:t>
            </w:r>
            <w:r>
              <w:rPr>
                <w:color w:val="auto"/>
                <w:sz w:val="24"/>
                <w:vertAlign w:val="superscript"/>
              </w:rPr>
              <w:t>2</w:t>
            </w:r>
            <w:r>
              <w:rPr>
                <w:color w:val="auto"/>
                <w:sz w:val="24"/>
              </w:rPr>
              <w:t>，复垦方向为乔木林地，</w:t>
            </w:r>
            <w:r>
              <w:rPr>
                <w:bCs/>
                <w:color w:val="auto"/>
                <w:sz w:val="24"/>
              </w:rPr>
              <w:t>乔木为5年生油松，株行距为2m×3m，种植密度为1667株/hm</w:t>
            </w:r>
            <w:r>
              <w:rPr>
                <w:bCs/>
                <w:color w:val="auto"/>
                <w:sz w:val="24"/>
                <w:vertAlign w:val="superscript"/>
              </w:rPr>
              <w:t>2</w:t>
            </w:r>
            <w:r>
              <w:rPr>
                <w:bCs/>
                <w:color w:val="auto"/>
                <w:sz w:val="24"/>
              </w:rPr>
              <w:t>，整地方式与规格为圆形穴坑整地，采用0.6×0.6×0.6m的圆穴。林下撒播草籽，草种选择紫花苜蓿和披碱草，种植密度各15kg/hm</w:t>
            </w:r>
            <w:r>
              <w:rPr>
                <w:bCs/>
                <w:color w:val="auto"/>
                <w:sz w:val="24"/>
                <w:vertAlign w:val="superscript"/>
              </w:rPr>
              <w:t>2</w:t>
            </w:r>
            <w:r>
              <w:rPr>
                <w:color w:val="auto"/>
                <w:sz w:val="24"/>
              </w:rPr>
              <w:t>。具体植物措施配置见表5-</w:t>
            </w:r>
            <w:r>
              <w:rPr>
                <w:rFonts w:hint="eastAsia"/>
                <w:color w:val="auto"/>
                <w:sz w:val="24"/>
                <w:lang w:val="en-US" w:eastAsia="zh-CN"/>
              </w:rPr>
              <w:t>11</w:t>
            </w:r>
            <w:r>
              <w:rPr>
                <w:color w:val="auto"/>
                <w:sz w:val="24"/>
              </w:rPr>
              <w:t>。</w:t>
            </w:r>
          </w:p>
          <w:p w14:paraId="68B53433">
            <w:pPr>
              <w:pStyle w:val="81"/>
              <w:keepNext w:val="0"/>
              <w:keepLines w:val="0"/>
              <w:pageBreakBefore w:val="0"/>
              <w:kinsoku/>
              <w:wordWrap/>
              <w:overflowPunct/>
              <w:topLinePunct w:val="0"/>
              <w:autoSpaceDE/>
              <w:autoSpaceDN/>
              <w:bidi w:val="0"/>
              <w:adjustRightInd/>
              <w:snapToGrid/>
              <w:ind w:firstLine="0"/>
              <w:jc w:val="center"/>
              <w:textAlignment w:val="auto"/>
              <w:rPr>
                <w:rFonts w:ascii="宋体" w:hAnsi="宋体" w:eastAsia="宋体" w:cs="宋体"/>
                <w:color w:val="auto"/>
                <w:szCs w:val="21"/>
                <w:lang w:val="zh-CN" w:bidi="ar"/>
              </w:rPr>
            </w:pPr>
            <w:r>
              <w:rPr>
                <w:rFonts w:hint="eastAsia" w:ascii="宋体" w:hAnsi="宋体" w:eastAsia="宋体" w:cs="宋体"/>
                <w:color w:val="auto"/>
                <w:szCs w:val="21"/>
                <w:lang w:val="zh-CN" w:bidi="ar"/>
              </w:rPr>
              <w:t>表</w:t>
            </w:r>
            <w:r>
              <w:rPr>
                <w:rFonts w:eastAsia="宋体"/>
                <w:color w:val="auto"/>
                <w:szCs w:val="21"/>
                <w:lang w:bidi="ar"/>
              </w:rPr>
              <w:t>5-</w:t>
            </w:r>
            <w:r>
              <w:rPr>
                <w:rFonts w:hint="eastAsia" w:eastAsia="宋体"/>
                <w:color w:val="auto"/>
                <w:szCs w:val="21"/>
                <w:lang w:val="en-US" w:eastAsia="zh-CN" w:bidi="ar"/>
              </w:rPr>
              <w:t>11</w:t>
            </w:r>
            <w:r>
              <w:rPr>
                <w:rFonts w:hint="eastAsia" w:ascii="宋体" w:hAnsi="宋体" w:eastAsia="宋体" w:cs="宋体"/>
                <w:color w:val="auto"/>
                <w:szCs w:val="21"/>
                <w:lang w:val="zh-CN" w:bidi="ar"/>
              </w:rPr>
              <w:t xml:space="preserve">  排土场平台植物措施配置表</w:t>
            </w:r>
          </w:p>
          <w:tbl>
            <w:tblPr>
              <w:tblStyle w:val="29"/>
              <w:tblW w:w="4998" w:type="pct"/>
              <w:tblInd w:w="0" w:type="dxa"/>
              <w:tblLayout w:type="autofit"/>
              <w:tblCellMar>
                <w:top w:w="0" w:type="dxa"/>
                <w:left w:w="108" w:type="dxa"/>
                <w:bottom w:w="0" w:type="dxa"/>
                <w:right w:w="108" w:type="dxa"/>
              </w:tblCellMar>
            </w:tblPr>
            <w:tblGrid>
              <w:gridCol w:w="1086"/>
              <w:gridCol w:w="1165"/>
              <w:gridCol w:w="1088"/>
              <w:gridCol w:w="1086"/>
              <w:gridCol w:w="1132"/>
              <w:gridCol w:w="1526"/>
              <w:gridCol w:w="1086"/>
            </w:tblGrid>
            <w:tr w14:paraId="5719C77E">
              <w:tblPrEx>
                <w:tblCellMar>
                  <w:top w:w="0" w:type="dxa"/>
                  <w:left w:w="108" w:type="dxa"/>
                  <w:bottom w:w="0" w:type="dxa"/>
                  <w:right w:w="108" w:type="dxa"/>
                </w:tblCellMar>
              </w:tblPrEx>
              <w:trPr>
                <w:trHeight w:val="315" w:hRule="atLeast"/>
              </w:trPr>
              <w:tc>
                <w:tcPr>
                  <w:tcW w:w="66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5EC82D8">
                  <w:pPr>
                    <w:widowControl/>
                    <w:jc w:val="center"/>
                    <w:textAlignment w:val="center"/>
                    <w:rPr>
                      <w:color w:val="auto"/>
                      <w:sz w:val="21"/>
                      <w:szCs w:val="21"/>
                    </w:rPr>
                  </w:pPr>
                  <w:r>
                    <w:rPr>
                      <w:color w:val="auto"/>
                      <w:kern w:val="0"/>
                      <w:sz w:val="21"/>
                      <w:szCs w:val="21"/>
                      <w:lang w:bidi="ar"/>
                    </w:rPr>
                    <w:t>编号</w:t>
                  </w:r>
                </w:p>
              </w:tc>
              <w:tc>
                <w:tcPr>
                  <w:tcW w:w="71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9026632">
                  <w:pPr>
                    <w:widowControl/>
                    <w:jc w:val="center"/>
                    <w:textAlignment w:val="center"/>
                    <w:rPr>
                      <w:color w:val="auto"/>
                      <w:sz w:val="21"/>
                      <w:szCs w:val="21"/>
                    </w:rPr>
                  </w:pPr>
                  <w:r>
                    <w:rPr>
                      <w:color w:val="auto"/>
                      <w:kern w:val="0"/>
                      <w:sz w:val="21"/>
                      <w:szCs w:val="21"/>
                      <w:lang w:bidi="ar"/>
                    </w:rPr>
                    <w:t>树种或草种</w:t>
                  </w:r>
                </w:p>
              </w:tc>
              <w:tc>
                <w:tcPr>
                  <w:tcW w:w="66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531E4A7">
                  <w:pPr>
                    <w:widowControl/>
                    <w:jc w:val="center"/>
                    <w:textAlignment w:val="center"/>
                    <w:rPr>
                      <w:color w:val="auto"/>
                      <w:sz w:val="21"/>
                      <w:szCs w:val="21"/>
                    </w:rPr>
                  </w:pPr>
                  <w:r>
                    <w:rPr>
                      <w:color w:val="auto"/>
                      <w:kern w:val="0"/>
                      <w:sz w:val="21"/>
                      <w:szCs w:val="21"/>
                      <w:lang w:bidi="ar"/>
                    </w:rPr>
                    <w:t>株行距（m</w:t>
                  </w:r>
                  <w:r>
                    <w:rPr>
                      <w:rFonts w:hint="eastAsia" w:ascii="宋体" w:hAnsi="宋体" w:cs="宋体"/>
                      <w:color w:val="auto"/>
                      <w:kern w:val="0"/>
                      <w:sz w:val="21"/>
                      <w:szCs w:val="21"/>
                      <w:lang w:bidi="ar"/>
                    </w:rPr>
                    <w:t>）</w:t>
                  </w:r>
                </w:p>
              </w:tc>
              <w:tc>
                <w:tcPr>
                  <w:tcW w:w="66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D52D169">
                  <w:pPr>
                    <w:widowControl/>
                    <w:jc w:val="center"/>
                    <w:textAlignment w:val="center"/>
                    <w:rPr>
                      <w:color w:val="auto"/>
                      <w:sz w:val="21"/>
                      <w:szCs w:val="21"/>
                    </w:rPr>
                  </w:pPr>
                  <w:r>
                    <w:rPr>
                      <w:color w:val="auto"/>
                      <w:kern w:val="0"/>
                      <w:sz w:val="21"/>
                      <w:szCs w:val="21"/>
                      <w:lang w:bidi="ar"/>
                    </w:rPr>
                    <w:t>植树密度/</w:t>
                  </w:r>
                  <w:r>
                    <w:rPr>
                      <w:rFonts w:hint="eastAsia" w:ascii="宋体" w:hAnsi="宋体" w:cs="宋体"/>
                      <w:color w:val="auto"/>
                      <w:kern w:val="0"/>
                      <w:sz w:val="21"/>
                      <w:szCs w:val="21"/>
                      <w:lang w:bidi="ar"/>
                    </w:rPr>
                    <w:t>播种量</w:t>
                  </w:r>
                </w:p>
              </w:tc>
              <w:tc>
                <w:tcPr>
                  <w:tcW w:w="69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B464F0A">
                  <w:pPr>
                    <w:widowControl/>
                    <w:jc w:val="center"/>
                    <w:textAlignment w:val="center"/>
                    <w:rPr>
                      <w:color w:val="auto"/>
                      <w:sz w:val="21"/>
                      <w:szCs w:val="21"/>
                    </w:rPr>
                  </w:pPr>
                  <w:r>
                    <w:rPr>
                      <w:color w:val="auto"/>
                      <w:kern w:val="0"/>
                      <w:sz w:val="21"/>
                      <w:szCs w:val="21"/>
                      <w:lang w:bidi="ar"/>
                    </w:rPr>
                    <w:t>种植面积（ hm</w:t>
                  </w:r>
                  <w:r>
                    <w:rPr>
                      <w:color w:val="auto"/>
                      <w:kern w:val="0"/>
                      <w:sz w:val="21"/>
                      <w:szCs w:val="21"/>
                      <w:vertAlign w:val="superscript"/>
                      <w:lang w:bidi="ar"/>
                    </w:rPr>
                    <w:t>2</w:t>
                  </w:r>
                  <w:r>
                    <w:rPr>
                      <w:rFonts w:hint="eastAsia" w:ascii="宋体" w:hAnsi="宋体" w:cs="宋体"/>
                      <w:color w:val="auto"/>
                      <w:kern w:val="0"/>
                      <w:sz w:val="21"/>
                      <w:szCs w:val="21"/>
                      <w:lang w:bidi="ar"/>
                    </w:rPr>
                    <w:t>）</w:t>
                  </w:r>
                </w:p>
              </w:tc>
              <w:tc>
                <w:tcPr>
                  <w:tcW w:w="9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142770">
                  <w:pPr>
                    <w:widowControl/>
                    <w:jc w:val="center"/>
                    <w:textAlignment w:val="center"/>
                    <w:rPr>
                      <w:color w:val="auto"/>
                      <w:sz w:val="21"/>
                      <w:szCs w:val="21"/>
                    </w:rPr>
                  </w:pPr>
                  <w:r>
                    <w:rPr>
                      <w:color w:val="auto"/>
                      <w:kern w:val="0"/>
                      <w:sz w:val="21"/>
                      <w:szCs w:val="21"/>
                      <w:lang w:bidi="ar"/>
                    </w:rPr>
                    <w:t>种植</w:t>
                  </w:r>
                </w:p>
              </w:tc>
              <w:tc>
                <w:tcPr>
                  <w:tcW w:w="66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24DA3B3">
                  <w:pPr>
                    <w:widowControl/>
                    <w:jc w:val="center"/>
                    <w:textAlignment w:val="center"/>
                    <w:rPr>
                      <w:color w:val="auto"/>
                      <w:sz w:val="21"/>
                      <w:szCs w:val="21"/>
                    </w:rPr>
                  </w:pPr>
                  <w:r>
                    <w:rPr>
                      <w:color w:val="auto"/>
                      <w:kern w:val="0"/>
                      <w:sz w:val="21"/>
                      <w:szCs w:val="21"/>
                      <w:lang w:bidi="ar"/>
                    </w:rPr>
                    <w:t>播种方式</w:t>
                  </w:r>
                </w:p>
              </w:tc>
            </w:tr>
            <w:tr w14:paraId="6AC07FF8">
              <w:tblPrEx>
                <w:tblCellMar>
                  <w:top w:w="0" w:type="dxa"/>
                  <w:left w:w="108" w:type="dxa"/>
                  <w:bottom w:w="0" w:type="dxa"/>
                  <w:right w:w="108" w:type="dxa"/>
                </w:tblCellMar>
              </w:tblPrEx>
              <w:trPr>
                <w:trHeight w:val="315" w:hRule="atLeast"/>
              </w:trPr>
              <w:tc>
                <w:tcPr>
                  <w:tcW w:w="6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F84BA7">
                  <w:pPr>
                    <w:jc w:val="center"/>
                    <w:rPr>
                      <w:color w:val="auto"/>
                      <w:sz w:val="21"/>
                      <w:szCs w:val="21"/>
                    </w:rPr>
                  </w:pPr>
                </w:p>
              </w:tc>
              <w:tc>
                <w:tcPr>
                  <w:tcW w:w="71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9973EB">
                  <w:pPr>
                    <w:jc w:val="center"/>
                    <w:rPr>
                      <w:color w:val="auto"/>
                      <w:sz w:val="21"/>
                      <w:szCs w:val="21"/>
                    </w:rPr>
                  </w:pPr>
                </w:p>
              </w:tc>
              <w:tc>
                <w:tcPr>
                  <w:tcW w:w="6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A16097">
                  <w:pPr>
                    <w:jc w:val="center"/>
                    <w:rPr>
                      <w:color w:val="auto"/>
                      <w:sz w:val="21"/>
                      <w:szCs w:val="21"/>
                    </w:rPr>
                  </w:pPr>
                </w:p>
              </w:tc>
              <w:tc>
                <w:tcPr>
                  <w:tcW w:w="6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3D4243">
                  <w:pPr>
                    <w:jc w:val="center"/>
                    <w:rPr>
                      <w:color w:val="auto"/>
                      <w:sz w:val="21"/>
                      <w:szCs w:val="21"/>
                    </w:rPr>
                  </w:pPr>
                </w:p>
              </w:tc>
              <w:tc>
                <w:tcPr>
                  <w:tcW w:w="6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0A2E7E">
                  <w:pPr>
                    <w:jc w:val="center"/>
                    <w:rPr>
                      <w:color w:val="auto"/>
                      <w:sz w:val="21"/>
                      <w:szCs w:val="21"/>
                    </w:rPr>
                  </w:pPr>
                </w:p>
              </w:tc>
              <w:tc>
                <w:tcPr>
                  <w:tcW w:w="9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951BD9">
                  <w:pPr>
                    <w:widowControl/>
                    <w:jc w:val="center"/>
                    <w:textAlignment w:val="center"/>
                    <w:rPr>
                      <w:color w:val="auto"/>
                      <w:sz w:val="21"/>
                      <w:szCs w:val="21"/>
                    </w:rPr>
                  </w:pPr>
                  <w:r>
                    <w:rPr>
                      <w:color w:val="auto"/>
                      <w:kern w:val="0"/>
                      <w:sz w:val="21"/>
                      <w:szCs w:val="21"/>
                      <w:lang w:bidi="ar"/>
                    </w:rPr>
                    <w:t>数量</w:t>
                  </w:r>
                </w:p>
              </w:tc>
              <w:tc>
                <w:tcPr>
                  <w:tcW w:w="6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6F0BB1">
                  <w:pPr>
                    <w:jc w:val="center"/>
                    <w:rPr>
                      <w:color w:val="auto"/>
                      <w:sz w:val="21"/>
                      <w:szCs w:val="21"/>
                    </w:rPr>
                  </w:pPr>
                </w:p>
              </w:tc>
            </w:tr>
            <w:tr w14:paraId="69906135">
              <w:tblPrEx>
                <w:tblCellMar>
                  <w:top w:w="0" w:type="dxa"/>
                  <w:left w:w="108" w:type="dxa"/>
                  <w:bottom w:w="0" w:type="dxa"/>
                  <w:right w:w="108" w:type="dxa"/>
                </w:tblCellMar>
              </w:tblPrEx>
              <w:trPr>
                <w:trHeight w:val="315" w:hRule="atLeast"/>
              </w:trPr>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AC1A48">
                  <w:pPr>
                    <w:widowControl/>
                    <w:jc w:val="center"/>
                    <w:textAlignment w:val="center"/>
                    <w:rPr>
                      <w:color w:val="auto"/>
                      <w:sz w:val="21"/>
                      <w:szCs w:val="21"/>
                    </w:rPr>
                  </w:pPr>
                  <w:r>
                    <w:rPr>
                      <w:color w:val="auto"/>
                      <w:kern w:val="0"/>
                      <w:sz w:val="21"/>
                      <w:szCs w:val="21"/>
                      <w:lang w:bidi="ar"/>
                    </w:rPr>
                    <w:t>1</w:t>
                  </w:r>
                </w:p>
              </w:tc>
              <w:tc>
                <w:tcPr>
                  <w:tcW w:w="7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7ECD5C">
                  <w:pPr>
                    <w:widowControl/>
                    <w:jc w:val="center"/>
                    <w:textAlignment w:val="center"/>
                    <w:rPr>
                      <w:rFonts w:ascii="宋体" w:hAnsi="宋体" w:cs="宋体"/>
                      <w:color w:val="auto"/>
                      <w:sz w:val="21"/>
                      <w:szCs w:val="21"/>
                    </w:rPr>
                  </w:pPr>
                  <w:r>
                    <w:rPr>
                      <w:rFonts w:hint="eastAsia" w:ascii="宋体" w:hAnsi="宋体" w:cs="宋体"/>
                      <w:color w:val="auto"/>
                      <w:kern w:val="0"/>
                      <w:sz w:val="21"/>
                      <w:szCs w:val="21"/>
                      <w:lang w:bidi="ar"/>
                    </w:rPr>
                    <w:t>油松</w:t>
                  </w:r>
                </w:p>
              </w:tc>
              <w:tc>
                <w:tcPr>
                  <w:tcW w:w="6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F149AD">
                  <w:pPr>
                    <w:widowControl/>
                    <w:jc w:val="center"/>
                    <w:textAlignment w:val="center"/>
                    <w:rPr>
                      <w:color w:val="auto"/>
                      <w:sz w:val="21"/>
                      <w:szCs w:val="21"/>
                    </w:rPr>
                  </w:pPr>
                  <w:r>
                    <w:rPr>
                      <w:color w:val="auto"/>
                      <w:kern w:val="0"/>
                      <w:sz w:val="21"/>
                      <w:szCs w:val="21"/>
                      <w:lang w:bidi="ar"/>
                    </w:rPr>
                    <w:t>2×3</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E7E155">
                  <w:pPr>
                    <w:widowControl/>
                    <w:jc w:val="center"/>
                    <w:textAlignment w:val="center"/>
                    <w:rPr>
                      <w:color w:val="auto"/>
                      <w:sz w:val="21"/>
                      <w:szCs w:val="21"/>
                    </w:rPr>
                  </w:pPr>
                  <w:r>
                    <w:rPr>
                      <w:color w:val="auto"/>
                      <w:kern w:val="0"/>
                      <w:sz w:val="21"/>
                      <w:szCs w:val="21"/>
                      <w:lang w:bidi="ar"/>
                    </w:rPr>
                    <w:t>1667</w:t>
                  </w:r>
                  <w:r>
                    <w:rPr>
                      <w:rFonts w:hint="eastAsia" w:ascii="宋体" w:hAnsi="宋体" w:cs="宋体"/>
                      <w:color w:val="auto"/>
                      <w:kern w:val="0"/>
                      <w:sz w:val="21"/>
                      <w:szCs w:val="21"/>
                      <w:lang w:bidi="ar"/>
                    </w:rPr>
                    <w:t>株</w:t>
                  </w:r>
                  <w:r>
                    <w:rPr>
                      <w:color w:val="auto"/>
                      <w:kern w:val="0"/>
                      <w:sz w:val="21"/>
                      <w:szCs w:val="21"/>
                      <w:lang w:bidi="ar"/>
                    </w:rPr>
                    <w:t>/hm</w:t>
                  </w:r>
                  <w:r>
                    <w:rPr>
                      <w:color w:val="auto"/>
                      <w:kern w:val="0"/>
                      <w:sz w:val="21"/>
                      <w:szCs w:val="21"/>
                      <w:vertAlign w:val="superscript"/>
                      <w:lang w:bidi="ar"/>
                    </w:rPr>
                    <w:t>2</w:t>
                  </w:r>
                </w:p>
              </w:tc>
              <w:tc>
                <w:tcPr>
                  <w:tcW w:w="6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7BBF1D">
                  <w:pPr>
                    <w:widowControl/>
                    <w:jc w:val="center"/>
                    <w:textAlignment w:val="center"/>
                    <w:rPr>
                      <w:color w:val="auto"/>
                      <w:sz w:val="21"/>
                      <w:szCs w:val="21"/>
                    </w:rPr>
                  </w:pPr>
                  <w:r>
                    <w:rPr>
                      <w:rFonts w:hint="eastAsia"/>
                      <w:color w:val="auto"/>
                      <w:sz w:val="21"/>
                      <w:szCs w:val="21"/>
                    </w:rPr>
                    <w:t>2.2720</w:t>
                  </w:r>
                </w:p>
              </w:tc>
              <w:tc>
                <w:tcPr>
                  <w:tcW w:w="9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34A5E0">
                  <w:pPr>
                    <w:widowControl/>
                    <w:jc w:val="center"/>
                    <w:textAlignment w:val="center"/>
                    <w:rPr>
                      <w:rFonts w:hint="default" w:eastAsia="宋体"/>
                      <w:color w:val="auto"/>
                      <w:sz w:val="21"/>
                      <w:szCs w:val="21"/>
                      <w:lang w:val="en-US" w:eastAsia="zh-CN"/>
                    </w:rPr>
                  </w:pPr>
                  <w:r>
                    <w:rPr>
                      <w:rFonts w:hint="eastAsia"/>
                      <w:color w:val="auto"/>
                      <w:kern w:val="0"/>
                      <w:sz w:val="21"/>
                      <w:szCs w:val="21"/>
                      <w:lang w:val="en-US" w:eastAsia="zh-CN" w:bidi="ar"/>
                    </w:rPr>
                    <w:t>3787</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FC38C4">
                  <w:pPr>
                    <w:widowControl/>
                    <w:jc w:val="center"/>
                    <w:textAlignment w:val="center"/>
                    <w:rPr>
                      <w:color w:val="auto"/>
                      <w:sz w:val="21"/>
                      <w:szCs w:val="21"/>
                    </w:rPr>
                  </w:pPr>
                  <w:r>
                    <w:rPr>
                      <w:color w:val="auto"/>
                      <w:kern w:val="0"/>
                      <w:sz w:val="21"/>
                      <w:szCs w:val="21"/>
                      <w:lang w:bidi="ar"/>
                    </w:rPr>
                    <w:t>带土球移植</w:t>
                  </w:r>
                </w:p>
              </w:tc>
            </w:tr>
            <w:tr w14:paraId="57FB6EF7">
              <w:tblPrEx>
                <w:tblCellMar>
                  <w:top w:w="0" w:type="dxa"/>
                  <w:left w:w="108" w:type="dxa"/>
                  <w:bottom w:w="0" w:type="dxa"/>
                  <w:right w:w="108" w:type="dxa"/>
                </w:tblCellMar>
              </w:tblPrEx>
              <w:trPr>
                <w:trHeight w:val="315" w:hRule="atLeast"/>
              </w:trPr>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3E1343">
                  <w:pPr>
                    <w:widowControl/>
                    <w:jc w:val="center"/>
                    <w:textAlignment w:val="center"/>
                    <w:rPr>
                      <w:color w:val="auto"/>
                      <w:sz w:val="21"/>
                      <w:szCs w:val="21"/>
                    </w:rPr>
                  </w:pPr>
                  <w:r>
                    <w:rPr>
                      <w:color w:val="auto"/>
                      <w:kern w:val="0"/>
                      <w:sz w:val="21"/>
                      <w:szCs w:val="21"/>
                      <w:lang w:bidi="ar"/>
                    </w:rPr>
                    <w:t>2</w:t>
                  </w:r>
                </w:p>
              </w:tc>
              <w:tc>
                <w:tcPr>
                  <w:tcW w:w="7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D46486">
                  <w:pPr>
                    <w:widowControl/>
                    <w:jc w:val="center"/>
                    <w:textAlignment w:val="center"/>
                    <w:rPr>
                      <w:color w:val="auto"/>
                      <w:sz w:val="21"/>
                      <w:szCs w:val="21"/>
                    </w:rPr>
                  </w:pPr>
                  <w:r>
                    <w:rPr>
                      <w:color w:val="auto"/>
                      <w:kern w:val="0"/>
                      <w:sz w:val="21"/>
                      <w:szCs w:val="21"/>
                      <w:lang w:bidi="ar"/>
                    </w:rPr>
                    <w:t>紫花苜蓿</w:t>
                  </w:r>
                </w:p>
              </w:tc>
              <w:tc>
                <w:tcPr>
                  <w:tcW w:w="6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BA71B4">
                  <w:pPr>
                    <w:widowControl/>
                    <w:jc w:val="center"/>
                    <w:textAlignment w:val="center"/>
                    <w:rPr>
                      <w:color w:val="auto"/>
                      <w:sz w:val="21"/>
                      <w:szCs w:val="21"/>
                    </w:rPr>
                  </w:pPr>
                  <w:r>
                    <w:rPr>
                      <w:color w:val="auto"/>
                      <w:kern w:val="0"/>
                      <w:sz w:val="21"/>
                      <w:szCs w:val="21"/>
                      <w:lang w:bidi="ar"/>
                    </w:rPr>
                    <w:t>——</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447D5C">
                  <w:pPr>
                    <w:widowControl/>
                    <w:jc w:val="center"/>
                    <w:textAlignment w:val="center"/>
                    <w:rPr>
                      <w:color w:val="auto"/>
                      <w:sz w:val="21"/>
                      <w:szCs w:val="21"/>
                    </w:rPr>
                  </w:pPr>
                  <w:r>
                    <w:rPr>
                      <w:color w:val="auto"/>
                      <w:kern w:val="0"/>
                      <w:sz w:val="21"/>
                      <w:szCs w:val="21"/>
                      <w:lang w:bidi="ar"/>
                    </w:rPr>
                    <w:t>15kg/hm</w:t>
                  </w:r>
                  <w:r>
                    <w:rPr>
                      <w:color w:val="auto"/>
                      <w:kern w:val="0"/>
                      <w:sz w:val="21"/>
                      <w:szCs w:val="21"/>
                      <w:vertAlign w:val="superscript"/>
                      <w:lang w:bidi="ar"/>
                    </w:rPr>
                    <w:t>2</w:t>
                  </w:r>
                </w:p>
              </w:tc>
              <w:tc>
                <w:tcPr>
                  <w:tcW w:w="6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7E20DC">
                  <w:pPr>
                    <w:widowControl/>
                    <w:jc w:val="center"/>
                    <w:textAlignment w:val="center"/>
                    <w:rPr>
                      <w:color w:val="auto"/>
                      <w:sz w:val="21"/>
                      <w:szCs w:val="21"/>
                    </w:rPr>
                  </w:pPr>
                  <w:r>
                    <w:rPr>
                      <w:rFonts w:hint="eastAsia"/>
                      <w:color w:val="auto"/>
                      <w:sz w:val="21"/>
                      <w:szCs w:val="21"/>
                    </w:rPr>
                    <w:t>2.2720</w:t>
                  </w:r>
                </w:p>
              </w:tc>
              <w:tc>
                <w:tcPr>
                  <w:tcW w:w="9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FC12B3">
                  <w:pPr>
                    <w:widowControl/>
                    <w:jc w:val="center"/>
                    <w:textAlignment w:val="center"/>
                    <w:rPr>
                      <w:rFonts w:hint="default" w:eastAsia="宋体"/>
                      <w:color w:val="auto"/>
                      <w:sz w:val="21"/>
                      <w:szCs w:val="21"/>
                      <w:lang w:val="en-US" w:eastAsia="zh-CN"/>
                    </w:rPr>
                  </w:pPr>
                  <w:r>
                    <w:rPr>
                      <w:rFonts w:hint="eastAsia"/>
                      <w:color w:val="auto"/>
                      <w:kern w:val="0"/>
                      <w:sz w:val="21"/>
                      <w:szCs w:val="21"/>
                      <w:lang w:val="en-US" w:eastAsia="zh-CN" w:bidi="ar"/>
                    </w:rPr>
                    <w:t>34.08</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CD626A">
                  <w:pPr>
                    <w:widowControl/>
                    <w:jc w:val="center"/>
                    <w:textAlignment w:val="center"/>
                    <w:rPr>
                      <w:color w:val="auto"/>
                      <w:sz w:val="21"/>
                      <w:szCs w:val="21"/>
                    </w:rPr>
                  </w:pPr>
                  <w:r>
                    <w:rPr>
                      <w:color w:val="auto"/>
                      <w:kern w:val="0"/>
                      <w:sz w:val="21"/>
                      <w:szCs w:val="21"/>
                      <w:lang w:bidi="ar"/>
                    </w:rPr>
                    <w:t>撒播</w:t>
                  </w:r>
                </w:p>
              </w:tc>
            </w:tr>
            <w:tr w14:paraId="2E64747E">
              <w:tblPrEx>
                <w:tblCellMar>
                  <w:top w:w="0" w:type="dxa"/>
                  <w:left w:w="108" w:type="dxa"/>
                  <w:bottom w:w="0" w:type="dxa"/>
                  <w:right w:w="108" w:type="dxa"/>
                </w:tblCellMar>
              </w:tblPrEx>
              <w:trPr>
                <w:trHeight w:val="315" w:hRule="atLeast"/>
              </w:trPr>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7678B0">
                  <w:pPr>
                    <w:widowControl/>
                    <w:jc w:val="center"/>
                    <w:textAlignment w:val="center"/>
                    <w:rPr>
                      <w:color w:val="auto"/>
                      <w:kern w:val="0"/>
                      <w:sz w:val="21"/>
                      <w:szCs w:val="21"/>
                      <w:lang w:bidi="ar"/>
                    </w:rPr>
                  </w:pPr>
                  <w:r>
                    <w:rPr>
                      <w:rFonts w:hint="eastAsia"/>
                      <w:color w:val="auto"/>
                      <w:kern w:val="0"/>
                      <w:sz w:val="21"/>
                      <w:szCs w:val="21"/>
                      <w:lang w:bidi="ar"/>
                    </w:rPr>
                    <w:t>3</w:t>
                  </w:r>
                </w:p>
              </w:tc>
              <w:tc>
                <w:tcPr>
                  <w:tcW w:w="7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D4A6D0">
                  <w:pPr>
                    <w:widowControl/>
                    <w:jc w:val="center"/>
                    <w:textAlignment w:val="center"/>
                    <w:rPr>
                      <w:color w:val="auto"/>
                      <w:kern w:val="0"/>
                      <w:sz w:val="21"/>
                      <w:szCs w:val="21"/>
                      <w:lang w:bidi="ar"/>
                    </w:rPr>
                  </w:pPr>
                  <w:r>
                    <w:rPr>
                      <w:rFonts w:hint="eastAsia"/>
                      <w:color w:val="auto"/>
                      <w:kern w:val="0"/>
                      <w:sz w:val="21"/>
                      <w:szCs w:val="21"/>
                      <w:lang w:bidi="ar"/>
                    </w:rPr>
                    <w:t>披碱草</w:t>
                  </w:r>
                </w:p>
              </w:tc>
              <w:tc>
                <w:tcPr>
                  <w:tcW w:w="6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096A7D">
                  <w:pPr>
                    <w:widowControl/>
                    <w:jc w:val="center"/>
                    <w:textAlignment w:val="center"/>
                    <w:rPr>
                      <w:color w:val="auto"/>
                      <w:sz w:val="21"/>
                      <w:szCs w:val="21"/>
                    </w:rPr>
                  </w:pPr>
                  <w:r>
                    <w:rPr>
                      <w:color w:val="auto"/>
                      <w:kern w:val="0"/>
                      <w:sz w:val="21"/>
                      <w:szCs w:val="21"/>
                      <w:lang w:bidi="ar"/>
                    </w:rPr>
                    <w:t>——</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088577">
                  <w:pPr>
                    <w:widowControl/>
                    <w:jc w:val="center"/>
                    <w:textAlignment w:val="center"/>
                    <w:rPr>
                      <w:color w:val="auto"/>
                      <w:sz w:val="21"/>
                      <w:szCs w:val="21"/>
                    </w:rPr>
                  </w:pPr>
                  <w:r>
                    <w:rPr>
                      <w:color w:val="auto"/>
                      <w:kern w:val="0"/>
                      <w:sz w:val="21"/>
                      <w:szCs w:val="21"/>
                      <w:lang w:bidi="ar"/>
                    </w:rPr>
                    <w:t>15kg/hm</w:t>
                  </w:r>
                  <w:r>
                    <w:rPr>
                      <w:color w:val="auto"/>
                      <w:kern w:val="0"/>
                      <w:sz w:val="21"/>
                      <w:szCs w:val="21"/>
                      <w:vertAlign w:val="superscript"/>
                      <w:lang w:bidi="ar"/>
                    </w:rPr>
                    <w:t>2</w:t>
                  </w:r>
                </w:p>
              </w:tc>
              <w:tc>
                <w:tcPr>
                  <w:tcW w:w="6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76FE60">
                  <w:pPr>
                    <w:widowControl/>
                    <w:jc w:val="center"/>
                    <w:textAlignment w:val="center"/>
                    <w:rPr>
                      <w:color w:val="auto"/>
                      <w:sz w:val="21"/>
                      <w:szCs w:val="21"/>
                    </w:rPr>
                  </w:pPr>
                  <w:r>
                    <w:rPr>
                      <w:rFonts w:hint="eastAsia"/>
                      <w:color w:val="auto"/>
                      <w:sz w:val="21"/>
                      <w:szCs w:val="21"/>
                    </w:rPr>
                    <w:t>2.2720</w:t>
                  </w:r>
                </w:p>
              </w:tc>
              <w:tc>
                <w:tcPr>
                  <w:tcW w:w="9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B90A63">
                  <w:pPr>
                    <w:widowControl/>
                    <w:jc w:val="center"/>
                    <w:textAlignment w:val="center"/>
                    <w:rPr>
                      <w:rFonts w:hint="default" w:eastAsia="宋体"/>
                      <w:color w:val="auto"/>
                      <w:sz w:val="21"/>
                      <w:szCs w:val="21"/>
                      <w:lang w:val="en-US" w:eastAsia="zh-CN"/>
                    </w:rPr>
                  </w:pPr>
                  <w:r>
                    <w:rPr>
                      <w:rFonts w:hint="eastAsia"/>
                      <w:color w:val="auto"/>
                      <w:kern w:val="0"/>
                      <w:sz w:val="21"/>
                      <w:szCs w:val="21"/>
                      <w:lang w:val="en-US" w:eastAsia="zh-CN" w:bidi="ar"/>
                    </w:rPr>
                    <w:t>34.08</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F4ACFE">
                  <w:pPr>
                    <w:widowControl/>
                    <w:jc w:val="center"/>
                    <w:textAlignment w:val="center"/>
                    <w:rPr>
                      <w:color w:val="auto"/>
                      <w:sz w:val="21"/>
                      <w:szCs w:val="21"/>
                    </w:rPr>
                  </w:pPr>
                  <w:r>
                    <w:rPr>
                      <w:color w:val="auto"/>
                      <w:kern w:val="0"/>
                      <w:sz w:val="21"/>
                      <w:szCs w:val="21"/>
                      <w:lang w:bidi="ar"/>
                    </w:rPr>
                    <w:t>撒播</w:t>
                  </w:r>
                </w:p>
              </w:tc>
            </w:tr>
          </w:tbl>
          <w:p w14:paraId="7B7C7E32">
            <w:pPr>
              <w:keepNext w:val="0"/>
              <w:keepLines w:val="0"/>
              <w:pageBreakBefore w:val="0"/>
              <w:widowControl w:val="0"/>
              <w:kinsoku/>
              <w:wordWrap/>
              <w:overflowPunct/>
              <w:topLinePunct w:val="0"/>
              <w:autoSpaceDE/>
              <w:autoSpaceDN/>
              <w:bidi w:val="0"/>
              <w:adjustRightInd w:val="0"/>
              <w:snapToGrid w:val="0"/>
              <w:spacing w:line="480" w:lineRule="exact"/>
              <w:ind w:firstLine="470" w:firstLineChars="196"/>
              <w:textAlignment w:val="auto"/>
              <w:rPr>
                <w:rFonts w:ascii="宋体" w:hAnsi="宋体" w:cs="宋体"/>
                <w:color w:val="auto"/>
                <w:sz w:val="24"/>
              </w:rPr>
            </w:pPr>
            <w:r>
              <w:rPr>
                <w:color w:val="auto"/>
                <w:sz w:val="24"/>
              </w:rPr>
              <w:t>排土场</w:t>
            </w:r>
            <w:r>
              <w:rPr>
                <w:rFonts w:hint="eastAsia"/>
                <w:color w:val="auto"/>
                <w:sz w:val="24"/>
              </w:rPr>
              <w:t>边坡2.2899</w:t>
            </w:r>
            <w:r>
              <w:rPr>
                <w:color w:val="auto"/>
                <w:sz w:val="24"/>
              </w:rPr>
              <w:t>hm</w:t>
            </w:r>
            <w:r>
              <w:rPr>
                <w:color w:val="auto"/>
                <w:sz w:val="24"/>
                <w:vertAlign w:val="superscript"/>
              </w:rPr>
              <w:t>2</w:t>
            </w:r>
            <w:r>
              <w:rPr>
                <w:color w:val="auto"/>
                <w:sz w:val="24"/>
              </w:rPr>
              <w:t>，</w:t>
            </w:r>
            <w:r>
              <w:rPr>
                <w:rFonts w:hint="eastAsia"/>
                <w:color w:val="auto"/>
                <w:sz w:val="24"/>
              </w:rPr>
              <w:t>均</w:t>
            </w:r>
            <w:r>
              <w:rPr>
                <w:rFonts w:hint="eastAsia" w:ascii="宋体" w:hAnsi="宋体" w:cs="宋体"/>
                <w:color w:val="auto"/>
                <w:sz w:val="24"/>
              </w:rPr>
              <w:t>复垦方向为灌木林地，</w:t>
            </w:r>
            <w:r>
              <w:rPr>
                <w:bCs/>
                <w:color w:val="auto"/>
                <w:sz w:val="24"/>
              </w:rPr>
              <w:t>灌木选择3年生紫穗槐，株行距为1m×1m，种植密度为10000株/hm</w:t>
            </w:r>
            <w:r>
              <w:rPr>
                <w:bCs/>
                <w:color w:val="auto"/>
                <w:sz w:val="24"/>
                <w:vertAlign w:val="superscript"/>
              </w:rPr>
              <w:t>2</w:t>
            </w:r>
            <w:r>
              <w:rPr>
                <w:bCs/>
                <w:color w:val="auto"/>
                <w:sz w:val="24"/>
              </w:rPr>
              <w:t>，整地方式与规格为圆形穴坑整地，采用0.3×0.3×0.3m的圆穴。并撒播紫花苜蓿和披碱草，撒播量为30kg/hm</w:t>
            </w:r>
            <w:r>
              <w:rPr>
                <w:bCs/>
                <w:color w:val="auto"/>
                <w:sz w:val="24"/>
                <w:vertAlign w:val="superscript"/>
              </w:rPr>
              <w:t>2</w:t>
            </w:r>
            <w:r>
              <w:rPr>
                <w:color w:val="auto"/>
                <w:sz w:val="24"/>
              </w:rPr>
              <w:t>，具体植物措施配置见表5-1</w:t>
            </w:r>
            <w:r>
              <w:rPr>
                <w:rFonts w:hint="eastAsia"/>
                <w:color w:val="auto"/>
                <w:sz w:val="24"/>
                <w:lang w:val="en-US" w:eastAsia="zh-CN"/>
              </w:rPr>
              <w:t>2</w:t>
            </w:r>
            <w:r>
              <w:rPr>
                <w:color w:val="auto"/>
                <w:sz w:val="24"/>
              </w:rPr>
              <w:t>；</w:t>
            </w:r>
          </w:p>
          <w:p w14:paraId="6F0155CE">
            <w:pPr>
              <w:pStyle w:val="81"/>
              <w:keepNext w:val="0"/>
              <w:keepLines w:val="0"/>
              <w:pageBreakBefore w:val="0"/>
              <w:widowControl w:val="0"/>
              <w:kinsoku/>
              <w:wordWrap/>
              <w:overflowPunct/>
              <w:topLinePunct w:val="0"/>
              <w:autoSpaceDE/>
              <w:autoSpaceDN/>
              <w:bidi w:val="0"/>
              <w:ind w:firstLine="420" w:firstLineChars="200"/>
              <w:jc w:val="center"/>
              <w:textAlignment w:val="auto"/>
              <w:rPr>
                <w:rFonts w:ascii="宋体" w:hAnsi="宋体" w:eastAsia="宋体" w:cs="宋体"/>
                <w:b/>
                <w:color w:val="auto"/>
              </w:rPr>
            </w:pPr>
            <w:bookmarkStart w:id="27" w:name="_Hlk100353944"/>
            <w:r>
              <w:rPr>
                <w:rFonts w:hint="eastAsia" w:ascii="宋体" w:hAnsi="宋体" w:eastAsia="宋体" w:cs="宋体"/>
                <w:color w:val="auto"/>
                <w:szCs w:val="21"/>
                <w:lang w:val="zh-CN" w:bidi="ar"/>
              </w:rPr>
              <w:t>表</w:t>
            </w:r>
            <w:r>
              <w:rPr>
                <w:rFonts w:eastAsia="宋体"/>
                <w:color w:val="auto"/>
                <w:szCs w:val="21"/>
                <w:lang w:bidi="ar"/>
              </w:rPr>
              <w:t>5-1</w:t>
            </w:r>
            <w:r>
              <w:rPr>
                <w:rFonts w:hint="eastAsia" w:eastAsia="宋体"/>
                <w:color w:val="auto"/>
                <w:szCs w:val="21"/>
                <w:lang w:val="en-US" w:eastAsia="zh-CN" w:bidi="ar"/>
              </w:rPr>
              <w:t>2</w:t>
            </w:r>
            <w:r>
              <w:rPr>
                <w:rFonts w:hint="eastAsia" w:ascii="宋体" w:hAnsi="宋体" w:eastAsia="宋体" w:cs="宋体"/>
                <w:color w:val="auto"/>
                <w:szCs w:val="21"/>
                <w:lang w:val="zh-CN" w:bidi="ar"/>
              </w:rPr>
              <w:t xml:space="preserve">     排土场</w:t>
            </w:r>
            <w:r>
              <w:rPr>
                <w:rFonts w:hint="eastAsia" w:ascii="宋体" w:hAnsi="宋体" w:eastAsia="宋体" w:cs="宋体"/>
                <w:color w:val="auto"/>
                <w:szCs w:val="21"/>
                <w:lang w:val="en-US" w:eastAsia="zh-CN" w:bidi="ar"/>
              </w:rPr>
              <w:t>边坡</w:t>
            </w:r>
            <w:r>
              <w:rPr>
                <w:rFonts w:hint="eastAsia" w:ascii="宋体" w:hAnsi="宋体" w:eastAsia="宋体" w:cs="宋体"/>
                <w:color w:val="auto"/>
                <w:szCs w:val="21"/>
                <w:lang w:val="zh-CN" w:bidi="ar"/>
              </w:rPr>
              <w:t>植物措施配置表</w:t>
            </w:r>
          </w:p>
          <w:tbl>
            <w:tblPr>
              <w:tblStyle w:val="29"/>
              <w:tblW w:w="8165" w:type="dxa"/>
              <w:tblInd w:w="0" w:type="dxa"/>
              <w:tblLayout w:type="autofit"/>
              <w:tblCellMar>
                <w:top w:w="0" w:type="dxa"/>
                <w:left w:w="108" w:type="dxa"/>
                <w:bottom w:w="0" w:type="dxa"/>
                <w:right w:w="108" w:type="dxa"/>
              </w:tblCellMar>
            </w:tblPr>
            <w:tblGrid>
              <w:gridCol w:w="773"/>
              <w:gridCol w:w="1128"/>
              <w:gridCol w:w="1201"/>
              <w:gridCol w:w="1386"/>
              <w:gridCol w:w="1185"/>
              <w:gridCol w:w="1296"/>
              <w:gridCol w:w="1196"/>
            </w:tblGrid>
            <w:tr w14:paraId="702AB977">
              <w:tblPrEx>
                <w:tblCellMar>
                  <w:top w:w="0" w:type="dxa"/>
                  <w:left w:w="108" w:type="dxa"/>
                  <w:bottom w:w="0" w:type="dxa"/>
                  <w:right w:w="108" w:type="dxa"/>
                </w:tblCellMar>
              </w:tblPrEx>
              <w:trPr>
                <w:trHeight w:val="315" w:hRule="atLeast"/>
              </w:trPr>
              <w:tc>
                <w:tcPr>
                  <w:tcW w:w="47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00FC67B">
                  <w:pPr>
                    <w:widowControl/>
                    <w:jc w:val="center"/>
                    <w:textAlignment w:val="center"/>
                    <w:rPr>
                      <w:color w:val="auto"/>
                      <w:sz w:val="21"/>
                      <w:szCs w:val="21"/>
                    </w:rPr>
                  </w:pPr>
                  <w:r>
                    <w:rPr>
                      <w:color w:val="auto"/>
                      <w:kern w:val="0"/>
                      <w:sz w:val="21"/>
                      <w:szCs w:val="21"/>
                      <w:lang w:bidi="ar"/>
                    </w:rPr>
                    <w:t>编号</w:t>
                  </w:r>
                </w:p>
              </w:tc>
              <w:tc>
                <w:tcPr>
                  <w:tcW w:w="69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D036751">
                  <w:pPr>
                    <w:widowControl/>
                    <w:jc w:val="center"/>
                    <w:textAlignment w:val="center"/>
                    <w:rPr>
                      <w:color w:val="auto"/>
                      <w:sz w:val="21"/>
                      <w:szCs w:val="21"/>
                    </w:rPr>
                  </w:pPr>
                  <w:r>
                    <w:rPr>
                      <w:color w:val="auto"/>
                      <w:kern w:val="0"/>
                      <w:sz w:val="21"/>
                      <w:szCs w:val="21"/>
                      <w:lang w:bidi="ar"/>
                    </w:rPr>
                    <w:t>树种或草种</w:t>
                  </w:r>
                </w:p>
              </w:tc>
              <w:tc>
                <w:tcPr>
                  <w:tcW w:w="73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71F798C">
                  <w:pPr>
                    <w:widowControl/>
                    <w:jc w:val="center"/>
                    <w:textAlignment w:val="center"/>
                    <w:rPr>
                      <w:color w:val="auto"/>
                      <w:sz w:val="21"/>
                      <w:szCs w:val="21"/>
                    </w:rPr>
                  </w:pPr>
                  <w:r>
                    <w:rPr>
                      <w:color w:val="auto"/>
                      <w:kern w:val="0"/>
                      <w:sz w:val="21"/>
                      <w:szCs w:val="21"/>
                      <w:lang w:bidi="ar"/>
                    </w:rPr>
                    <w:t>株行距（m</w:t>
                  </w:r>
                  <w:r>
                    <w:rPr>
                      <w:rFonts w:hint="eastAsia" w:ascii="宋体" w:hAnsi="宋体" w:cs="宋体"/>
                      <w:color w:val="auto"/>
                      <w:kern w:val="0"/>
                      <w:sz w:val="21"/>
                      <w:szCs w:val="21"/>
                      <w:lang w:bidi="ar"/>
                    </w:rPr>
                    <w:t>）</w:t>
                  </w:r>
                </w:p>
              </w:tc>
              <w:tc>
                <w:tcPr>
                  <w:tcW w:w="84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438F790">
                  <w:pPr>
                    <w:widowControl/>
                    <w:jc w:val="center"/>
                    <w:textAlignment w:val="center"/>
                    <w:rPr>
                      <w:color w:val="auto"/>
                      <w:sz w:val="21"/>
                      <w:szCs w:val="21"/>
                    </w:rPr>
                  </w:pPr>
                  <w:r>
                    <w:rPr>
                      <w:color w:val="auto"/>
                      <w:kern w:val="0"/>
                      <w:sz w:val="21"/>
                      <w:szCs w:val="21"/>
                      <w:lang w:bidi="ar"/>
                    </w:rPr>
                    <w:t>植树密度/</w:t>
                  </w:r>
                  <w:r>
                    <w:rPr>
                      <w:rFonts w:hint="eastAsia" w:ascii="宋体" w:hAnsi="宋体" w:cs="宋体"/>
                      <w:color w:val="auto"/>
                      <w:kern w:val="0"/>
                      <w:sz w:val="21"/>
                      <w:szCs w:val="21"/>
                      <w:lang w:bidi="ar"/>
                    </w:rPr>
                    <w:t>播种量</w:t>
                  </w:r>
                </w:p>
              </w:tc>
              <w:tc>
                <w:tcPr>
                  <w:tcW w:w="72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63C655C">
                  <w:pPr>
                    <w:widowControl/>
                    <w:jc w:val="center"/>
                    <w:textAlignment w:val="center"/>
                    <w:rPr>
                      <w:color w:val="auto"/>
                      <w:sz w:val="21"/>
                      <w:szCs w:val="21"/>
                    </w:rPr>
                  </w:pPr>
                  <w:r>
                    <w:rPr>
                      <w:color w:val="auto"/>
                      <w:kern w:val="0"/>
                      <w:sz w:val="21"/>
                      <w:szCs w:val="21"/>
                      <w:lang w:bidi="ar"/>
                    </w:rPr>
                    <w:t>种植面积（hm</w:t>
                  </w:r>
                  <w:r>
                    <w:rPr>
                      <w:color w:val="auto"/>
                      <w:kern w:val="0"/>
                      <w:sz w:val="21"/>
                      <w:szCs w:val="21"/>
                      <w:vertAlign w:val="superscript"/>
                      <w:lang w:bidi="ar"/>
                    </w:rPr>
                    <w:t>2</w:t>
                  </w:r>
                  <w:r>
                    <w:rPr>
                      <w:rFonts w:hint="eastAsia" w:ascii="宋体" w:hAnsi="宋体" w:cs="宋体"/>
                      <w:color w:val="auto"/>
                      <w:kern w:val="0"/>
                      <w:sz w:val="21"/>
                      <w:szCs w:val="21"/>
                      <w:lang w:bidi="ar"/>
                    </w:rPr>
                    <w:t>）</w:t>
                  </w:r>
                </w:p>
              </w:tc>
              <w:tc>
                <w:tcPr>
                  <w:tcW w:w="7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7F5EEB">
                  <w:pPr>
                    <w:widowControl/>
                    <w:jc w:val="center"/>
                    <w:textAlignment w:val="center"/>
                    <w:rPr>
                      <w:color w:val="auto"/>
                      <w:sz w:val="21"/>
                      <w:szCs w:val="21"/>
                    </w:rPr>
                  </w:pPr>
                  <w:r>
                    <w:rPr>
                      <w:color w:val="auto"/>
                      <w:kern w:val="0"/>
                      <w:sz w:val="21"/>
                      <w:szCs w:val="21"/>
                      <w:lang w:bidi="ar"/>
                    </w:rPr>
                    <w:t>种植</w:t>
                  </w:r>
                </w:p>
              </w:tc>
              <w:tc>
                <w:tcPr>
                  <w:tcW w:w="73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F4A1F8A">
                  <w:pPr>
                    <w:widowControl/>
                    <w:jc w:val="center"/>
                    <w:textAlignment w:val="center"/>
                    <w:rPr>
                      <w:color w:val="auto"/>
                      <w:sz w:val="21"/>
                      <w:szCs w:val="21"/>
                    </w:rPr>
                  </w:pPr>
                  <w:r>
                    <w:rPr>
                      <w:color w:val="auto"/>
                      <w:kern w:val="0"/>
                      <w:sz w:val="21"/>
                      <w:szCs w:val="21"/>
                      <w:lang w:bidi="ar"/>
                    </w:rPr>
                    <w:t>播种方式</w:t>
                  </w:r>
                </w:p>
              </w:tc>
            </w:tr>
            <w:tr w14:paraId="5737ED58">
              <w:tblPrEx>
                <w:tblCellMar>
                  <w:top w:w="0" w:type="dxa"/>
                  <w:left w:w="108" w:type="dxa"/>
                  <w:bottom w:w="0" w:type="dxa"/>
                  <w:right w:w="108" w:type="dxa"/>
                </w:tblCellMar>
              </w:tblPrEx>
              <w:trPr>
                <w:trHeight w:val="315" w:hRule="atLeast"/>
              </w:trPr>
              <w:tc>
                <w:tcPr>
                  <w:tcW w:w="47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72F076">
                  <w:pPr>
                    <w:jc w:val="center"/>
                    <w:rPr>
                      <w:color w:val="auto"/>
                      <w:sz w:val="21"/>
                      <w:szCs w:val="21"/>
                    </w:rPr>
                  </w:pPr>
                </w:p>
              </w:tc>
              <w:tc>
                <w:tcPr>
                  <w:tcW w:w="6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B947FA">
                  <w:pPr>
                    <w:jc w:val="center"/>
                    <w:rPr>
                      <w:color w:val="auto"/>
                      <w:sz w:val="21"/>
                      <w:szCs w:val="21"/>
                    </w:rPr>
                  </w:pPr>
                </w:p>
              </w:tc>
              <w:tc>
                <w:tcPr>
                  <w:tcW w:w="7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15F1A7">
                  <w:pPr>
                    <w:jc w:val="center"/>
                    <w:rPr>
                      <w:color w:val="auto"/>
                      <w:sz w:val="21"/>
                      <w:szCs w:val="21"/>
                    </w:rPr>
                  </w:pPr>
                </w:p>
              </w:tc>
              <w:tc>
                <w:tcPr>
                  <w:tcW w:w="8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1DF1B4">
                  <w:pPr>
                    <w:jc w:val="center"/>
                    <w:rPr>
                      <w:color w:val="auto"/>
                      <w:sz w:val="21"/>
                      <w:szCs w:val="21"/>
                    </w:rPr>
                  </w:pPr>
                </w:p>
              </w:tc>
              <w:tc>
                <w:tcPr>
                  <w:tcW w:w="7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2BBF9A">
                  <w:pPr>
                    <w:jc w:val="center"/>
                    <w:rPr>
                      <w:color w:val="auto"/>
                      <w:sz w:val="21"/>
                      <w:szCs w:val="21"/>
                    </w:rPr>
                  </w:pPr>
                </w:p>
              </w:tc>
              <w:tc>
                <w:tcPr>
                  <w:tcW w:w="7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EED68A">
                  <w:pPr>
                    <w:widowControl/>
                    <w:jc w:val="center"/>
                    <w:textAlignment w:val="center"/>
                    <w:rPr>
                      <w:color w:val="auto"/>
                      <w:sz w:val="21"/>
                      <w:szCs w:val="21"/>
                    </w:rPr>
                  </w:pPr>
                  <w:r>
                    <w:rPr>
                      <w:color w:val="auto"/>
                      <w:kern w:val="0"/>
                      <w:sz w:val="21"/>
                      <w:szCs w:val="21"/>
                      <w:lang w:bidi="ar"/>
                    </w:rPr>
                    <w:t>数量</w:t>
                  </w:r>
                </w:p>
              </w:tc>
              <w:tc>
                <w:tcPr>
                  <w:tcW w:w="73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95652F">
                  <w:pPr>
                    <w:jc w:val="center"/>
                    <w:rPr>
                      <w:color w:val="auto"/>
                      <w:sz w:val="21"/>
                      <w:szCs w:val="21"/>
                    </w:rPr>
                  </w:pPr>
                </w:p>
              </w:tc>
            </w:tr>
            <w:tr w14:paraId="0CC73876">
              <w:tblPrEx>
                <w:tblCellMar>
                  <w:top w:w="0" w:type="dxa"/>
                  <w:left w:w="108" w:type="dxa"/>
                  <w:bottom w:w="0" w:type="dxa"/>
                  <w:right w:w="108" w:type="dxa"/>
                </w:tblCellMar>
              </w:tblPrEx>
              <w:trPr>
                <w:trHeight w:val="315" w:hRule="atLeast"/>
              </w:trPr>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09BF34">
                  <w:pPr>
                    <w:widowControl/>
                    <w:jc w:val="center"/>
                    <w:textAlignment w:val="center"/>
                    <w:rPr>
                      <w:color w:val="auto"/>
                      <w:sz w:val="21"/>
                      <w:szCs w:val="21"/>
                    </w:rPr>
                  </w:pPr>
                  <w:r>
                    <w:rPr>
                      <w:color w:val="auto"/>
                      <w:kern w:val="0"/>
                      <w:sz w:val="21"/>
                      <w:szCs w:val="21"/>
                      <w:lang w:bidi="ar"/>
                    </w:rPr>
                    <w:t>1</w:t>
                  </w:r>
                </w:p>
              </w:tc>
              <w:tc>
                <w:tcPr>
                  <w:tcW w:w="6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E0BCCC">
                  <w:pPr>
                    <w:widowControl/>
                    <w:jc w:val="center"/>
                    <w:textAlignment w:val="center"/>
                    <w:rPr>
                      <w:rFonts w:ascii="宋体" w:hAnsi="宋体" w:cs="宋体"/>
                      <w:color w:val="auto"/>
                      <w:sz w:val="21"/>
                      <w:szCs w:val="21"/>
                    </w:rPr>
                  </w:pPr>
                  <w:r>
                    <w:rPr>
                      <w:rFonts w:hint="eastAsia" w:ascii="宋体" w:hAnsi="宋体" w:cs="宋体"/>
                      <w:color w:val="auto"/>
                      <w:sz w:val="21"/>
                      <w:szCs w:val="21"/>
                    </w:rPr>
                    <w:t>紫穗槐</w:t>
                  </w:r>
                </w:p>
              </w:tc>
              <w:tc>
                <w:tcPr>
                  <w:tcW w:w="7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CE86BC">
                  <w:pPr>
                    <w:widowControl/>
                    <w:jc w:val="center"/>
                    <w:textAlignment w:val="center"/>
                    <w:rPr>
                      <w:color w:val="auto"/>
                      <w:sz w:val="21"/>
                      <w:szCs w:val="21"/>
                    </w:rPr>
                  </w:pPr>
                  <w:r>
                    <w:rPr>
                      <w:color w:val="auto"/>
                      <w:kern w:val="0"/>
                      <w:sz w:val="21"/>
                      <w:szCs w:val="21"/>
                      <w:lang w:bidi="ar"/>
                    </w:rPr>
                    <w:t>1×1</w:t>
                  </w:r>
                </w:p>
              </w:tc>
              <w:tc>
                <w:tcPr>
                  <w:tcW w:w="8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1153B4">
                  <w:pPr>
                    <w:widowControl/>
                    <w:jc w:val="center"/>
                    <w:textAlignment w:val="center"/>
                    <w:rPr>
                      <w:color w:val="auto"/>
                      <w:sz w:val="21"/>
                      <w:szCs w:val="21"/>
                    </w:rPr>
                  </w:pPr>
                  <w:r>
                    <w:rPr>
                      <w:color w:val="auto"/>
                      <w:kern w:val="0"/>
                      <w:sz w:val="21"/>
                      <w:szCs w:val="21"/>
                      <w:lang w:bidi="ar"/>
                    </w:rPr>
                    <w:t>10000</w:t>
                  </w:r>
                  <w:r>
                    <w:rPr>
                      <w:rFonts w:hint="eastAsia" w:ascii="宋体" w:hAnsi="宋体" w:cs="宋体"/>
                      <w:color w:val="auto"/>
                      <w:kern w:val="0"/>
                      <w:sz w:val="21"/>
                      <w:szCs w:val="21"/>
                      <w:lang w:bidi="ar"/>
                    </w:rPr>
                    <w:t>株</w:t>
                  </w:r>
                  <w:r>
                    <w:rPr>
                      <w:color w:val="auto"/>
                      <w:kern w:val="0"/>
                      <w:sz w:val="21"/>
                      <w:szCs w:val="21"/>
                      <w:lang w:bidi="ar"/>
                    </w:rPr>
                    <w:t>/hm</w:t>
                  </w:r>
                  <w:r>
                    <w:rPr>
                      <w:color w:val="auto"/>
                      <w:kern w:val="0"/>
                      <w:sz w:val="21"/>
                      <w:szCs w:val="21"/>
                      <w:vertAlign w:val="superscript"/>
                      <w:lang w:bidi="ar"/>
                    </w:rPr>
                    <w:t>2</w:t>
                  </w:r>
                </w:p>
              </w:tc>
              <w:tc>
                <w:tcPr>
                  <w:tcW w:w="7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CE4BDD">
                  <w:pPr>
                    <w:widowControl/>
                    <w:jc w:val="center"/>
                    <w:textAlignment w:val="center"/>
                    <w:rPr>
                      <w:color w:val="auto"/>
                      <w:sz w:val="21"/>
                      <w:szCs w:val="21"/>
                    </w:rPr>
                  </w:pPr>
                  <w:r>
                    <w:rPr>
                      <w:rFonts w:hint="eastAsia"/>
                      <w:color w:val="auto"/>
                      <w:sz w:val="21"/>
                      <w:szCs w:val="21"/>
                    </w:rPr>
                    <w:t>2.2899</w:t>
                  </w:r>
                </w:p>
              </w:tc>
              <w:tc>
                <w:tcPr>
                  <w:tcW w:w="7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63FB09">
                  <w:pPr>
                    <w:widowControl/>
                    <w:jc w:val="center"/>
                    <w:textAlignment w:val="center"/>
                    <w:rPr>
                      <w:rFonts w:hint="default" w:eastAsia="宋体"/>
                      <w:color w:val="auto"/>
                      <w:sz w:val="21"/>
                      <w:szCs w:val="21"/>
                      <w:lang w:val="en-US" w:eastAsia="zh-CN"/>
                    </w:rPr>
                  </w:pPr>
                  <w:r>
                    <w:rPr>
                      <w:rFonts w:hint="eastAsia"/>
                      <w:color w:val="auto"/>
                      <w:kern w:val="0"/>
                      <w:sz w:val="21"/>
                      <w:szCs w:val="21"/>
                      <w:lang w:val="en-US" w:eastAsia="zh-CN" w:bidi="ar"/>
                    </w:rPr>
                    <w:t>22899</w:t>
                  </w:r>
                </w:p>
              </w:tc>
              <w:tc>
                <w:tcPr>
                  <w:tcW w:w="7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CA8A49">
                  <w:pPr>
                    <w:keepNext w:val="0"/>
                    <w:keepLines w:val="0"/>
                    <w:pageBreakBefore w:val="0"/>
                    <w:widowControl/>
                    <w:kinsoku/>
                    <w:wordWrap/>
                    <w:overflowPunct/>
                    <w:topLinePunct w:val="0"/>
                    <w:autoSpaceDE/>
                    <w:autoSpaceDN/>
                    <w:bidi w:val="0"/>
                    <w:adjustRightInd/>
                    <w:snapToGrid/>
                    <w:ind w:left="-105" w:leftChars="-50" w:right="-105" w:rightChars="-50"/>
                    <w:jc w:val="center"/>
                    <w:textAlignment w:val="center"/>
                    <w:rPr>
                      <w:color w:val="auto"/>
                      <w:sz w:val="21"/>
                      <w:szCs w:val="21"/>
                    </w:rPr>
                  </w:pPr>
                  <w:r>
                    <w:rPr>
                      <w:rFonts w:hint="eastAsia"/>
                      <w:color w:val="auto"/>
                      <w:kern w:val="0"/>
                      <w:sz w:val="21"/>
                      <w:szCs w:val="21"/>
                      <w:lang w:bidi="ar"/>
                    </w:rPr>
                    <w:t>带土球移植</w:t>
                  </w:r>
                </w:p>
              </w:tc>
            </w:tr>
            <w:tr w14:paraId="39C45562">
              <w:tblPrEx>
                <w:tblCellMar>
                  <w:top w:w="0" w:type="dxa"/>
                  <w:left w:w="108" w:type="dxa"/>
                  <w:bottom w:w="0" w:type="dxa"/>
                  <w:right w:w="108" w:type="dxa"/>
                </w:tblCellMar>
              </w:tblPrEx>
              <w:trPr>
                <w:trHeight w:val="315" w:hRule="atLeast"/>
              </w:trPr>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881000">
                  <w:pPr>
                    <w:widowControl/>
                    <w:jc w:val="center"/>
                    <w:textAlignment w:val="center"/>
                    <w:rPr>
                      <w:color w:val="auto"/>
                      <w:sz w:val="21"/>
                      <w:szCs w:val="21"/>
                    </w:rPr>
                  </w:pPr>
                  <w:r>
                    <w:rPr>
                      <w:color w:val="auto"/>
                      <w:kern w:val="0"/>
                      <w:sz w:val="21"/>
                      <w:szCs w:val="21"/>
                      <w:lang w:bidi="ar"/>
                    </w:rPr>
                    <w:t>2</w:t>
                  </w:r>
                </w:p>
              </w:tc>
              <w:tc>
                <w:tcPr>
                  <w:tcW w:w="6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71DF27">
                  <w:pPr>
                    <w:widowControl/>
                    <w:jc w:val="center"/>
                    <w:textAlignment w:val="center"/>
                    <w:rPr>
                      <w:color w:val="auto"/>
                      <w:sz w:val="21"/>
                      <w:szCs w:val="21"/>
                    </w:rPr>
                  </w:pPr>
                  <w:r>
                    <w:rPr>
                      <w:color w:val="auto"/>
                      <w:kern w:val="0"/>
                      <w:sz w:val="21"/>
                      <w:szCs w:val="21"/>
                      <w:lang w:bidi="ar"/>
                    </w:rPr>
                    <w:t>紫花苜蓿</w:t>
                  </w:r>
                </w:p>
              </w:tc>
              <w:tc>
                <w:tcPr>
                  <w:tcW w:w="7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BAB15A">
                  <w:pPr>
                    <w:widowControl/>
                    <w:jc w:val="center"/>
                    <w:textAlignment w:val="center"/>
                    <w:rPr>
                      <w:color w:val="auto"/>
                      <w:sz w:val="21"/>
                      <w:szCs w:val="21"/>
                    </w:rPr>
                  </w:pPr>
                  <w:r>
                    <w:rPr>
                      <w:color w:val="auto"/>
                      <w:kern w:val="0"/>
                      <w:sz w:val="21"/>
                      <w:szCs w:val="21"/>
                      <w:lang w:bidi="ar"/>
                    </w:rPr>
                    <w:t>——</w:t>
                  </w:r>
                </w:p>
              </w:tc>
              <w:tc>
                <w:tcPr>
                  <w:tcW w:w="8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D1279D">
                  <w:pPr>
                    <w:widowControl/>
                    <w:jc w:val="center"/>
                    <w:textAlignment w:val="center"/>
                    <w:rPr>
                      <w:color w:val="auto"/>
                      <w:sz w:val="21"/>
                      <w:szCs w:val="21"/>
                    </w:rPr>
                  </w:pPr>
                  <w:r>
                    <w:rPr>
                      <w:color w:val="auto"/>
                      <w:kern w:val="0"/>
                      <w:sz w:val="21"/>
                      <w:szCs w:val="21"/>
                      <w:lang w:bidi="ar"/>
                    </w:rPr>
                    <w:t>30kg/hm</w:t>
                  </w:r>
                  <w:r>
                    <w:rPr>
                      <w:color w:val="auto"/>
                      <w:kern w:val="0"/>
                      <w:sz w:val="21"/>
                      <w:szCs w:val="21"/>
                      <w:vertAlign w:val="superscript"/>
                      <w:lang w:bidi="ar"/>
                    </w:rPr>
                    <w:t>2</w:t>
                  </w:r>
                </w:p>
              </w:tc>
              <w:tc>
                <w:tcPr>
                  <w:tcW w:w="7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2C2AF1">
                  <w:pPr>
                    <w:widowControl/>
                    <w:jc w:val="center"/>
                    <w:textAlignment w:val="center"/>
                    <w:rPr>
                      <w:color w:val="auto"/>
                      <w:sz w:val="21"/>
                      <w:szCs w:val="21"/>
                    </w:rPr>
                  </w:pPr>
                  <w:r>
                    <w:rPr>
                      <w:rFonts w:hint="eastAsia"/>
                      <w:color w:val="auto"/>
                      <w:sz w:val="21"/>
                      <w:szCs w:val="21"/>
                    </w:rPr>
                    <w:t>2.2899</w:t>
                  </w:r>
                </w:p>
              </w:tc>
              <w:tc>
                <w:tcPr>
                  <w:tcW w:w="7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E05A92">
                  <w:pPr>
                    <w:widowControl/>
                    <w:jc w:val="center"/>
                    <w:textAlignment w:val="center"/>
                    <w:rPr>
                      <w:rFonts w:hint="default" w:eastAsia="宋体"/>
                      <w:color w:val="auto"/>
                      <w:sz w:val="21"/>
                      <w:szCs w:val="21"/>
                      <w:lang w:val="en-US" w:eastAsia="zh-CN"/>
                    </w:rPr>
                  </w:pPr>
                  <w:r>
                    <w:rPr>
                      <w:rFonts w:hint="eastAsia"/>
                      <w:color w:val="auto"/>
                      <w:kern w:val="0"/>
                      <w:sz w:val="21"/>
                      <w:szCs w:val="21"/>
                      <w:lang w:val="en-US" w:eastAsia="zh-CN" w:bidi="ar"/>
                    </w:rPr>
                    <w:t>68.70</w:t>
                  </w:r>
                </w:p>
              </w:tc>
              <w:tc>
                <w:tcPr>
                  <w:tcW w:w="7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5E9347">
                  <w:pPr>
                    <w:widowControl/>
                    <w:jc w:val="center"/>
                    <w:textAlignment w:val="center"/>
                    <w:rPr>
                      <w:color w:val="auto"/>
                      <w:sz w:val="21"/>
                      <w:szCs w:val="21"/>
                    </w:rPr>
                  </w:pPr>
                  <w:r>
                    <w:rPr>
                      <w:color w:val="auto"/>
                      <w:kern w:val="0"/>
                      <w:sz w:val="21"/>
                      <w:szCs w:val="21"/>
                      <w:lang w:bidi="ar"/>
                    </w:rPr>
                    <w:t>撒播</w:t>
                  </w:r>
                </w:p>
              </w:tc>
            </w:tr>
            <w:bookmarkEnd w:id="27"/>
          </w:tbl>
          <w:p w14:paraId="4E9B8034">
            <w:pPr>
              <w:widowControl/>
              <w:spacing w:line="480" w:lineRule="exact"/>
              <w:ind w:firstLine="480" w:firstLineChars="200"/>
              <w:rPr>
                <w:b/>
                <w:bCs/>
                <w:color w:val="auto"/>
                <w:sz w:val="24"/>
              </w:rPr>
            </w:pPr>
            <w:r>
              <w:rPr>
                <w:rFonts w:hint="eastAsia"/>
                <w:color w:val="auto"/>
                <w:sz w:val="24"/>
                <w:lang w:val="en-US" w:eastAsia="zh-CN"/>
              </w:rPr>
              <w:t>⑥</w:t>
            </w:r>
            <w:r>
              <w:rPr>
                <w:rFonts w:hint="eastAsia"/>
                <w:color w:val="auto"/>
                <w:sz w:val="24"/>
              </w:rPr>
              <w:t>运矿道路复垦工程</w:t>
            </w:r>
          </w:p>
          <w:p w14:paraId="05671918">
            <w:pPr>
              <w:adjustRightInd w:val="0"/>
              <w:snapToGrid w:val="0"/>
              <w:spacing w:line="480" w:lineRule="exact"/>
              <w:ind w:firstLine="470" w:firstLineChars="196"/>
              <w:rPr>
                <w:color w:val="auto"/>
                <w:sz w:val="24"/>
                <w:lang w:bidi="ar"/>
              </w:rPr>
            </w:pPr>
            <w:r>
              <w:rPr>
                <w:rFonts w:hint="eastAsia"/>
                <w:color w:val="auto"/>
                <w:sz w:val="24"/>
                <w:lang w:bidi="ar"/>
              </w:rPr>
              <w:t>矿区道路面积为1.45</w:t>
            </w:r>
            <w:r>
              <w:rPr>
                <w:color w:val="auto"/>
                <w:sz w:val="24"/>
                <w:lang w:bidi="ar"/>
              </w:rPr>
              <w:t>39</w:t>
            </w:r>
            <w:r>
              <w:rPr>
                <w:rFonts w:hint="eastAsia"/>
                <w:color w:val="auto"/>
                <w:sz w:val="24"/>
                <w:lang w:bidi="ar"/>
              </w:rPr>
              <w:t>hm</w:t>
            </w:r>
            <w:r>
              <w:rPr>
                <w:rFonts w:hint="eastAsia"/>
                <w:color w:val="auto"/>
                <w:sz w:val="24"/>
                <w:vertAlign w:val="superscript"/>
                <w:lang w:bidi="ar"/>
              </w:rPr>
              <w:t>2</w:t>
            </w:r>
            <w:r>
              <w:rPr>
                <w:rFonts w:hint="eastAsia"/>
                <w:color w:val="auto"/>
                <w:sz w:val="24"/>
                <w:lang w:bidi="ar"/>
              </w:rPr>
              <w:t>，道路长度为</w:t>
            </w:r>
            <w:r>
              <w:rPr>
                <w:rFonts w:hint="eastAsia"/>
                <w:color w:val="auto"/>
                <w:sz w:val="24"/>
                <w:lang w:val="en-US" w:eastAsia="zh-CN" w:bidi="ar"/>
              </w:rPr>
              <w:t>34</w:t>
            </w:r>
            <w:r>
              <w:rPr>
                <w:color w:val="auto"/>
                <w:sz w:val="24"/>
                <w:lang w:bidi="ar"/>
              </w:rPr>
              <w:t>10</w:t>
            </w:r>
            <w:r>
              <w:rPr>
                <w:rFonts w:hint="eastAsia"/>
                <w:color w:val="auto"/>
                <w:sz w:val="24"/>
                <w:lang w:bidi="ar"/>
              </w:rPr>
              <w:t>m，根据适宜性评价，矿区道路留续使用。</w:t>
            </w:r>
          </w:p>
          <w:bookmarkEnd w:id="25"/>
          <w:p w14:paraId="6DB1E254">
            <w:pPr>
              <w:keepNext w:val="0"/>
              <w:keepLines w:val="0"/>
              <w:pageBreakBefore w:val="0"/>
              <w:widowControl/>
              <w:kinsoku/>
              <w:wordWrap/>
              <w:overflowPunct/>
              <w:topLinePunct w:val="0"/>
              <w:autoSpaceDE/>
              <w:autoSpaceDN/>
              <w:bidi w:val="0"/>
              <w:spacing w:line="480" w:lineRule="exact"/>
              <w:ind w:firstLine="480" w:firstLineChars="200"/>
              <w:textAlignment w:val="auto"/>
              <w:rPr>
                <w:sz w:val="24"/>
              </w:rPr>
            </w:pPr>
            <w:r>
              <w:rPr>
                <w:rFonts w:hint="eastAsia"/>
                <w:sz w:val="24"/>
              </w:rPr>
              <w:t>（3）矿山环境保护年度计划</w:t>
            </w:r>
          </w:p>
          <w:p w14:paraId="44700F5C">
            <w:pPr>
              <w:pStyle w:val="72"/>
              <w:keepNext w:val="0"/>
              <w:keepLines w:val="0"/>
              <w:pageBreakBefore w:val="0"/>
              <w:kinsoku/>
              <w:wordWrap/>
              <w:overflowPunct/>
              <w:topLinePunct w:val="0"/>
              <w:autoSpaceDE/>
              <w:autoSpaceDN/>
              <w:bidi w:val="0"/>
              <w:adjustRightInd w:val="0"/>
              <w:snapToGrid w:val="0"/>
              <w:spacing w:line="480" w:lineRule="exact"/>
              <w:ind w:firstLine="480"/>
              <w:textAlignment w:val="auto"/>
              <w:rPr>
                <w:rFonts w:hAnsi="宋体" w:cs="宋体"/>
                <w:color w:val="auto"/>
                <w:szCs w:val="24"/>
              </w:rPr>
            </w:pPr>
            <w:r>
              <w:rPr>
                <w:rFonts w:hint="eastAsia" w:hAnsi="宋体" w:cs="宋体"/>
                <w:color w:val="auto"/>
                <w:szCs w:val="24"/>
              </w:rPr>
              <w:t>本矿要求“边开采边治理”，开采前五年每年度矿山环境保护年度计划如下。</w:t>
            </w:r>
          </w:p>
          <w:p w14:paraId="31F73D7B">
            <w:pPr>
              <w:pStyle w:val="72"/>
              <w:keepNext w:val="0"/>
              <w:keepLines w:val="0"/>
              <w:pageBreakBefore w:val="0"/>
              <w:kinsoku/>
              <w:wordWrap/>
              <w:overflowPunct/>
              <w:topLinePunct w:val="0"/>
              <w:autoSpaceDE/>
              <w:autoSpaceDN/>
              <w:bidi w:val="0"/>
              <w:adjustRightInd w:val="0"/>
              <w:snapToGrid w:val="0"/>
              <w:spacing w:line="480" w:lineRule="exact"/>
              <w:ind w:firstLine="480"/>
              <w:textAlignment w:val="auto"/>
              <w:rPr>
                <w:rFonts w:hAnsi="宋体" w:cs="宋体"/>
                <w:color w:val="auto"/>
                <w:szCs w:val="24"/>
                <w:highlight w:val="none"/>
              </w:rPr>
            </w:pPr>
            <w:bookmarkStart w:id="28" w:name="_Hlk214496855"/>
            <w:r>
              <w:rPr>
                <w:rFonts w:hint="eastAsia" w:hAnsi="宋体" w:cs="宋体"/>
                <w:color w:val="auto"/>
                <w:szCs w:val="24"/>
                <w:highlight w:val="none"/>
              </w:rPr>
              <w:t>第一年实施计划：</w:t>
            </w:r>
          </w:p>
          <w:p w14:paraId="1029F65E">
            <w:pPr>
              <w:keepNext w:val="0"/>
              <w:keepLines w:val="0"/>
              <w:pageBreakBefore w:val="0"/>
              <w:kinsoku/>
              <w:wordWrap/>
              <w:overflowPunct/>
              <w:topLinePunct w:val="0"/>
              <w:autoSpaceDE/>
              <w:autoSpaceDN/>
              <w:bidi w:val="0"/>
              <w:adjustRightInd w:val="0"/>
              <w:snapToGrid w:val="0"/>
              <w:spacing w:line="480" w:lineRule="exact"/>
              <w:ind w:firstLine="480" w:firstLineChars="200"/>
              <w:textAlignment w:val="auto"/>
              <w:rPr>
                <w:rFonts w:ascii="宋体" w:hAnsi="宋体" w:cs="宋体"/>
                <w:sz w:val="24"/>
                <w:lang w:bidi="ar"/>
              </w:rPr>
            </w:pPr>
            <w:r>
              <w:rPr>
                <w:rFonts w:hint="eastAsia" w:ascii="宋体" w:hAnsi="宋体" w:cs="宋体"/>
                <w:sz w:val="24"/>
                <w:lang w:bidi="ar"/>
              </w:rPr>
              <w:t>①开展地质灾害预警监测工程</w:t>
            </w:r>
            <w:r>
              <w:rPr>
                <w:rFonts w:hint="eastAsia" w:ascii="宋体" w:hAnsi="宋体" w:cs="宋体"/>
                <w:sz w:val="24"/>
                <w:lang w:eastAsia="zh-CN" w:bidi="ar"/>
              </w:rPr>
              <w:t>，在</w:t>
            </w:r>
            <w:r>
              <w:rPr>
                <w:rFonts w:hint="eastAsia" w:ascii="宋体" w:hAnsi="宋体" w:cs="宋体"/>
                <w:sz w:val="24"/>
                <w:lang w:bidi="ar"/>
              </w:rPr>
              <w:t>矿区开采所形成的边坡设置监测点，巡查边坡崩滑情况；</w:t>
            </w:r>
          </w:p>
          <w:p w14:paraId="3B9440AB">
            <w:pPr>
              <w:keepNext w:val="0"/>
              <w:keepLines w:val="0"/>
              <w:pageBreakBefore w:val="0"/>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cs="Times New Roman"/>
                <w:sz w:val="24"/>
                <w:lang w:bidi="ar"/>
              </w:rPr>
            </w:pPr>
            <w:r>
              <w:rPr>
                <w:rFonts w:hint="eastAsia" w:ascii="宋体" w:hAnsi="宋体" w:cs="宋体"/>
                <w:sz w:val="24"/>
                <w:lang w:bidi="ar"/>
              </w:rPr>
              <w:t>②对生物多样性、植树成活率、植被类型、群落高度、盖度、生物量、PH、有机质、全</w:t>
            </w:r>
            <w:r>
              <w:rPr>
                <w:rFonts w:hint="default" w:ascii="Times New Roman" w:hAnsi="Times New Roman" w:cs="Times New Roman"/>
                <w:sz w:val="24"/>
                <w:lang w:bidi="ar"/>
              </w:rPr>
              <w:t>N、有效P、K、土壤侵蚀强度等进行监测；</w:t>
            </w:r>
          </w:p>
          <w:p w14:paraId="246D3AC5">
            <w:pPr>
              <w:keepNext w:val="0"/>
              <w:keepLines w:val="0"/>
              <w:pageBreakBefore w:val="0"/>
              <w:kinsoku/>
              <w:wordWrap/>
              <w:overflowPunct/>
              <w:topLinePunct w:val="0"/>
              <w:autoSpaceDE/>
              <w:autoSpaceDN/>
              <w:bidi w:val="0"/>
              <w:adjustRightInd w:val="0"/>
              <w:snapToGrid w:val="0"/>
              <w:spacing w:line="480" w:lineRule="exact"/>
              <w:ind w:firstLine="480" w:firstLineChars="200"/>
              <w:textAlignment w:val="auto"/>
              <w:rPr>
                <w:rFonts w:hint="eastAsia" w:ascii="宋体" w:hAnsi="宋体" w:cs="宋体"/>
                <w:sz w:val="24"/>
                <w:lang w:bidi="ar"/>
              </w:rPr>
            </w:pPr>
            <w:r>
              <w:rPr>
                <w:rFonts w:hint="default" w:ascii="Times New Roman" w:hAnsi="Times New Roman" w:cs="Times New Roman"/>
                <w:sz w:val="24"/>
                <w:lang w:bidi="ar"/>
              </w:rPr>
              <w:t>③复垦已采区，主要工程措施包括覆土、种植紫穗槐及撒播紫花苜蓿和披碱草</w:t>
            </w:r>
            <w:r>
              <w:rPr>
                <w:rFonts w:hint="eastAsia" w:ascii="Times New Roman" w:hAnsi="Times New Roman" w:cs="Times New Roman"/>
                <w:sz w:val="24"/>
                <w:lang w:eastAsia="zh-CN" w:bidi="ar"/>
              </w:rPr>
              <w:t>。</w:t>
            </w:r>
            <w:r>
              <w:rPr>
                <w:rFonts w:hint="default" w:ascii="Times New Roman" w:hAnsi="Times New Roman" w:cs="Times New Roman"/>
                <w:sz w:val="24"/>
                <w:lang w:bidi="ar"/>
              </w:rPr>
              <w:t>覆土4.</w:t>
            </w:r>
            <w:r>
              <w:rPr>
                <w:rFonts w:hint="eastAsia" w:cs="Times New Roman"/>
                <w:sz w:val="24"/>
                <w:lang w:val="en-US" w:eastAsia="zh-CN" w:bidi="ar"/>
              </w:rPr>
              <w:t>6510</w:t>
            </w:r>
            <w:r>
              <w:rPr>
                <w:rFonts w:hint="default" w:ascii="Times New Roman" w:hAnsi="Times New Roman" w:cs="Times New Roman"/>
                <w:sz w:val="24"/>
                <w:lang w:bidi="ar"/>
              </w:rPr>
              <w:t>万m</w:t>
            </w:r>
            <w:r>
              <w:rPr>
                <w:rFonts w:hint="default" w:ascii="Times New Roman" w:hAnsi="Times New Roman" w:cs="Times New Roman"/>
                <w:sz w:val="24"/>
                <w:vertAlign w:val="superscript"/>
                <w:lang w:bidi="ar"/>
              </w:rPr>
              <w:t>3</w:t>
            </w:r>
            <w:r>
              <w:rPr>
                <w:rFonts w:hint="default" w:ascii="Times New Roman" w:hAnsi="Times New Roman" w:cs="Times New Roman"/>
                <w:sz w:val="24"/>
                <w:lang w:bidi="ar"/>
              </w:rPr>
              <w:t>，种植紫穗槐9</w:t>
            </w:r>
            <w:r>
              <w:rPr>
                <w:rFonts w:hint="eastAsia" w:cs="Times New Roman"/>
                <w:sz w:val="24"/>
                <w:lang w:val="en-US" w:eastAsia="zh-CN" w:bidi="ar"/>
              </w:rPr>
              <w:t>3020</w:t>
            </w:r>
            <w:r>
              <w:rPr>
                <w:rFonts w:hint="eastAsia" w:ascii="宋体" w:hAnsi="宋体" w:cs="宋体"/>
                <w:sz w:val="24"/>
                <w:lang w:bidi="ar"/>
              </w:rPr>
              <w:t>株及混播紫花苜蓿和披碱草。</w:t>
            </w:r>
          </w:p>
          <w:p w14:paraId="3DE36F51">
            <w:pPr>
              <w:pStyle w:val="2"/>
              <w:keepNext w:val="0"/>
              <w:keepLines w:val="0"/>
              <w:pageBreakBefore w:val="0"/>
              <w:widowControl w:val="0"/>
              <w:kinsoku/>
              <w:wordWrap/>
              <w:overflowPunct/>
              <w:topLinePunct w:val="0"/>
              <w:autoSpaceDE/>
              <w:autoSpaceDN/>
              <w:bidi w:val="0"/>
              <w:adjustRightInd/>
              <w:snapToGrid/>
              <w:spacing w:after="0" w:line="480" w:lineRule="exact"/>
              <w:ind w:left="0" w:leftChars="0" w:firstLine="480" w:firstLineChars="200"/>
              <w:textAlignment w:val="auto"/>
              <w:rPr>
                <w:rFonts w:hint="eastAsia" w:ascii="宋体" w:hAnsi="宋体" w:cs="宋体"/>
                <w:sz w:val="24"/>
                <w:lang w:bidi="ar"/>
              </w:rPr>
            </w:pPr>
            <w:r>
              <w:rPr>
                <w:rFonts w:hint="eastAsia" w:ascii="宋体" w:hAnsi="宋体" w:eastAsia="宋体" w:cs="宋体"/>
                <w:kern w:val="2"/>
                <w:sz w:val="24"/>
                <w:szCs w:val="24"/>
                <w:lang w:val="en-US" w:eastAsia="zh-CN" w:bidi="ar"/>
              </w:rPr>
              <w:t>④</w:t>
            </w:r>
            <w:r>
              <w:rPr>
                <w:rFonts w:hint="default" w:ascii="Times New Roman" w:hAnsi="Times New Roman" w:cs="Times New Roman"/>
                <w:sz w:val="24"/>
                <w:lang w:bidi="ar"/>
              </w:rPr>
              <w:t>复垦</w:t>
            </w:r>
            <w:r>
              <w:rPr>
                <w:rFonts w:hint="eastAsia" w:ascii="Times New Roman" w:hAnsi="Times New Roman" w:cs="Times New Roman"/>
                <w:sz w:val="24"/>
                <w:lang w:val="en-US" w:eastAsia="zh-CN" w:bidi="ar"/>
              </w:rPr>
              <w:t>排土场已形成平台及边坡</w:t>
            </w:r>
            <w:r>
              <w:rPr>
                <w:rFonts w:hint="default" w:ascii="Times New Roman" w:hAnsi="Times New Roman" w:cs="Times New Roman"/>
                <w:sz w:val="24"/>
                <w:lang w:bidi="ar"/>
              </w:rPr>
              <w:t>，主要工程措施包括覆土、种植</w:t>
            </w:r>
            <w:r>
              <w:rPr>
                <w:rFonts w:hint="eastAsia" w:ascii="Times New Roman" w:hAnsi="Times New Roman" w:cs="Times New Roman"/>
                <w:sz w:val="24"/>
                <w:lang w:val="en-US" w:eastAsia="zh-CN" w:bidi="ar"/>
              </w:rPr>
              <w:t>油松、</w:t>
            </w:r>
            <w:r>
              <w:rPr>
                <w:rFonts w:hint="default" w:ascii="Times New Roman" w:hAnsi="Times New Roman" w:cs="Times New Roman"/>
                <w:sz w:val="24"/>
                <w:lang w:bidi="ar"/>
              </w:rPr>
              <w:t>紫穗槐及撒播紫花苜蓿和披碱草，覆土0.7768万m</w:t>
            </w:r>
            <w:r>
              <w:rPr>
                <w:rFonts w:hint="default" w:ascii="Times New Roman" w:hAnsi="Times New Roman" w:cs="Times New Roman"/>
                <w:sz w:val="24"/>
                <w:vertAlign w:val="superscript"/>
                <w:lang w:bidi="ar"/>
              </w:rPr>
              <w:t>3</w:t>
            </w:r>
            <w:r>
              <w:rPr>
                <w:rFonts w:hint="default" w:ascii="Times New Roman" w:hAnsi="Times New Roman" w:cs="Times New Roman"/>
                <w:sz w:val="24"/>
                <w:lang w:bidi="ar"/>
              </w:rPr>
              <w:t>，种植</w:t>
            </w:r>
            <w:r>
              <w:rPr>
                <w:rFonts w:hint="eastAsia" w:ascii="Times New Roman" w:hAnsi="Times New Roman" w:cs="Times New Roman"/>
                <w:sz w:val="24"/>
                <w:lang w:val="en-US" w:eastAsia="zh-CN" w:bidi="ar"/>
              </w:rPr>
              <w:t>油松434</w:t>
            </w:r>
            <w:r>
              <w:rPr>
                <w:rFonts w:hint="eastAsia" w:ascii="宋体" w:hAnsi="宋体" w:cs="宋体"/>
                <w:sz w:val="24"/>
                <w:lang w:bidi="ar"/>
              </w:rPr>
              <w:t>株</w:t>
            </w:r>
            <w:r>
              <w:rPr>
                <w:rFonts w:hint="eastAsia" w:ascii="宋体" w:hAnsi="宋体" w:cs="宋体"/>
                <w:sz w:val="24"/>
                <w:lang w:eastAsia="zh-CN" w:bidi="ar"/>
              </w:rPr>
              <w:t>、</w:t>
            </w:r>
            <w:r>
              <w:rPr>
                <w:rFonts w:hint="default" w:ascii="Times New Roman" w:hAnsi="Times New Roman" w:cs="Times New Roman"/>
                <w:sz w:val="24"/>
                <w:lang w:bidi="ar"/>
              </w:rPr>
              <w:t>紫穗槐11376</w:t>
            </w:r>
            <w:r>
              <w:rPr>
                <w:rFonts w:hint="eastAsia" w:ascii="Times New Roman" w:hAnsi="Times New Roman" w:cs="Times New Roman"/>
                <w:sz w:val="24"/>
                <w:lang w:val="en-US" w:eastAsia="zh-CN" w:bidi="ar"/>
              </w:rPr>
              <w:t>株</w:t>
            </w:r>
            <w:r>
              <w:rPr>
                <w:rFonts w:hint="eastAsia" w:ascii="宋体" w:hAnsi="宋体" w:cs="宋体"/>
                <w:sz w:val="24"/>
                <w:lang w:bidi="ar"/>
              </w:rPr>
              <w:t>及混播紫花苜蓿和披碱草。</w:t>
            </w:r>
          </w:p>
          <w:p w14:paraId="6650037F">
            <w:pPr>
              <w:pStyle w:val="2"/>
              <w:keepNext w:val="0"/>
              <w:keepLines w:val="0"/>
              <w:pageBreakBefore w:val="0"/>
              <w:widowControl w:val="0"/>
              <w:kinsoku/>
              <w:wordWrap/>
              <w:overflowPunct/>
              <w:topLinePunct w:val="0"/>
              <w:autoSpaceDE/>
              <w:autoSpaceDN/>
              <w:bidi w:val="0"/>
              <w:adjustRightInd/>
              <w:snapToGrid/>
              <w:spacing w:after="0" w:line="480" w:lineRule="exact"/>
              <w:ind w:left="0" w:leftChars="0" w:firstLine="480" w:firstLineChars="200"/>
              <w:textAlignment w:val="auto"/>
              <w:rPr>
                <w:rFonts w:hint="eastAsia" w:ascii="宋体" w:hAnsi="宋体" w:eastAsia="宋体" w:cs="宋体"/>
                <w:kern w:val="2"/>
                <w:sz w:val="24"/>
                <w:szCs w:val="24"/>
                <w:lang w:val="en-US" w:eastAsia="zh-CN" w:bidi="ar"/>
              </w:rPr>
            </w:pPr>
            <w:r>
              <w:rPr>
                <w:rFonts w:hint="eastAsia" w:ascii="宋体" w:hAnsi="宋体" w:cs="宋体"/>
                <w:sz w:val="24"/>
                <w:lang w:val="en-US" w:eastAsia="zh-CN" w:bidi="ar"/>
              </w:rPr>
              <w:t>⑤</w:t>
            </w:r>
            <w:r>
              <w:rPr>
                <w:rFonts w:hint="eastAsia"/>
                <w:color w:val="000000"/>
                <w:kern w:val="0"/>
                <w:sz w:val="24"/>
                <w:lang w:bidi="ar"/>
              </w:rPr>
              <w:t>在运矿道路两侧种植行道树进行绿化，栽种新疆杨（五年生裸根）为主，间距3米，形成林带。</w:t>
            </w:r>
            <w:r>
              <w:rPr>
                <w:rFonts w:hint="eastAsia"/>
                <w:color w:val="000000"/>
                <w:kern w:val="0"/>
                <w:sz w:val="24"/>
                <w:lang w:val="en-US" w:eastAsia="zh-CN" w:bidi="ar"/>
              </w:rPr>
              <w:t>运矿</w:t>
            </w:r>
            <w:r>
              <w:rPr>
                <w:rFonts w:hint="eastAsia"/>
                <w:color w:val="000000"/>
                <w:kern w:val="0"/>
                <w:sz w:val="24"/>
                <w:lang w:bidi="ar"/>
              </w:rPr>
              <w:t>道路</w:t>
            </w:r>
            <w:r>
              <w:rPr>
                <w:rFonts w:hint="eastAsia"/>
                <w:color w:val="000000"/>
                <w:kern w:val="0"/>
                <w:sz w:val="24"/>
                <w:lang w:val="en-US" w:eastAsia="zh-CN" w:bidi="ar"/>
              </w:rPr>
              <w:t>总</w:t>
            </w:r>
            <w:r>
              <w:rPr>
                <w:rFonts w:hint="eastAsia"/>
                <w:color w:val="000000"/>
                <w:kern w:val="0"/>
                <w:sz w:val="24"/>
                <w:lang w:bidi="ar"/>
              </w:rPr>
              <w:t>长约</w:t>
            </w:r>
            <w:r>
              <w:rPr>
                <w:color w:val="000000"/>
                <w:kern w:val="0"/>
                <w:sz w:val="24"/>
                <w:lang w:bidi="ar"/>
              </w:rPr>
              <w:t>3410</w:t>
            </w:r>
            <w:r>
              <w:rPr>
                <w:rFonts w:hint="eastAsia"/>
                <w:color w:val="000000"/>
                <w:kern w:val="0"/>
                <w:sz w:val="24"/>
                <w:lang w:bidi="ar"/>
              </w:rPr>
              <w:t>m，</w:t>
            </w:r>
            <w:r>
              <w:rPr>
                <w:rFonts w:hint="eastAsia"/>
                <w:color w:val="000000"/>
                <w:kern w:val="0"/>
                <w:sz w:val="24"/>
                <w:lang w:val="en-US" w:eastAsia="zh-CN" w:bidi="ar"/>
              </w:rPr>
              <w:t>占地面积1.4539hm</w:t>
            </w:r>
            <w:r>
              <w:rPr>
                <w:rFonts w:hint="eastAsia"/>
                <w:color w:val="000000"/>
                <w:kern w:val="0"/>
                <w:sz w:val="24"/>
                <w:vertAlign w:val="superscript"/>
                <w:lang w:val="en-US" w:eastAsia="zh-CN" w:bidi="ar"/>
              </w:rPr>
              <w:t>2</w:t>
            </w:r>
            <w:r>
              <w:rPr>
                <w:rFonts w:hint="eastAsia"/>
                <w:color w:val="000000"/>
                <w:kern w:val="0"/>
                <w:sz w:val="24"/>
                <w:lang w:val="en-US" w:eastAsia="zh-CN" w:bidi="ar"/>
              </w:rPr>
              <w:t>，</w:t>
            </w:r>
            <w:r>
              <w:rPr>
                <w:rFonts w:hint="eastAsia"/>
                <w:color w:val="000000"/>
                <w:kern w:val="0"/>
                <w:sz w:val="24"/>
                <w:lang w:bidi="ar"/>
              </w:rPr>
              <w:t>共种植新疆杨</w:t>
            </w:r>
            <w:r>
              <w:rPr>
                <w:color w:val="000000"/>
                <w:kern w:val="0"/>
                <w:sz w:val="24"/>
                <w:lang w:bidi="ar"/>
              </w:rPr>
              <w:t>2274</w:t>
            </w:r>
            <w:r>
              <w:rPr>
                <w:rFonts w:hint="eastAsia"/>
                <w:color w:val="000000"/>
                <w:kern w:val="0"/>
                <w:sz w:val="24"/>
                <w:lang w:bidi="ar"/>
              </w:rPr>
              <w:t>株。</w:t>
            </w:r>
          </w:p>
          <w:p w14:paraId="3316FEE2">
            <w:pPr>
              <w:pStyle w:val="72"/>
              <w:keepNext w:val="0"/>
              <w:keepLines w:val="0"/>
              <w:pageBreakBefore w:val="0"/>
              <w:kinsoku/>
              <w:wordWrap/>
              <w:overflowPunct/>
              <w:topLinePunct w:val="0"/>
              <w:autoSpaceDE/>
              <w:autoSpaceDN/>
              <w:bidi w:val="0"/>
              <w:adjustRightInd w:val="0"/>
              <w:snapToGrid w:val="0"/>
              <w:spacing w:line="480" w:lineRule="exact"/>
              <w:ind w:firstLine="480"/>
              <w:textAlignment w:val="auto"/>
              <w:rPr>
                <w:rFonts w:ascii="Times New Roman"/>
                <w:color w:val="auto"/>
                <w:szCs w:val="24"/>
              </w:rPr>
            </w:pPr>
            <w:r>
              <w:rPr>
                <w:rFonts w:ascii="Times New Roman"/>
                <w:color w:val="auto"/>
                <w:szCs w:val="24"/>
              </w:rPr>
              <w:t>第二年实施计划：</w:t>
            </w:r>
          </w:p>
          <w:p w14:paraId="71E46B85">
            <w:pPr>
              <w:pStyle w:val="72"/>
              <w:keepNext w:val="0"/>
              <w:keepLines w:val="0"/>
              <w:pageBreakBefore w:val="0"/>
              <w:kinsoku/>
              <w:wordWrap/>
              <w:overflowPunct/>
              <w:topLinePunct w:val="0"/>
              <w:autoSpaceDE/>
              <w:autoSpaceDN/>
              <w:bidi w:val="0"/>
              <w:adjustRightInd w:val="0"/>
              <w:snapToGrid w:val="0"/>
              <w:spacing w:line="480" w:lineRule="exact"/>
              <w:ind w:firstLine="480"/>
              <w:textAlignment w:val="auto"/>
              <w:rPr>
                <w:rFonts w:ascii="Times New Roman"/>
                <w:color w:val="auto"/>
                <w:szCs w:val="24"/>
              </w:rPr>
            </w:pPr>
            <w:r>
              <w:rPr>
                <w:rFonts w:hint="eastAsia" w:ascii="Times New Roman"/>
                <w:color w:val="auto"/>
                <w:szCs w:val="24"/>
              </w:rPr>
              <w:t>①对现状采场不稳定边坡清理危岩体，清理量约85m</w:t>
            </w:r>
            <w:r>
              <w:rPr>
                <w:rFonts w:hint="eastAsia" w:ascii="Times New Roman"/>
                <w:color w:val="auto"/>
                <w:szCs w:val="24"/>
                <w:vertAlign w:val="superscript"/>
              </w:rPr>
              <w:t>3</w:t>
            </w:r>
            <w:r>
              <w:rPr>
                <w:rFonts w:hint="eastAsia" w:ascii="Times New Roman"/>
                <w:color w:val="auto"/>
                <w:szCs w:val="24"/>
              </w:rPr>
              <w:t>；</w:t>
            </w:r>
          </w:p>
          <w:p w14:paraId="37335C16">
            <w:pPr>
              <w:pStyle w:val="72"/>
              <w:keepNext w:val="0"/>
              <w:keepLines w:val="0"/>
              <w:pageBreakBefore w:val="0"/>
              <w:kinsoku/>
              <w:wordWrap/>
              <w:overflowPunct/>
              <w:topLinePunct w:val="0"/>
              <w:autoSpaceDE/>
              <w:autoSpaceDN/>
              <w:bidi w:val="0"/>
              <w:adjustRightInd w:val="0"/>
              <w:snapToGrid w:val="0"/>
              <w:spacing w:line="480" w:lineRule="exact"/>
              <w:ind w:firstLine="480"/>
              <w:textAlignment w:val="auto"/>
              <w:rPr>
                <w:rFonts w:ascii="Times New Roman"/>
                <w:color w:val="auto"/>
                <w:szCs w:val="24"/>
              </w:rPr>
            </w:pPr>
            <w:r>
              <w:rPr>
                <w:rFonts w:hint="eastAsia" w:ascii="Times New Roman"/>
                <w:color w:val="auto"/>
                <w:szCs w:val="24"/>
              </w:rPr>
              <w:t>②对设计采场1075m台阶边坡清理危岩体，边坡总长度843m，可能产生的危岩体量65m</w:t>
            </w:r>
            <w:r>
              <w:rPr>
                <w:rFonts w:hint="eastAsia" w:ascii="Times New Roman"/>
                <w:color w:val="auto"/>
                <w:szCs w:val="24"/>
                <w:vertAlign w:val="superscript"/>
              </w:rPr>
              <w:t>3</w:t>
            </w:r>
            <w:r>
              <w:rPr>
                <w:rFonts w:hint="eastAsia" w:ascii="Times New Roman"/>
                <w:color w:val="auto"/>
                <w:szCs w:val="24"/>
              </w:rPr>
              <w:t>；采场周边设立警示牌，禁止行人进入，对该台阶设置监测点；</w:t>
            </w:r>
          </w:p>
          <w:p w14:paraId="10B364BA">
            <w:pPr>
              <w:pStyle w:val="72"/>
              <w:keepNext w:val="0"/>
              <w:keepLines w:val="0"/>
              <w:pageBreakBefore w:val="0"/>
              <w:kinsoku/>
              <w:wordWrap/>
              <w:overflowPunct/>
              <w:topLinePunct w:val="0"/>
              <w:autoSpaceDE/>
              <w:autoSpaceDN/>
              <w:bidi w:val="0"/>
              <w:adjustRightInd w:val="0"/>
              <w:snapToGrid w:val="0"/>
              <w:spacing w:line="480" w:lineRule="exact"/>
              <w:ind w:firstLine="480"/>
              <w:textAlignment w:val="auto"/>
              <w:rPr>
                <w:rFonts w:ascii="Times New Roman"/>
                <w:color w:val="auto"/>
                <w:szCs w:val="24"/>
              </w:rPr>
            </w:pPr>
            <w:r>
              <w:rPr>
                <w:rFonts w:hint="eastAsia" w:ascii="Times New Roman"/>
                <w:color w:val="auto"/>
                <w:szCs w:val="24"/>
              </w:rPr>
              <w:t>③开展地质灾害预警监测工程</w:t>
            </w:r>
            <w:r>
              <w:rPr>
                <w:rFonts w:hint="eastAsia" w:ascii="Times New Roman"/>
                <w:color w:val="auto"/>
                <w:szCs w:val="24"/>
                <w:lang w:eastAsia="zh-CN"/>
              </w:rPr>
              <w:t>，在</w:t>
            </w:r>
            <w:r>
              <w:rPr>
                <w:rFonts w:hint="eastAsia" w:ascii="Times New Roman"/>
                <w:color w:val="auto"/>
                <w:szCs w:val="24"/>
              </w:rPr>
              <w:t>矿区开采所形成的边坡设置监测点，巡查边坡崩滑情况；</w:t>
            </w:r>
          </w:p>
          <w:p w14:paraId="72A501F3">
            <w:pPr>
              <w:pStyle w:val="72"/>
              <w:keepNext w:val="0"/>
              <w:keepLines w:val="0"/>
              <w:pageBreakBefore w:val="0"/>
              <w:kinsoku/>
              <w:wordWrap/>
              <w:overflowPunct/>
              <w:topLinePunct w:val="0"/>
              <w:autoSpaceDE/>
              <w:autoSpaceDN/>
              <w:bidi w:val="0"/>
              <w:adjustRightInd w:val="0"/>
              <w:snapToGrid w:val="0"/>
              <w:spacing w:line="480" w:lineRule="exact"/>
              <w:ind w:firstLine="480"/>
              <w:textAlignment w:val="auto"/>
              <w:rPr>
                <w:rFonts w:ascii="Times New Roman"/>
                <w:color w:val="auto"/>
                <w:szCs w:val="24"/>
              </w:rPr>
            </w:pPr>
            <w:r>
              <w:rPr>
                <w:rFonts w:hint="eastAsia" w:ascii="Times New Roman"/>
                <w:color w:val="auto"/>
                <w:szCs w:val="24"/>
              </w:rPr>
              <w:t>④对现有工业广场、现有办公生活区一、现有办公生活区二、道路进行绿化；</w:t>
            </w:r>
          </w:p>
          <w:p w14:paraId="16C00A65">
            <w:pPr>
              <w:pStyle w:val="72"/>
              <w:keepNext w:val="0"/>
              <w:keepLines w:val="0"/>
              <w:pageBreakBefore w:val="0"/>
              <w:kinsoku/>
              <w:wordWrap/>
              <w:overflowPunct/>
              <w:topLinePunct w:val="0"/>
              <w:autoSpaceDE/>
              <w:autoSpaceDN/>
              <w:bidi w:val="0"/>
              <w:adjustRightInd w:val="0"/>
              <w:snapToGrid w:val="0"/>
              <w:spacing w:line="480" w:lineRule="exact"/>
              <w:ind w:firstLine="480"/>
              <w:textAlignment w:val="auto"/>
              <w:rPr>
                <w:rFonts w:ascii="Times New Roman"/>
                <w:color w:val="auto"/>
                <w:szCs w:val="24"/>
              </w:rPr>
            </w:pPr>
            <w:r>
              <w:rPr>
                <w:rFonts w:hint="eastAsia" w:ascii="Times New Roman"/>
                <w:color w:val="auto"/>
                <w:szCs w:val="24"/>
              </w:rPr>
              <w:t>⑤对生物多样性、植树成活率、植被类型、群落高度、盖度、生物量、PH、有机质、全N、有效P、K、土壤侵蚀强度等进行监测；</w:t>
            </w:r>
          </w:p>
          <w:p w14:paraId="262CA009">
            <w:pPr>
              <w:pStyle w:val="72"/>
              <w:keepNext w:val="0"/>
              <w:keepLines w:val="0"/>
              <w:pageBreakBefore w:val="0"/>
              <w:kinsoku/>
              <w:wordWrap/>
              <w:overflowPunct/>
              <w:topLinePunct w:val="0"/>
              <w:autoSpaceDE/>
              <w:autoSpaceDN/>
              <w:bidi w:val="0"/>
              <w:adjustRightInd w:val="0"/>
              <w:snapToGrid w:val="0"/>
              <w:spacing w:line="480" w:lineRule="exact"/>
              <w:ind w:firstLine="480"/>
              <w:textAlignment w:val="auto"/>
              <w:rPr>
                <w:rFonts w:ascii="Times New Roman"/>
                <w:color w:val="auto"/>
                <w:szCs w:val="24"/>
              </w:rPr>
            </w:pPr>
            <w:r>
              <w:rPr>
                <w:rFonts w:hint="eastAsia" w:ascii="Times New Roman"/>
                <w:color w:val="auto"/>
                <w:szCs w:val="24"/>
              </w:rPr>
              <w:t>⑥复垦露天采场1075m阶段，主要工程措施包括覆土、种植植被等，其中覆土1387m</w:t>
            </w:r>
            <w:r>
              <w:rPr>
                <w:rFonts w:hint="eastAsia" w:ascii="Times New Roman"/>
                <w:color w:val="auto"/>
                <w:szCs w:val="24"/>
                <w:vertAlign w:val="superscript"/>
              </w:rPr>
              <w:t>3</w:t>
            </w:r>
            <w:r>
              <w:rPr>
                <w:rFonts w:hint="eastAsia" w:ascii="Times New Roman"/>
                <w:color w:val="auto"/>
                <w:szCs w:val="24"/>
              </w:rPr>
              <w:t>，种植紫穗槐2774株</w:t>
            </w:r>
            <w:r>
              <w:rPr>
                <w:rFonts w:hint="eastAsia" w:ascii="Times New Roman"/>
                <w:color w:val="auto"/>
                <w:szCs w:val="24"/>
                <w:lang w:eastAsia="zh-CN"/>
              </w:rPr>
              <w:t>，</w:t>
            </w:r>
            <w:r>
              <w:rPr>
                <w:rFonts w:hint="eastAsia" w:ascii="Times New Roman"/>
                <w:color w:val="auto"/>
                <w:szCs w:val="24"/>
              </w:rPr>
              <w:t>混播紫花苜蓿和披碱草</w:t>
            </w:r>
            <w:r>
              <w:rPr>
                <w:rFonts w:hint="eastAsia" w:ascii="Times New Roman"/>
                <w:color w:val="auto"/>
                <w:szCs w:val="24"/>
                <w:lang w:eastAsia="zh-CN"/>
              </w:rPr>
              <w:t>，栽植爬山虎</w:t>
            </w:r>
            <w:r>
              <w:rPr>
                <w:rFonts w:hint="eastAsia" w:ascii="Times New Roman"/>
                <w:color w:val="auto"/>
                <w:szCs w:val="24"/>
              </w:rPr>
              <w:t>。</w:t>
            </w:r>
          </w:p>
          <w:p w14:paraId="2547D744">
            <w:pPr>
              <w:pStyle w:val="72"/>
              <w:keepNext w:val="0"/>
              <w:keepLines w:val="0"/>
              <w:pageBreakBefore w:val="0"/>
              <w:kinsoku/>
              <w:wordWrap/>
              <w:overflowPunct/>
              <w:topLinePunct w:val="0"/>
              <w:autoSpaceDE/>
              <w:autoSpaceDN/>
              <w:bidi w:val="0"/>
              <w:adjustRightInd w:val="0"/>
              <w:snapToGrid w:val="0"/>
              <w:spacing w:line="480" w:lineRule="exact"/>
              <w:ind w:firstLine="480"/>
              <w:textAlignment w:val="auto"/>
              <w:rPr>
                <w:rFonts w:ascii="Times New Roman"/>
                <w:color w:val="auto"/>
                <w:szCs w:val="24"/>
              </w:rPr>
            </w:pPr>
            <w:r>
              <w:rPr>
                <w:rFonts w:ascii="Times New Roman"/>
                <w:color w:val="auto"/>
                <w:szCs w:val="24"/>
              </w:rPr>
              <w:t>第三年实施计划：</w:t>
            </w:r>
          </w:p>
          <w:p w14:paraId="5AB22DA5">
            <w:pPr>
              <w:pStyle w:val="72"/>
              <w:keepNext w:val="0"/>
              <w:keepLines w:val="0"/>
              <w:pageBreakBefore w:val="0"/>
              <w:kinsoku/>
              <w:wordWrap/>
              <w:overflowPunct/>
              <w:topLinePunct w:val="0"/>
              <w:autoSpaceDE/>
              <w:autoSpaceDN/>
              <w:bidi w:val="0"/>
              <w:adjustRightInd w:val="0"/>
              <w:snapToGrid w:val="0"/>
              <w:spacing w:line="480" w:lineRule="exact"/>
              <w:ind w:firstLine="480"/>
              <w:textAlignment w:val="auto"/>
              <w:rPr>
                <w:rFonts w:hAnsi="宋体" w:cs="宋体"/>
                <w:color w:val="auto"/>
                <w:szCs w:val="24"/>
              </w:rPr>
            </w:pPr>
            <w:r>
              <w:rPr>
                <w:rFonts w:hint="eastAsia" w:hAnsi="宋体" w:cs="宋体"/>
                <w:color w:val="auto"/>
                <w:szCs w:val="24"/>
              </w:rPr>
              <w:t>①对</w:t>
            </w:r>
            <w:r>
              <w:rPr>
                <w:rFonts w:hint="default" w:ascii="Times New Roman" w:hAnsi="Times New Roman" w:cs="Times New Roman"/>
                <w:color w:val="auto"/>
                <w:szCs w:val="24"/>
              </w:rPr>
              <w:t>1060m</w:t>
            </w:r>
            <w:r>
              <w:rPr>
                <w:rFonts w:hint="eastAsia" w:hAnsi="宋体" w:cs="宋体"/>
                <w:color w:val="auto"/>
                <w:szCs w:val="24"/>
              </w:rPr>
              <w:t>台阶边坡清理危岩体，边坡总长度758m，可能产生的危岩体量</w:t>
            </w:r>
            <w:r>
              <w:rPr>
                <w:rFonts w:hint="default" w:ascii="Times New Roman" w:hAnsi="Times New Roman" w:cs="Times New Roman"/>
                <w:color w:val="auto"/>
                <w:szCs w:val="24"/>
              </w:rPr>
              <w:t>55m</w:t>
            </w:r>
            <w:r>
              <w:rPr>
                <w:rFonts w:hint="default" w:ascii="Times New Roman" w:hAnsi="Times New Roman" w:cs="Times New Roman"/>
                <w:color w:val="auto"/>
                <w:szCs w:val="24"/>
                <w:vertAlign w:val="superscript"/>
              </w:rPr>
              <w:t>3</w:t>
            </w:r>
            <w:r>
              <w:rPr>
                <w:rFonts w:hint="eastAsia" w:hAnsi="宋体" w:cs="宋体"/>
                <w:color w:val="auto"/>
                <w:szCs w:val="24"/>
              </w:rPr>
              <w:t>；采场周边设立警示牌，禁止行人进入，对该台阶设置监测点；</w:t>
            </w:r>
          </w:p>
          <w:p w14:paraId="4FB19DCC">
            <w:pPr>
              <w:pStyle w:val="72"/>
              <w:keepNext w:val="0"/>
              <w:keepLines w:val="0"/>
              <w:pageBreakBefore w:val="0"/>
              <w:kinsoku/>
              <w:wordWrap/>
              <w:overflowPunct/>
              <w:topLinePunct w:val="0"/>
              <w:autoSpaceDE/>
              <w:autoSpaceDN/>
              <w:bidi w:val="0"/>
              <w:adjustRightInd w:val="0"/>
              <w:snapToGrid w:val="0"/>
              <w:spacing w:line="480" w:lineRule="exact"/>
              <w:ind w:firstLine="480"/>
              <w:textAlignment w:val="auto"/>
              <w:rPr>
                <w:rFonts w:hAnsi="宋体" w:cs="宋体"/>
                <w:color w:val="auto"/>
                <w:szCs w:val="24"/>
              </w:rPr>
            </w:pPr>
            <w:r>
              <w:rPr>
                <w:rFonts w:hint="eastAsia" w:hAnsi="宋体" w:cs="宋体"/>
                <w:color w:val="auto"/>
                <w:szCs w:val="24"/>
              </w:rPr>
              <w:t>②开展地质灾害预警监测工程</w:t>
            </w:r>
            <w:r>
              <w:rPr>
                <w:rFonts w:hint="eastAsia" w:hAnsi="宋体" w:cs="宋体"/>
                <w:color w:val="auto"/>
                <w:szCs w:val="24"/>
                <w:lang w:eastAsia="zh-CN"/>
              </w:rPr>
              <w:t>，在</w:t>
            </w:r>
            <w:r>
              <w:rPr>
                <w:rFonts w:hint="eastAsia" w:hAnsi="宋体" w:cs="宋体"/>
                <w:color w:val="auto"/>
                <w:szCs w:val="24"/>
              </w:rPr>
              <w:t>矿区开采所形成的边坡设置监测点，巡查边坡崩滑情况；</w:t>
            </w:r>
          </w:p>
          <w:p w14:paraId="4DB453F5">
            <w:pPr>
              <w:pStyle w:val="72"/>
              <w:keepNext w:val="0"/>
              <w:keepLines w:val="0"/>
              <w:pageBreakBefore w:val="0"/>
              <w:kinsoku/>
              <w:wordWrap/>
              <w:overflowPunct/>
              <w:topLinePunct w:val="0"/>
              <w:autoSpaceDE/>
              <w:autoSpaceDN/>
              <w:bidi w:val="0"/>
              <w:adjustRightInd w:val="0"/>
              <w:snapToGrid w:val="0"/>
              <w:spacing w:line="480" w:lineRule="exact"/>
              <w:ind w:firstLine="480"/>
              <w:textAlignment w:val="auto"/>
              <w:rPr>
                <w:rFonts w:hAnsi="宋体" w:cs="宋体"/>
                <w:color w:val="auto"/>
                <w:szCs w:val="24"/>
              </w:rPr>
            </w:pPr>
            <w:r>
              <w:rPr>
                <w:rFonts w:hint="eastAsia" w:hAnsi="宋体" w:cs="宋体"/>
                <w:color w:val="auto"/>
                <w:szCs w:val="24"/>
              </w:rPr>
              <w:t>③对生物多样性、植树成活率、植被类型、群落高度、盖度、生物量、PH、有机质、全N、有效P、K、土壤侵蚀强度等进行监测；</w:t>
            </w:r>
          </w:p>
          <w:p w14:paraId="567FADF2">
            <w:pPr>
              <w:pStyle w:val="72"/>
              <w:keepNext w:val="0"/>
              <w:keepLines w:val="0"/>
              <w:pageBreakBefore w:val="0"/>
              <w:kinsoku/>
              <w:wordWrap/>
              <w:overflowPunct/>
              <w:topLinePunct w:val="0"/>
              <w:autoSpaceDE/>
              <w:autoSpaceDN/>
              <w:bidi w:val="0"/>
              <w:adjustRightInd w:val="0"/>
              <w:snapToGrid w:val="0"/>
              <w:spacing w:line="480" w:lineRule="exact"/>
              <w:ind w:firstLine="480"/>
              <w:textAlignment w:val="auto"/>
              <w:rPr>
                <w:rFonts w:hAnsi="宋体" w:cs="宋体"/>
                <w:color w:val="auto"/>
                <w:szCs w:val="24"/>
              </w:rPr>
            </w:pPr>
            <w:r>
              <w:rPr>
                <w:rFonts w:hint="eastAsia" w:hAnsi="宋体" w:cs="宋体"/>
                <w:color w:val="auto"/>
                <w:szCs w:val="24"/>
              </w:rPr>
              <w:t>④复垦露天采场</w:t>
            </w:r>
            <w:r>
              <w:rPr>
                <w:rFonts w:hint="default" w:ascii="Times New Roman" w:hAnsi="Times New Roman" w:cs="Times New Roman"/>
                <w:color w:val="auto"/>
                <w:szCs w:val="24"/>
              </w:rPr>
              <w:t>1060m</w:t>
            </w:r>
            <w:r>
              <w:rPr>
                <w:rFonts w:hint="eastAsia" w:hAnsi="宋体" w:cs="宋体"/>
                <w:color w:val="auto"/>
                <w:szCs w:val="24"/>
              </w:rPr>
              <w:t>阶段，主要工程措施包括覆土、植被恢复等，其中覆土</w:t>
            </w:r>
            <w:r>
              <w:rPr>
                <w:rFonts w:hint="default" w:ascii="Times New Roman" w:hAnsi="Times New Roman" w:cs="Times New Roman"/>
                <w:color w:val="auto"/>
                <w:szCs w:val="24"/>
              </w:rPr>
              <w:t>2091m</w:t>
            </w:r>
            <w:r>
              <w:rPr>
                <w:rFonts w:hint="default" w:ascii="Times New Roman" w:hAnsi="Times New Roman" w:cs="Times New Roman"/>
                <w:color w:val="auto"/>
                <w:szCs w:val="24"/>
                <w:vertAlign w:val="superscript"/>
              </w:rPr>
              <w:t>3</w:t>
            </w:r>
            <w:r>
              <w:rPr>
                <w:rFonts w:hint="default" w:ascii="Times New Roman" w:hAnsi="Times New Roman" w:cs="Times New Roman"/>
                <w:color w:val="auto"/>
                <w:szCs w:val="24"/>
              </w:rPr>
              <w:t>，种植紫穗槐4182株，</w:t>
            </w:r>
            <w:r>
              <w:rPr>
                <w:rFonts w:hint="eastAsia" w:hAnsi="宋体" w:cs="宋体"/>
                <w:color w:val="auto"/>
                <w:szCs w:val="24"/>
              </w:rPr>
              <w:t>混播紫花苜蓿和披碱草</w:t>
            </w:r>
            <w:r>
              <w:rPr>
                <w:rFonts w:hint="eastAsia" w:ascii="Times New Roman"/>
                <w:color w:val="auto"/>
                <w:szCs w:val="24"/>
                <w:lang w:eastAsia="zh-CN"/>
              </w:rPr>
              <w:t>，栽植爬山虎</w:t>
            </w:r>
            <w:r>
              <w:rPr>
                <w:rFonts w:hint="eastAsia" w:hAnsi="宋体" w:cs="宋体"/>
                <w:color w:val="auto"/>
                <w:szCs w:val="24"/>
              </w:rPr>
              <w:t>。</w:t>
            </w:r>
          </w:p>
          <w:p w14:paraId="1DA73BBF">
            <w:pPr>
              <w:pStyle w:val="72"/>
              <w:keepNext w:val="0"/>
              <w:keepLines w:val="0"/>
              <w:pageBreakBefore w:val="0"/>
              <w:kinsoku/>
              <w:wordWrap/>
              <w:overflowPunct/>
              <w:topLinePunct w:val="0"/>
              <w:autoSpaceDE/>
              <w:autoSpaceDN/>
              <w:bidi w:val="0"/>
              <w:adjustRightInd w:val="0"/>
              <w:snapToGrid w:val="0"/>
              <w:spacing w:line="480" w:lineRule="exact"/>
              <w:ind w:firstLine="480"/>
              <w:textAlignment w:val="auto"/>
              <w:rPr>
                <w:rFonts w:ascii="Times New Roman"/>
                <w:color w:val="auto"/>
                <w:szCs w:val="24"/>
              </w:rPr>
            </w:pPr>
            <w:r>
              <w:rPr>
                <w:rFonts w:ascii="Times New Roman"/>
                <w:color w:val="auto"/>
                <w:szCs w:val="24"/>
              </w:rPr>
              <w:t>第四年实施计划：</w:t>
            </w:r>
          </w:p>
          <w:p w14:paraId="3FDF4115">
            <w:pPr>
              <w:pStyle w:val="72"/>
              <w:keepNext w:val="0"/>
              <w:keepLines w:val="0"/>
              <w:pageBreakBefore w:val="0"/>
              <w:kinsoku/>
              <w:wordWrap/>
              <w:overflowPunct/>
              <w:topLinePunct w:val="0"/>
              <w:autoSpaceDE/>
              <w:autoSpaceDN/>
              <w:bidi w:val="0"/>
              <w:adjustRightInd w:val="0"/>
              <w:snapToGrid w:val="0"/>
              <w:spacing w:line="480" w:lineRule="exact"/>
              <w:ind w:firstLine="480"/>
              <w:textAlignment w:val="auto"/>
              <w:rPr>
                <w:rFonts w:hAnsi="宋体" w:cs="宋体"/>
                <w:color w:val="auto"/>
                <w:szCs w:val="24"/>
              </w:rPr>
            </w:pPr>
            <w:r>
              <w:rPr>
                <w:rFonts w:hint="eastAsia" w:hAnsi="宋体" w:cs="宋体"/>
                <w:color w:val="auto"/>
                <w:szCs w:val="24"/>
              </w:rPr>
              <w:t>①</w:t>
            </w:r>
            <w:r>
              <w:rPr>
                <w:rFonts w:hint="default" w:ascii="Times New Roman" w:hAnsi="Times New Roman" w:cs="Times New Roman"/>
                <w:color w:val="auto"/>
                <w:szCs w:val="24"/>
              </w:rPr>
              <w:t>对1045m台阶边坡清理危岩体，边坡总长度819m，可能产生的危岩体量70m</w:t>
            </w:r>
            <w:r>
              <w:rPr>
                <w:rFonts w:hint="default" w:ascii="Times New Roman" w:hAnsi="Times New Roman" w:cs="Times New Roman"/>
                <w:color w:val="auto"/>
                <w:szCs w:val="24"/>
                <w:vertAlign w:val="superscript"/>
              </w:rPr>
              <w:t>3</w:t>
            </w:r>
            <w:r>
              <w:rPr>
                <w:rFonts w:hint="eastAsia" w:hAnsi="宋体" w:cs="宋体"/>
                <w:color w:val="auto"/>
                <w:szCs w:val="24"/>
              </w:rPr>
              <w:t>；采场周边设立警示牌，禁止行人进入，对该台阶设置监测点；</w:t>
            </w:r>
          </w:p>
          <w:p w14:paraId="492D62B2">
            <w:pPr>
              <w:pStyle w:val="72"/>
              <w:keepNext w:val="0"/>
              <w:keepLines w:val="0"/>
              <w:pageBreakBefore w:val="0"/>
              <w:kinsoku/>
              <w:wordWrap/>
              <w:overflowPunct/>
              <w:topLinePunct w:val="0"/>
              <w:autoSpaceDE/>
              <w:autoSpaceDN/>
              <w:bidi w:val="0"/>
              <w:adjustRightInd w:val="0"/>
              <w:snapToGrid w:val="0"/>
              <w:spacing w:line="480" w:lineRule="exact"/>
              <w:ind w:firstLine="480"/>
              <w:textAlignment w:val="auto"/>
              <w:rPr>
                <w:rFonts w:hAnsi="宋体" w:cs="宋体"/>
                <w:color w:val="auto"/>
                <w:szCs w:val="24"/>
              </w:rPr>
            </w:pPr>
            <w:r>
              <w:rPr>
                <w:rFonts w:hint="eastAsia" w:hAnsi="宋体" w:cs="宋体"/>
                <w:color w:val="auto"/>
                <w:szCs w:val="24"/>
              </w:rPr>
              <w:t>②开展地质灾害预警监测工程</w:t>
            </w:r>
            <w:r>
              <w:rPr>
                <w:rFonts w:hint="eastAsia" w:hAnsi="宋体" w:cs="宋体"/>
                <w:color w:val="auto"/>
                <w:szCs w:val="24"/>
                <w:lang w:eastAsia="zh-CN"/>
              </w:rPr>
              <w:t>，在</w:t>
            </w:r>
            <w:r>
              <w:rPr>
                <w:rFonts w:hint="eastAsia" w:hAnsi="宋体" w:cs="宋体"/>
                <w:color w:val="auto"/>
                <w:szCs w:val="24"/>
              </w:rPr>
              <w:t>矿区开采所形成的边坡设置监测点，巡查边坡崩滑情况；</w:t>
            </w:r>
          </w:p>
          <w:p w14:paraId="411A7671">
            <w:pPr>
              <w:pStyle w:val="72"/>
              <w:keepNext w:val="0"/>
              <w:keepLines w:val="0"/>
              <w:pageBreakBefore w:val="0"/>
              <w:kinsoku/>
              <w:wordWrap/>
              <w:overflowPunct/>
              <w:topLinePunct w:val="0"/>
              <w:autoSpaceDE/>
              <w:autoSpaceDN/>
              <w:bidi w:val="0"/>
              <w:adjustRightInd w:val="0"/>
              <w:snapToGrid w:val="0"/>
              <w:spacing w:line="480" w:lineRule="exact"/>
              <w:ind w:firstLine="480"/>
              <w:textAlignment w:val="auto"/>
              <w:rPr>
                <w:rFonts w:hAnsi="宋体" w:cs="宋体"/>
                <w:color w:val="auto"/>
                <w:szCs w:val="24"/>
              </w:rPr>
            </w:pPr>
            <w:r>
              <w:rPr>
                <w:rFonts w:hint="eastAsia" w:hAnsi="宋体" w:cs="宋体"/>
                <w:color w:val="auto"/>
                <w:szCs w:val="24"/>
              </w:rPr>
              <w:t>③对生物多样性、植树成活率、植被类型、群落高度、盖度、生物量、PH、有机质、全N、有效P、K、土壤侵蚀强度等进行监测；</w:t>
            </w:r>
          </w:p>
          <w:p w14:paraId="0F67FA2C">
            <w:pPr>
              <w:pStyle w:val="72"/>
              <w:keepNext w:val="0"/>
              <w:keepLines w:val="0"/>
              <w:pageBreakBefore w:val="0"/>
              <w:kinsoku/>
              <w:wordWrap/>
              <w:overflowPunct/>
              <w:topLinePunct w:val="0"/>
              <w:autoSpaceDE/>
              <w:autoSpaceDN/>
              <w:bidi w:val="0"/>
              <w:adjustRightInd w:val="0"/>
              <w:snapToGrid w:val="0"/>
              <w:spacing w:line="480" w:lineRule="exact"/>
              <w:ind w:firstLine="480"/>
              <w:textAlignment w:val="auto"/>
              <w:rPr>
                <w:rFonts w:hAnsi="宋体" w:cs="宋体"/>
                <w:color w:val="auto"/>
                <w:szCs w:val="24"/>
              </w:rPr>
            </w:pPr>
            <w:r>
              <w:rPr>
                <w:rFonts w:hint="eastAsia" w:hAnsi="宋体" w:cs="宋体"/>
                <w:color w:val="auto"/>
                <w:szCs w:val="24"/>
              </w:rPr>
              <w:t>④复垦露天采场</w:t>
            </w:r>
            <w:r>
              <w:rPr>
                <w:rFonts w:hint="default" w:ascii="Times New Roman" w:hAnsi="Times New Roman" w:cs="Times New Roman"/>
                <w:color w:val="auto"/>
                <w:szCs w:val="24"/>
              </w:rPr>
              <w:t>1045m</w:t>
            </w:r>
            <w:r>
              <w:rPr>
                <w:rFonts w:hint="eastAsia" w:hAnsi="宋体" w:cs="宋体"/>
                <w:color w:val="auto"/>
                <w:szCs w:val="24"/>
              </w:rPr>
              <w:t>阶段部分，主要工程措施包括覆土、植被恢复等，其中覆</w:t>
            </w:r>
            <w:r>
              <w:rPr>
                <w:rFonts w:hint="default" w:ascii="Times New Roman" w:hAnsi="Times New Roman" w:cs="Times New Roman"/>
                <w:color w:val="auto"/>
                <w:szCs w:val="24"/>
              </w:rPr>
              <w:t>土5608万m</w:t>
            </w:r>
            <w:r>
              <w:rPr>
                <w:rFonts w:hint="default" w:ascii="Times New Roman" w:hAnsi="Times New Roman" w:cs="Times New Roman"/>
                <w:color w:val="auto"/>
                <w:szCs w:val="24"/>
                <w:vertAlign w:val="superscript"/>
              </w:rPr>
              <w:t>3</w:t>
            </w:r>
            <w:r>
              <w:rPr>
                <w:rFonts w:hint="default" w:ascii="Times New Roman" w:hAnsi="Times New Roman" w:cs="Times New Roman"/>
                <w:color w:val="auto"/>
                <w:szCs w:val="24"/>
              </w:rPr>
              <w:t>，种植紫穗槐11215株，</w:t>
            </w:r>
            <w:r>
              <w:rPr>
                <w:rFonts w:hint="eastAsia" w:hAnsi="宋体" w:cs="宋体"/>
                <w:color w:val="auto"/>
                <w:szCs w:val="24"/>
              </w:rPr>
              <w:t>混播紫花苜蓿和披碱草</w:t>
            </w:r>
            <w:r>
              <w:rPr>
                <w:rFonts w:hint="eastAsia" w:ascii="Times New Roman"/>
                <w:color w:val="auto"/>
                <w:szCs w:val="24"/>
                <w:lang w:eastAsia="zh-CN"/>
              </w:rPr>
              <w:t>，栽植爬山虎</w:t>
            </w:r>
            <w:r>
              <w:rPr>
                <w:rFonts w:hint="eastAsia" w:hAnsi="宋体" w:cs="宋体"/>
                <w:color w:val="auto"/>
                <w:szCs w:val="24"/>
              </w:rPr>
              <w:t>。</w:t>
            </w:r>
          </w:p>
          <w:p w14:paraId="43F281D8">
            <w:pPr>
              <w:pStyle w:val="72"/>
              <w:keepNext w:val="0"/>
              <w:keepLines w:val="0"/>
              <w:pageBreakBefore w:val="0"/>
              <w:kinsoku/>
              <w:wordWrap/>
              <w:overflowPunct/>
              <w:topLinePunct w:val="0"/>
              <w:autoSpaceDE/>
              <w:autoSpaceDN/>
              <w:bidi w:val="0"/>
              <w:adjustRightInd w:val="0"/>
              <w:snapToGrid w:val="0"/>
              <w:spacing w:line="480" w:lineRule="exact"/>
              <w:ind w:firstLine="480"/>
              <w:textAlignment w:val="auto"/>
              <w:rPr>
                <w:rFonts w:ascii="Times New Roman"/>
                <w:color w:val="auto"/>
                <w:szCs w:val="24"/>
              </w:rPr>
            </w:pPr>
            <w:r>
              <w:rPr>
                <w:rFonts w:ascii="Times New Roman"/>
                <w:color w:val="auto"/>
                <w:szCs w:val="24"/>
              </w:rPr>
              <w:t>第五年实施计划：</w:t>
            </w:r>
          </w:p>
          <w:p w14:paraId="26F3D4D2">
            <w:pPr>
              <w:pStyle w:val="72"/>
              <w:keepNext w:val="0"/>
              <w:keepLines w:val="0"/>
              <w:pageBreakBefore w:val="0"/>
              <w:kinsoku/>
              <w:wordWrap/>
              <w:overflowPunct/>
              <w:topLinePunct w:val="0"/>
              <w:autoSpaceDE/>
              <w:autoSpaceDN/>
              <w:bidi w:val="0"/>
              <w:adjustRightInd w:val="0"/>
              <w:snapToGrid w:val="0"/>
              <w:spacing w:line="480" w:lineRule="exact"/>
              <w:ind w:firstLine="480"/>
              <w:textAlignment w:val="auto"/>
              <w:rPr>
                <w:rFonts w:ascii="Times New Roman"/>
                <w:color w:val="auto"/>
                <w:szCs w:val="24"/>
              </w:rPr>
            </w:pPr>
            <w:r>
              <w:rPr>
                <w:rFonts w:hint="eastAsia" w:ascii="Times New Roman"/>
                <w:color w:val="auto"/>
                <w:szCs w:val="24"/>
              </w:rPr>
              <w:t>①对1030m、1015m台阶边坡清理危岩体，边坡总长度1141m，可能产生的危岩体量110m</w:t>
            </w:r>
            <w:r>
              <w:rPr>
                <w:rFonts w:hint="eastAsia" w:ascii="Times New Roman"/>
                <w:color w:val="auto"/>
                <w:szCs w:val="24"/>
                <w:vertAlign w:val="superscript"/>
              </w:rPr>
              <w:t>3</w:t>
            </w:r>
            <w:r>
              <w:rPr>
                <w:rFonts w:hint="eastAsia" w:ascii="Times New Roman"/>
                <w:color w:val="auto"/>
                <w:szCs w:val="24"/>
              </w:rPr>
              <w:t>；采场周边设立警示牌，禁止行人进入，对该台阶设置监测点；</w:t>
            </w:r>
          </w:p>
          <w:p w14:paraId="5FE20DBB">
            <w:pPr>
              <w:pStyle w:val="72"/>
              <w:keepNext w:val="0"/>
              <w:keepLines w:val="0"/>
              <w:pageBreakBefore w:val="0"/>
              <w:kinsoku/>
              <w:wordWrap/>
              <w:overflowPunct/>
              <w:topLinePunct w:val="0"/>
              <w:autoSpaceDE/>
              <w:autoSpaceDN/>
              <w:bidi w:val="0"/>
              <w:adjustRightInd w:val="0"/>
              <w:snapToGrid w:val="0"/>
              <w:spacing w:line="480" w:lineRule="exact"/>
              <w:ind w:firstLine="480"/>
              <w:textAlignment w:val="auto"/>
              <w:rPr>
                <w:rFonts w:ascii="Times New Roman"/>
                <w:color w:val="auto"/>
                <w:szCs w:val="24"/>
              </w:rPr>
            </w:pPr>
            <w:r>
              <w:rPr>
                <w:rFonts w:hint="eastAsia" w:ascii="Times New Roman"/>
                <w:color w:val="auto"/>
                <w:szCs w:val="24"/>
              </w:rPr>
              <w:t>②开展地质灾害预警监测工程</w:t>
            </w:r>
            <w:r>
              <w:rPr>
                <w:rFonts w:hint="eastAsia" w:ascii="Times New Roman"/>
                <w:color w:val="auto"/>
                <w:szCs w:val="24"/>
                <w:lang w:eastAsia="zh-CN"/>
              </w:rPr>
              <w:t>，在</w:t>
            </w:r>
            <w:r>
              <w:rPr>
                <w:rFonts w:hint="eastAsia" w:ascii="Times New Roman"/>
                <w:color w:val="auto"/>
                <w:szCs w:val="24"/>
              </w:rPr>
              <w:t>矿区开采所形成的边坡设置监测点，巡查边坡崩滑情况；</w:t>
            </w:r>
          </w:p>
          <w:p w14:paraId="6AEEBE7D">
            <w:pPr>
              <w:pStyle w:val="72"/>
              <w:keepNext w:val="0"/>
              <w:keepLines w:val="0"/>
              <w:pageBreakBefore w:val="0"/>
              <w:kinsoku/>
              <w:wordWrap/>
              <w:overflowPunct/>
              <w:topLinePunct w:val="0"/>
              <w:autoSpaceDE/>
              <w:autoSpaceDN/>
              <w:bidi w:val="0"/>
              <w:adjustRightInd w:val="0"/>
              <w:snapToGrid w:val="0"/>
              <w:spacing w:line="480" w:lineRule="exact"/>
              <w:ind w:firstLine="480"/>
              <w:textAlignment w:val="auto"/>
              <w:rPr>
                <w:rFonts w:ascii="Times New Roman"/>
                <w:color w:val="auto"/>
                <w:szCs w:val="24"/>
              </w:rPr>
            </w:pPr>
            <w:r>
              <w:rPr>
                <w:rFonts w:hint="eastAsia" w:ascii="Times New Roman"/>
                <w:color w:val="auto"/>
                <w:szCs w:val="24"/>
              </w:rPr>
              <w:t>③对生物多样性、植树成活率、植被类型、群落高度、盖度、生物量、PH、有机质、全N、有效P、K、土壤侵蚀强度等进行监测；</w:t>
            </w:r>
          </w:p>
          <w:p w14:paraId="1C2D0141">
            <w:pPr>
              <w:pStyle w:val="72"/>
              <w:keepNext w:val="0"/>
              <w:keepLines w:val="0"/>
              <w:pageBreakBefore w:val="0"/>
              <w:kinsoku/>
              <w:wordWrap/>
              <w:overflowPunct/>
              <w:topLinePunct w:val="0"/>
              <w:autoSpaceDE/>
              <w:autoSpaceDN/>
              <w:bidi w:val="0"/>
              <w:adjustRightInd w:val="0"/>
              <w:snapToGrid w:val="0"/>
              <w:spacing w:line="480" w:lineRule="exact"/>
              <w:ind w:firstLine="480"/>
              <w:textAlignment w:val="auto"/>
              <w:rPr>
                <w:rFonts w:ascii="Times New Roman"/>
                <w:color w:val="auto"/>
                <w:szCs w:val="24"/>
              </w:rPr>
            </w:pPr>
            <w:r>
              <w:rPr>
                <w:rFonts w:hint="eastAsia" w:ascii="Times New Roman"/>
                <w:color w:val="auto"/>
                <w:szCs w:val="24"/>
              </w:rPr>
              <w:t>④复垦露天采场1030m阶段，主要工程措施包括覆土、植被恢复等，其中覆土2994m</w:t>
            </w:r>
            <w:r>
              <w:rPr>
                <w:rFonts w:hint="eastAsia" w:ascii="Times New Roman"/>
                <w:color w:val="auto"/>
                <w:szCs w:val="24"/>
                <w:vertAlign w:val="superscript"/>
              </w:rPr>
              <w:t>3</w:t>
            </w:r>
            <w:r>
              <w:rPr>
                <w:rFonts w:hint="eastAsia" w:ascii="Times New Roman"/>
                <w:color w:val="auto"/>
                <w:szCs w:val="24"/>
              </w:rPr>
              <w:t>，种植紫穗槐5988株，混播紫花苜蓿和披碱草</w:t>
            </w:r>
            <w:r>
              <w:rPr>
                <w:rFonts w:hint="eastAsia" w:ascii="Times New Roman"/>
                <w:color w:val="auto"/>
                <w:szCs w:val="24"/>
                <w:lang w:eastAsia="zh-CN"/>
              </w:rPr>
              <w:t>，栽植爬山虎</w:t>
            </w:r>
            <w:r>
              <w:rPr>
                <w:rFonts w:hint="eastAsia" w:ascii="Times New Roman"/>
                <w:color w:val="auto"/>
                <w:szCs w:val="24"/>
              </w:rPr>
              <w:t>。</w:t>
            </w:r>
          </w:p>
          <w:p w14:paraId="7E786899">
            <w:pPr>
              <w:keepNext w:val="0"/>
              <w:keepLines w:val="0"/>
              <w:pageBreakBefore w:val="0"/>
              <w:widowControl/>
              <w:kinsoku/>
              <w:wordWrap/>
              <w:overflowPunct/>
              <w:topLinePunct w:val="0"/>
              <w:autoSpaceDE/>
              <w:autoSpaceDN/>
              <w:bidi w:val="0"/>
              <w:spacing w:line="480" w:lineRule="exact"/>
              <w:ind w:firstLine="480" w:firstLineChars="200"/>
              <w:textAlignment w:val="auto"/>
              <w:rPr>
                <w:sz w:val="24"/>
                <w:highlight w:val="none"/>
              </w:rPr>
            </w:pPr>
            <w:r>
              <w:rPr>
                <w:rFonts w:hint="eastAsia"/>
                <w:sz w:val="24"/>
                <w:highlight w:val="none"/>
              </w:rPr>
              <w:t>（4）生态复垦计划安排</w:t>
            </w:r>
          </w:p>
          <w:p w14:paraId="110A678F">
            <w:pPr>
              <w:keepNext w:val="0"/>
              <w:keepLines w:val="0"/>
              <w:pageBreakBefore w:val="0"/>
              <w:widowControl/>
              <w:kinsoku/>
              <w:wordWrap/>
              <w:overflowPunct/>
              <w:topLinePunct w:val="0"/>
              <w:autoSpaceDE/>
              <w:autoSpaceDN/>
              <w:bidi w:val="0"/>
              <w:spacing w:line="480" w:lineRule="exact"/>
              <w:ind w:firstLine="480" w:firstLineChars="200"/>
              <w:textAlignment w:val="auto"/>
              <w:rPr>
                <w:rFonts w:hint="default" w:ascii="Times New Roman" w:hAnsi="Times New Roman" w:cs="Times New Roman"/>
                <w:kern w:val="0"/>
                <w:sz w:val="24"/>
                <w:lang w:bidi="ar"/>
              </w:rPr>
            </w:pPr>
            <w:r>
              <w:rPr>
                <w:rFonts w:hint="default" w:ascii="Times New Roman" w:hAnsi="Times New Roman" w:cs="Times New Roman"/>
                <w:kern w:val="0"/>
                <w:sz w:val="24"/>
                <w:lang w:bidi="ar"/>
              </w:rPr>
              <w:t>根据土地复垦方案服务年限，本次复垦计划划分为5个阶段：</w:t>
            </w:r>
          </w:p>
          <w:p w14:paraId="781BB750">
            <w:pPr>
              <w:keepNext w:val="0"/>
              <w:keepLines w:val="0"/>
              <w:pageBreakBefore w:val="0"/>
              <w:widowControl/>
              <w:kinsoku/>
              <w:wordWrap/>
              <w:overflowPunct/>
              <w:topLinePunct w:val="0"/>
              <w:autoSpaceDE/>
              <w:autoSpaceDN/>
              <w:bidi w:val="0"/>
              <w:spacing w:line="480" w:lineRule="exact"/>
              <w:ind w:firstLine="480" w:firstLineChars="200"/>
              <w:textAlignment w:val="auto"/>
              <w:rPr>
                <w:rFonts w:hint="default" w:ascii="Times New Roman" w:hAnsi="Times New Roman" w:cs="Times New Roman"/>
                <w:kern w:val="0"/>
                <w:sz w:val="24"/>
              </w:rPr>
            </w:pPr>
            <w:r>
              <w:rPr>
                <w:rFonts w:hint="default" w:ascii="Times New Roman" w:hAnsi="Times New Roman" w:cs="Times New Roman"/>
                <w:kern w:val="0"/>
                <w:sz w:val="24"/>
              </w:rPr>
              <w:t>第一阶段：复垦时间为2026年-2030年，复垦对象为已采区、</w:t>
            </w:r>
            <w:r>
              <w:rPr>
                <w:rFonts w:hint="eastAsia" w:ascii="Times New Roman" w:hAnsi="Times New Roman" w:cs="Times New Roman"/>
                <w:sz w:val="24"/>
                <w:lang w:val="en-US" w:eastAsia="zh-CN" w:bidi="ar"/>
              </w:rPr>
              <w:t>排土场已形成平台及边坡、</w:t>
            </w:r>
            <w:r>
              <w:rPr>
                <w:rFonts w:hint="default" w:ascii="Times New Roman" w:hAnsi="Times New Roman" w:cs="Times New Roman"/>
                <w:kern w:val="0"/>
                <w:sz w:val="24"/>
              </w:rPr>
              <w:t>露天采场1075-1</w:t>
            </w:r>
            <w:r>
              <w:rPr>
                <w:rFonts w:hint="eastAsia" w:cs="Times New Roman"/>
                <w:kern w:val="0"/>
                <w:sz w:val="24"/>
                <w:lang w:val="en-US" w:eastAsia="zh-CN"/>
              </w:rPr>
              <w:t>0</w:t>
            </w:r>
            <w:r>
              <w:rPr>
                <w:rFonts w:hint="default" w:ascii="Times New Roman" w:hAnsi="Times New Roman" w:cs="Times New Roman"/>
                <w:kern w:val="0"/>
                <w:sz w:val="24"/>
              </w:rPr>
              <w:t>30阶段，复垦面积为</w:t>
            </w:r>
            <w:r>
              <w:rPr>
                <w:rFonts w:hint="default" w:ascii="Times New Roman" w:hAnsi="Times New Roman" w:cs="Times New Roman"/>
                <w:kern w:val="0"/>
                <w:sz w:val="24"/>
                <w:highlight w:val="none"/>
              </w:rPr>
              <w:t>16.7769</w:t>
            </w:r>
            <w:r>
              <w:rPr>
                <w:rFonts w:hint="default" w:ascii="Times New Roman" w:hAnsi="Times New Roman" w:cs="Times New Roman"/>
                <w:kern w:val="0"/>
                <w:sz w:val="24"/>
              </w:rPr>
              <w:t>hm</w:t>
            </w:r>
            <w:r>
              <w:rPr>
                <w:rFonts w:hint="default" w:ascii="Times New Roman" w:hAnsi="Times New Roman" w:cs="Times New Roman"/>
                <w:kern w:val="0"/>
                <w:sz w:val="24"/>
                <w:vertAlign w:val="superscript"/>
              </w:rPr>
              <w:t>2</w:t>
            </w:r>
            <w:r>
              <w:rPr>
                <w:rFonts w:hint="default" w:ascii="Times New Roman" w:hAnsi="Times New Roman" w:cs="Times New Roman"/>
                <w:kern w:val="0"/>
                <w:sz w:val="24"/>
              </w:rPr>
              <w:t>。同时对复垦区域进行监测管护。</w:t>
            </w:r>
          </w:p>
          <w:p w14:paraId="0AB66DD5">
            <w:pPr>
              <w:keepNext w:val="0"/>
              <w:keepLines w:val="0"/>
              <w:pageBreakBefore w:val="0"/>
              <w:widowControl/>
              <w:kinsoku/>
              <w:wordWrap/>
              <w:overflowPunct/>
              <w:topLinePunct w:val="0"/>
              <w:autoSpaceDE/>
              <w:autoSpaceDN/>
              <w:bidi w:val="0"/>
              <w:spacing w:line="480" w:lineRule="exact"/>
              <w:ind w:firstLine="480" w:firstLineChars="200"/>
              <w:textAlignment w:val="auto"/>
              <w:rPr>
                <w:rFonts w:hint="default" w:ascii="Times New Roman" w:hAnsi="Times New Roman" w:cs="Times New Roman"/>
                <w:kern w:val="0"/>
                <w:sz w:val="24"/>
              </w:rPr>
            </w:pPr>
            <w:r>
              <w:rPr>
                <w:rFonts w:hint="default" w:ascii="Times New Roman" w:hAnsi="Times New Roman" w:cs="Times New Roman"/>
                <w:kern w:val="0"/>
                <w:sz w:val="24"/>
              </w:rPr>
              <w:t>第二阶段：复垦时间为2031年-2035年，复垦对象为露天采场1015m-985m台阶，复垦面积为4.1626hm</w:t>
            </w:r>
            <w:r>
              <w:rPr>
                <w:rFonts w:hint="default" w:ascii="Times New Roman" w:hAnsi="Times New Roman" w:cs="Times New Roman"/>
                <w:kern w:val="0"/>
                <w:sz w:val="24"/>
                <w:vertAlign w:val="superscript"/>
              </w:rPr>
              <w:t>2</w:t>
            </w:r>
            <w:r>
              <w:rPr>
                <w:rFonts w:hint="default" w:ascii="Times New Roman" w:hAnsi="Times New Roman" w:cs="Times New Roman"/>
                <w:kern w:val="0"/>
                <w:sz w:val="24"/>
              </w:rPr>
              <w:t>，全部为灌木林地。</w:t>
            </w:r>
          </w:p>
          <w:p w14:paraId="6C6DB1A2">
            <w:pPr>
              <w:keepNext w:val="0"/>
              <w:keepLines w:val="0"/>
              <w:pageBreakBefore w:val="0"/>
              <w:widowControl/>
              <w:kinsoku/>
              <w:wordWrap/>
              <w:overflowPunct/>
              <w:topLinePunct w:val="0"/>
              <w:autoSpaceDE/>
              <w:autoSpaceDN/>
              <w:bidi w:val="0"/>
              <w:spacing w:line="480" w:lineRule="exact"/>
              <w:ind w:firstLine="480" w:firstLineChars="200"/>
              <w:textAlignment w:val="auto"/>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第三阶段：复垦时间为2036年-2040年，复垦对象为矿区露天采场985m-970m台阶，复垦面积为3.5428hm</w:t>
            </w:r>
            <w:r>
              <w:rPr>
                <w:rFonts w:hint="default" w:ascii="Times New Roman" w:hAnsi="Times New Roman" w:cs="Times New Roman"/>
                <w:kern w:val="0"/>
                <w:sz w:val="24"/>
                <w:highlight w:val="none"/>
                <w:vertAlign w:val="superscript"/>
              </w:rPr>
              <w:t>2</w:t>
            </w:r>
            <w:r>
              <w:rPr>
                <w:rFonts w:hint="default" w:ascii="Times New Roman" w:hAnsi="Times New Roman" w:cs="Times New Roman"/>
                <w:kern w:val="0"/>
                <w:sz w:val="24"/>
                <w:highlight w:val="none"/>
              </w:rPr>
              <w:t>，全部为灌木林地。</w:t>
            </w:r>
          </w:p>
          <w:p w14:paraId="69FE2333">
            <w:pPr>
              <w:keepNext w:val="0"/>
              <w:keepLines w:val="0"/>
              <w:pageBreakBefore w:val="0"/>
              <w:widowControl/>
              <w:kinsoku/>
              <w:wordWrap/>
              <w:overflowPunct/>
              <w:topLinePunct w:val="0"/>
              <w:autoSpaceDE/>
              <w:autoSpaceDN/>
              <w:bidi w:val="0"/>
              <w:spacing w:line="480" w:lineRule="exact"/>
              <w:ind w:firstLine="480" w:firstLineChars="200"/>
              <w:textAlignment w:val="auto"/>
              <w:rPr>
                <w:rFonts w:hint="default" w:ascii="Times New Roman" w:hAnsi="Times New Roman" w:cs="Times New Roman"/>
                <w:kern w:val="0"/>
                <w:sz w:val="24"/>
              </w:rPr>
            </w:pPr>
            <w:r>
              <w:rPr>
                <w:rFonts w:hint="default" w:ascii="Times New Roman" w:hAnsi="Times New Roman" w:cs="Times New Roman"/>
                <w:kern w:val="0"/>
                <w:sz w:val="24"/>
                <w:highlight w:val="none"/>
              </w:rPr>
              <w:t>第四阶段：复垦时间为2041年，复垦对象为露天采场底平台、办公生活区、排土场、矿区道路，复垦面积为</w:t>
            </w:r>
            <w:r>
              <w:rPr>
                <w:rFonts w:hint="eastAsia" w:cs="Times New Roman"/>
                <w:kern w:val="0"/>
                <w:sz w:val="24"/>
                <w:highlight w:val="none"/>
                <w:lang w:val="en-US" w:eastAsia="zh-CN"/>
              </w:rPr>
              <w:t>8.6450</w:t>
            </w:r>
            <w:r>
              <w:rPr>
                <w:rFonts w:hint="default" w:ascii="Times New Roman" w:hAnsi="Times New Roman" w:cs="Times New Roman"/>
                <w:kern w:val="0"/>
                <w:sz w:val="24"/>
                <w:highlight w:val="none"/>
              </w:rPr>
              <w:t>hm</w:t>
            </w:r>
            <w:r>
              <w:rPr>
                <w:rFonts w:hint="default" w:ascii="Times New Roman" w:hAnsi="Times New Roman" w:cs="Times New Roman"/>
                <w:kern w:val="0"/>
                <w:sz w:val="24"/>
                <w:highlight w:val="none"/>
                <w:vertAlign w:val="superscript"/>
              </w:rPr>
              <w:t>2</w:t>
            </w:r>
            <w:r>
              <w:rPr>
                <w:rFonts w:hint="default" w:ascii="Times New Roman" w:hAnsi="Times New Roman" w:cs="Times New Roman"/>
                <w:kern w:val="0"/>
                <w:sz w:val="24"/>
                <w:highlight w:val="none"/>
              </w:rPr>
              <w:t>，其中复垦乔木林地面积</w:t>
            </w:r>
            <w:r>
              <w:rPr>
                <w:rFonts w:hint="eastAsia" w:cs="Times New Roman"/>
                <w:kern w:val="0"/>
                <w:sz w:val="24"/>
                <w:highlight w:val="none"/>
                <w:lang w:val="en-US" w:eastAsia="zh-CN"/>
              </w:rPr>
              <w:t>6.3551</w:t>
            </w:r>
            <w:r>
              <w:rPr>
                <w:rFonts w:hint="default" w:ascii="Times New Roman" w:hAnsi="Times New Roman" w:cs="Times New Roman"/>
                <w:kern w:val="0"/>
                <w:sz w:val="24"/>
                <w:highlight w:val="none"/>
              </w:rPr>
              <w:t>hm</w:t>
            </w:r>
            <w:r>
              <w:rPr>
                <w:rFonts w:hint="default" w:ascii="Times New Roman" w:hAnsi="Times New Roman" w:cs="Times New Roman"/>
                <w:kern w:val="0"/>
                <w:sz w:val="24"/>
                <w:highlight w:val="none"/>
                <w:vertAlign w:val="superscript"/>
              </w:rPr>
              <w:t>2</w:t>
            </w:r>
            <w:r>
              <w:rPr>
                <w:rFonts w:hint="default" w:ascii="Times New Roman" w:hAnsi="Times New Roman" w:cs="Times New Roman"/>
                <w:kern w:val="0"/>
                <w:sz w:val="24"/>
                <w:highlight w:val="none"/>
              </w:rPr>
              <w:t>，灌木林地面积</w:t>
            </w:r>
            <w:r>
              <w:rPr>
                <w:rFonts w:hint="eastAsia" w:cs="Times New Roman"/>
                <w:kern w:val="0"/>
                <w:sz w:val="24"/>
                <w:highlight w:val="none"/>
                <w:lang w:val="en-US" w:eastAsia="zh-CN"/>
              </w:rPr>
              <w:t>2.2899</w:t>
            </w:r>
            <w:r>
              <w:rPr>
                <w:rFonts w:hint="default" w:ascii="Times New Roman" w:hAnsi="Times New Roman" w:cs="Times New Roman"/>
                <w:kern w:val="0"/>
                <w:sz w:val="24"/>
                <w:highlight w:val="none"/>
              </w:rPr>
              <w:t>hm</w:t>
            </w:r>
            <w:r>
              <w:rPr>
                <w:rFonts w:hint="default" w:ascii="Times New Roman" w:hAnsi="Times New Roman" w:cs="Times New Roman"/>
                <w:kern w:val="0"/>
                <w:sz w:val="24"/>
                <w:highlight w:val="none"/>
                <w:vertAlign w:val="superscript"/>
              </w:rPr>
              <w:t>2</w:t>
            </w:r>
            <w:r>
              <w:rPr>
                <w:rFonts w:hint="default" w:ascii="Times New Roman" w:hAnsi="Times New Roman" w:cs="Times New Roman"/>
                <w:kern w:val="0"/>
                <w:sz w:val="24"/>
                <w:highlight w:val="none"/>
              </w:rPr>
              <w:t>。</w:t>
            </w:r>
          </w:p>
          <w:p w14:paraId="2C0B4486">
            <w:pPr>
              <w:keepNext w:val="0"/>
              <w:keepLines w:val="0"/>
              <w:pageBreakBefore w:val="0"/>
              <w:widowControl/>
              <w:kinsoku/>
              <w:wordWrap/>
              <w:overflowPunct/>
              <w:topLinePunct w:val="0"/>
              <w:autoSpaceDE/>
              <w:autoSpaceDN/>
              <w:bidi w:val="0"/>
              <w:spacing w:line="480" w:lineRule="exact"/>
              <w:ind w:firstLine="480" w:firstLineChars="200"/>
              <w:textAlignment w:val="auto"/>
              <w:rPr>
                <w:rFonts w:hint="default" w:ascii="Times New Roman" w:hAnsi="Times New Roman" w:cs="Times New Roman"/>
                <w:kern w:val="0"/>
                <w:sz w:val="24"/>
              </w:rPr>
            </w:pPr>
            <w:r>
              <w:rPr>
                <w:rFonts w:hint="default" w:ascii="Times New Roman" w:hAnsi="Times New Roman" w:cs="Times New Roman"/>
                <w:kern w:val="0"/>
                <w:sz w:val="24"/>
              </w:rPr>
              <w:t>第五阶段：复垦时间为2042年-2044年，复垦对象为全部复垦区域，进行监测管护。</w:t>
            </w:r>
          </w:p>
          <w:bookmarkEnd w:id="28"/>
          <w:p w14:paraId="457070BD">
            <w:pPr>
              <w:keepNext w:val="0"/>
              <w:keepLines w:val="0"/>
              <w:pageBreakBefore w:val="0"/>
              <w:widowControl/>
              <w:kinsoku/>
              <w:wordWrap/>
              <w:overflowPunct/>
              <w:topLinePunct w:val="0"/>
              <w:autoSpaceDE/>
              <w:autoSpaceDN/>
              <w:bidi w:val="0"/>
              <w:spacing w:line="480" w:lineRule="exact"/>
              <w:ind w:firstLine="480" w:firstLineChars="200"/>
              <w:textAlignment w:val="auto"/>
              <w:rPr>
                <w:rFonts w:hint="default" w:ascii="Times New Roman" w:hAnsi="Times New Roman" w:cs="Times New Roman"/>
                <w:kern w:val="0"/>
                <w:sz w:val="24"/>
                <w:lang w:bidi="ar"/>
              </w:rPr>
            </w:pPr>
            <w:r>
              <w:rPr>
                <w:rFonts w:hint="default" w:ascii="Times New Roman" w:hAnsi="Times New Roman" w:cs="Times New Roman"/>
                <w:kern w:val="0"/>
                <w:sz w:val="24"/>
                <w:lang w:bidi="ar"/>
              </w:rPr>
              <w:t>根据土地复垦质量要求、土地复垦措施布局、各阶段土地复垦位置以及复垦目标任务，合理测算各阶段不同土地复垦措施的工程量，土地复垦方案主要涉及覆土、砌体拆除、石渣外运、栽植乔灌木及撒播草籽和土地植被监测管护等复垦措施。土地复垦工作计划安排汇总见</w:t>
            </w:r>
            <w:r>
              <w:rPr>
                <w:rFonts w:hint="default" w:ascii="Times New Roman" w:hAnsi="Times New Roman" w:cs="Times New Roman"/>
                <w:kern w:val="0"/>
                <w:sz w:val="24"/>
              </w:rPr>
              <w:t>表5-1</w:t>
            </w:r>
            <w:r>
              <w:rPr>
                <w:rFonts w:hint="eastAsia" w:cs="Times New Roman"/>
                <w:kern w:val="0"/>
                <w:sz w:val="24"/>
                <w:lang w:val="en-US" w:eastAsia="zh-CN"/>
              </w:rPr>
              <w:t>3</w:t>
            </w:r>
            <w:r>
              <w:rPr>
                <w:rFonts w:hint="default" w:ascii="Times New Roman" w:hAnsi="Times New Roman" w:cs="Times New Roman"/>
                <w:kern w:val="0"/>
                <w:sz w:val="24"/>
              </w:rPr>
              <w:t>。</w:t>
            </w:r>
          </w:p>
          <w:p w14:paraId="40D1088F">
            <w:pPr>
              <w:pStyle w:val="15"/>
              <w:keepNext w:val="0"/>
              <w:keepLines w:val="0"/>
              <w:pageBreakBefore w:val="0"/>
              <w:widowControl/>
              <w:kinsoku/>
              <w:wordWrap/>
              <w:overflowPunct/>
              <w:topLinePunct w:val="0"/>
              <w:autoSpaceDE/>
              <w:autoSpaceDN/>
              <w:bidi w:val="0"/>
              <w:spacing w:line="480" w:lineRule="exact"/>
              <w:ind w:firstLine="420" w:firstLineChars="200"/>
              <w:textAlignment w:val="auto"/>
              <w:rPr>
                <w:rFonts w:ascii="宋体" w:hAnsi="宋体" w:eastAsia="宋体" w:cs="宋体"/>
                <w:sz w:val="21"/>
                <w:szCs w:val="21"/>
                <w:highlight w:val="red"/>
                <w:lang w:bidi="ar"/>
              </w:rPr>
            </w:pPr>
            <w:bookmarkStart w:id="29" w:name="_Hlk215391238"/>
            <w:r>
              <w:rPr>
                <w:rFonts w:hint="eastAsia" w:ascii="宋体" w:hAnsi="宋体" w:eastAsia="宋体" w:cs="宋体"/>
                <w:sz w:val="21"/>
                <w:szCs w:val="21"/>
                <w:highlight w:val="none"/>
                <w:lang w:bidi="ar"/>
              </w:rPr>
              <w:t>表</w:t>
            </w:r>
            <w:r>
              <w:rPr>
                <w:rFonts w:eastAsia="宋体"/>
                <w:sz w:val="21"/>
                <w:szCs w:val="21"/>
                <w:highlight w:val="none"/>
                <w:lang w:bidi="ar"/>
              </w:rPr>
              <w:t>5-1</w:t>
            </w:r>
            <w:r>
              <w:rPr>
                <w:rFonts w:hint="eastAsia" w:eastAsia="宋体"/>
                <w:sz w:val="21"/>
                <w:szCs w:val="21"/>
                <w:highlight w:val="none"/>
                <w:lang w:val="en-US" w:eastAsia="zh-CN" w:bidi="ar"/>
              </w:rPr>
              <w:t>3</w:t>
            </w:r>
            <w:r>
              <w:rPr>
                <w:rFonts w:hint="eastAsia" w:ascii="宋体" w:hAnsi="宋体" w:eastAsia="宋体" w:cs="宋体"/>
                <w:sz w:val="21"/>
                <w:szCs w:val="21"/>
                <w:highlight w:val="none"/>
                <w:lang w:bidi="ar"/>
              </w:rPr>
              <w:t xml:space="preserve"> 土地复垦工作计划安排一览表</w:t>
            </w:r>
          </w:p>
          <w:tbl>
            <w:tblPr>
              <w:tblStyle w:val="29"/>
              <w:tblW w:w="499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3"/>
              <w:gridCol w:w="1126"/>
              <w:gridCol w:w="726"/>
              <w:gridCol w:w="2218"/>
              <w:gridCol w:w="975"/>
              <w:gridCol w:w="2446"/>
            </w:tblGrid>
            <w:tr w14:paraId="05E0C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07" w:type="pct"/>
                  <w:vMerge w:val="restart"/>
                  <w:vAlign w:val="center"/>
                </w:tcPr>
                <w:p w14:paraId="4AB24BD0">
                  <w:pPr>
                    <w:widowControl/>
                    <w:jc w:val="center"/>
                    <w:textAlignment w:val="center"/>
                    <w:rPr>
                      <w:sz w:val="21"/>
                      <w:szCs w:val="21"/>
                    </w:rPr>
                  </w:pPr>
                  <w:r>
                    <w:rPr>
                      <w:kern w:val="0"/>
                      <w:sz w:val="21"/>
                      <w:szCs w:val="21"/>
                      <w:lang w:bidi="ar"/>
                    </w:rPr>
                    <w:t>复垦阶段</w:t>
                  </w:r>
                </w:p>
              </w:tc>
              <w:tc>
                <w:tcPr>
                  <w:tcW w:w="690" w:type="pct"/>
                  <w:vMerge w:val="restart"/>
                  <w:vAlign w:val="center"/>
                </w:tcPr>
                <w:p w14:paraId="0F2144D5">
                  <w:pPr>
                    <w:widowControl/>
                    <w:jc w:val="center"/>
                    <w:textAlignment w:val="center"/>
                    <w:rPr>
                      <w:sz w:val="21"/>
                      <w:szCs w:val="21"/>
                    </w:rPr>
                  </w:pPr>
                  <w:r>
                    <w:rPr>
                      <w:kern w:val="0"/>
                      <w:sz w:val="21"/>
                      <w:szCs w:val="21"/>
                      <w:lang w:bidi="ar"/>
                    </w:rPr>
                    <w:t>复垦时段</w:t>
                  </w:r>
                </w:p>
              </w:tc>
              <w:tc>
                <w:tcPr>
                  <w:tcW w:w="445" w:type="pct"/>
                  <w:vMerge w:val="restart"/>
                  <w:vAlign w:val="center"/>
                </w:tcPr>
                <w:p w14:paraId="7B1B72E0">
                  <w:pPr>
                    <w:widowControl/>
                    <w:jc w:val="center"/>
                    <w:textAlignment w:val="center"/>
                    <w:rPr>
                      <w:sz w:val="21"/>
                      <w:szCs w:val="21"/>
                    </w:rPr>
                  </w:pPr>
                  <w:r>
                    <w:rPr>
                      <w:rFonts w:hint="eastAsia"/>
                      <w:sz w:val="21"/>
                      <w:szCs w:val="21"/>
                    </w:rPr>
                    <w:t>年</w:t>
                  </w:r>
                </w:p>
              </w:tc>
              <w:tc>
                <w:tcPr>
                  <w:tcW w:w="1360" w:type="pct"/>
                  <w:vMerge w:val="restart"/>
                  <w:vAlign w:val="center"/>
                </w:tcPr>
                <w:p w14:paraId="156A1B70">
                  <w:pPr>
                    <w:widowControl/>
                    <w:jc w:val="center"/>
                    <w:textAlignment w:val="center"/>
                    <w:rPr>
                      <w:sz w:val="21"/>
                      <w:szCs w:val="21"/>
                    </w:rPr>
                  </w:pPr>
                  <w:r>
                    <w:rPr>
                      <w:kern w:val="0"/>
                      <w:sz w:val="21"/>
                      <w:szCs w:val="21"/>
                      <w:lang w:bidi="ar"/>
                    </w:rPr>
                    <w:t>位置</w:t>
                  </w:r>
                </w:p>
              </w:tc>
              <w:tc>
                <w:tcPr>
                  <w:tcW w:w="598" w:type="pct"/>
                  <w:vMerge w:val="restart"/>
                  <w:vAlign w:val="center"/>
                </w:tcPr>
                <w:p w14:paraId="689276A6">
                  <w:pPr>
                    <w:widowControl/>
                    <w:jc w:val="center"/>
                    <w:textAlignment w:val="center"/>
                    <w:rPr>
                      <w:sz w:val="21"/>
                      <w:szCs w:val="21"/>
                    </w:rPr>
                  </w:pPr>
                  <w:r>
                    <w:rPr>
                      <w:kern w:val="0"/>
                      <w:sz w:val="21"/>
                      <w:szCs w:val="21"/>
                      <w:lang w:bidi="ar"/>
                    </w:rPr>
                    <w:t>复垦面积（hm</w:t>
                  </w:r>
                  <w:r>
                    <w:rPr>
                      <w:kern w:val="0"/>
                      <w:sz w:val="21"/>
                      <w:szCs w:val="21"/>
                      <w:vertAlign w:val="superscript"/>
                      <w:lang w:bidi="ar"/>
                    </w:rPr>
                    <w:t>2</w:t>
                  </w:r>
                  <w:r>
                    <w:rPr>
                      <w:kern w:val="0"/>
                      <w:sz w:val="21"/>
                      <w:szCs w:val="21"/>
                      <w:lang w:bidi="ar"/>
                    </w:rPr>
                    <w:t>）</w:t>
                  </w:r>
                </w:p>
              </w:tc>
              <w:tc>
                <w:tcPr>
                  <w:tcW w:w="1500" w:type="pct"/>
                  <w:vMerge w:val="restart"/>
                  <w:noWrap/>
                  <w:vAlign w:val="center"/>
                </w:tcPr>
                <w:p w14:paraId="6D423345">
                  <w:pPr>
                    <w:widowControl/>
                    <w:jc w:val="center"/>
                    <w:textAlignment w:val="center"/>
                    <w:rPr>
                      <w:sz w:val="21"/>
                      <w:szCs w:val="21"/>
                    </w:rPr>
                  </w:pPr>
                  <w:r>
                    <w:rPr>
                      <w:kern w:val="0"/>
                      <w:sz w:val="21"/>
                      <w:szCs w:val="21"/>
                      <w:lang w:bidi="ar"/>
                    </w:rPr>
                    <w:t>工程措施</w:t>
                  </w:r>
                </w:p>
              </w:tc>
            </w:tr>
            <w:tr w14:paraId="3B17A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07" w:type="pct"/>
                  <w:vMerge w:val="continue"/>
                  <w:vAlign w:val="center"/>
                </w:tcPr>
                <w:p w14:paraId="128597A7">
                  <w:pPr>
                    <w:jc w:val="center"/>
                    <w:rPr>
                      <w:sz w:val="21"/>
                      <w:szCs w:val="21"/>
                    </w:rPr>
                  </w:pPr>
                </w:p>
              </w:tc>
              <w:tc>
                <w:tcPr>
                  <w:tcW w:w="690" w:type="pct"/>
                  <w:vMerge w:val="continue"/>
                  <w:vAlign w:val="center"/>
                </w:tcPr>
                <w:p w14:paraId="21B86632">
                  <w:pPr>
                    <w:jc w:val="center"/>
                    <w:rPr>
                      <w:sz w:val="21"/>
                      <w:szCs w:val="21"/>
                    </w:rPr>
                  </w:pPr>
                </w:p>
              </w:tc>
              <w:tc>
                <w:tcPr>
                  <w:tcW w:w="445" w:type="pct"/>
                  <w:vMerge w:val="continue"/>
                  <w:vAlign w:val="center"/>
                </w:tcPr>
                <w:p w14:paraId="573D6406">
                  <w:pPr>
                    <w:jc w:val="center"/>
                    <w:rPr>
                      <w:sz w:val="21"/>
                      <w:szCs w:val="21"/>
                    </w:rPr>
                  </w:pPr>
                </w:p>
              </w:tc>
              <w:tc>
                <w:tcPr>
                  <w:tcW w:w="1360" w:type="pct"/>
                  <w:vMerge w:val="continue"/>
                  <w:vAlign w:val="center"/>
                </w:tcPr>
                <w:p w14:paraId="4B288D2C">
                  <w:pPr>
                    <w:jc w:val="center"/>
                    <w:rPr>
                      <w:sz w:val="21"/>
                      <w:szCs w:val="21"/>
                    </w:rPr>
                  </w:pPr>
                </w:p>
              </w:tc>
              <w:tc>
                <w:tcPr>
                  <w:tcW w:w="598" w:type="pct"/>
                  <w:vMerge w:val="continue"/>
                  <w:vAlign w:val="center"/>
                </w:tcPr>
                <w:p w14:paraId="70495542">
                  <w:pPr>
                    <w:jc w:val="center"/>
                    <w:rPr>
                      <w:sz w:val="21"/>
                      <w:szCs w:val="21"/>
                    </w:rPr>
                  </w:pPr>
                </w:p>
              </w:tc>
              <w:tc>
                <w:tcPr>
                  <w:tcW w:w="1500" w:type="pct"/>
                  <w:vMerge w:val="continue"/>
                  <w:noWrap/>
                  <w:vAlign w:val="center"/>
                </w:tcPr>
                <w:p w14:paraId="566CFD36">
                  <w:pPr>
                    <w:jc w:val="center"/>
                    <w:rPr>
                      <w:sz w:val="21"/>
                      <w:szCs w:val="21"/>
                    </w:rPr>
                  </w:pPr>
                </w:p>
              </w:tc>
            </w:tr>
            <w:tr w14:paraId="37112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07" w:type="pct"/>
                  <w:vMerge w:val="restart"/>
                  <w:vAlign w:val="center"/>
                </w:tcPr>
                <w:p w14:paraId="3AD1F015">
                  <w:pPr>
                    <w:widowControl/>
                    <w:jc w:val="center"/>
                    <w:textAlignment w:val="center"/>
                    <w:rPr>
                      <w:sz w:val="21"/>
                      <w:szCs w:val="21"/>
                    </w:rPr>
                  </w:pPr>
                  <w:r>
                    <w:rPr>
                      <w:kern w:val="0"/>
                      <w:sz w:val="21"/>
                      <w:szCs w:val="21"/>
                      <w:lang w:bidi="ar"/>
                    </w:rPr>
                    <w:t>一</w:t>
                  </w:r>
                </w:p>
              </w:tc>
              <w:tc>
                <w:tcPr>
                  <w:tcW w:w="690" w:type="pct"/>
                  <w:vAlign w:val="center"/>
                </w:tcPr>
                <w:p w14:paraId="4B58B1F9">
                  <w:pPr>
                    <w:widowControl/>
                    <w:jc w:val="center"/>
                    <w:rPr>
                      <w:sz w:val="21"/>
                      <w:szCs w:val="21"/>
                    </w:rPr>
                  </w:pPr>
                  <w:r>
                    <w:rPr>
                      <w:kern w:val="0"/>
                      <w:sz w:val="21"/>
                      <w:szCs w:val="21"/>
                    </w:rPr>
                    <w:t>202</w:t>
                  </w:r>
                  <w:r>
                    <w:rPr>
                      <w:rFonts w:hint="eastAsia"/>
                      <w:kern w:val="0"/>
                      <w:sz w:val="21"/>
                      <w:szCs w:val="21"/>
                    </w:rPr>
                    <w:t>6</w:t>
                  </w:r>
                </w:p>
              </w:tc>
              <w:tc>
                <w:tcPr>
                  <w:tcW w:w="445" w:type="pct"/>
                  <w:vAlign w:val="center"/>
                </w:tcPr>
                <w:p w14:paraId="6EF411DA">
                  <w:pPr>
                    <w:widowControl/>
                    <w:jc w:val="center"/>
                    <w:rPr>
                      <w:sz w:val="21"/>
                      <w:szCs w:val="21"/>
                    </w:rPr>
                  </w:pPr>
                  <w:r>
                    <w:rPr>
                      <w:kern w:val="0"/>
                      <w:sz w:val="21"/>
                      <w:szCs w:val="21"/>
                    </w:rPr>
                    <w:t>1</w:t>
                  </w:r>
                </w:p>
              </w:tc>
              <w:tc>
                <w:tcPr>
                  <w:tcW w:w="1360" w:type="pct"/>
                  <w:vAlign w:val="center"/>
                </w:tcPr>
                <w:p w14:paraId="0884E35B">
                  <w:pPr>
                    <w:jc w:val="center"/>
                    <w:rPr>
                      <w:rFonts w:hint="eastAsia" w:eastAsia="宋体"/>
                      <w:sz w:val="21"/>
                      <w:szCs w:val="21"/>
                      <w:lang w:eastAsia="zh-CN"/>
                    </w:rPr>
                  </w:pPr>
                  <w:r>
                    <w:rPr>
                      <w:rFonts w:hint="eastAsia"/>
                      <w:sz w:val="21"/>
                      <w:szCs w:val="21"/>
                    </w:rPr>
                    <w:t>已采区</w:t>
                  </w:r>
                  <w:r>
                    <w:rPr>
                      <w:rFonts w:hint="eastAsia"/>
                      <w:sz w:val="21"/>
                      <w:szCs w:val="21"/>
                      <w:lang w:eastAsia="zh-CN"/>
                    </w:rPr>
                    <w:t>、</w:t>
                  </w:r>
                  <w:r>
                    <w:rPr>
                      <w:rFonts w:hint="eastAsia"/>
                      <w:sz w:val="21"/>
                      <w:szCs w:val="21"/>
                    </w:rPr>
                    <w:t>排土场已形成平台及边坡</w:t>
                  </w:r>
                  <w:r>
                    <w:rPr>
                      <w:rFonts w:hint="eastAsia"/>
                      <w:sz w:val="21"/>
                      <w:szCs w:val="21"/>
                      <w:lang w:eastAsia="zh-CN"/>
                    </w:rPr>
                    <w:t>、运矿道路</w:t>
                  </w:r>
                </w:p>
              </w:tc>
              <w:tc>
                <w:tcPr>
                  <w:tcW w:w="598" w:type="pct"/>
                  <w:vAlign w:val="center"/>
                </w:tcPr>
                <w:p w14:paraId="158304C3">
                  <w:pPr>
                    <w:widowControl/>
                    <w:adjustRightInd w:val="0"/>
                    <w:snapToGrid w:val="0"/>
                    <w:jc w:val="center"/>
                    <w:textAlignment w:val="center"/>
                    <w:rPr>
                      <w:rFonts w:hint="default" w:eastAsia="宋体"/>
                      <w:sz w:val="21"/>
                      <w:szCs w:val="21"/>
                      <w:lang w:val="en-US" w:eastAsia="zh-CN"/>
                    </w:rPr>
                  </w:pPr>
                  <w:r>
                    <w:rPr>
                      <w:rFonts w:hint="eastAsia"/>
                      <w:kern w:val="0"/>
                      <w:sz w:val="21"/>
                      <w:szCs w:val="21"/>
                      <w:lang w:val="en-US" w:eastAsia="zh-CN" w:bidi="ar"/>
                    </w:rPr>
                    <w:t>12.1535</w:t>
                  </w:r>
                </w:p>
              </w:tc>
              <w:tc>
                <w:tcPr>
                  <w:tcW w:w="1500" w:type="pct"/>
                  <w:vAlign w:val="center"/>
                </w:tcPr>
                <w:p w14:paraId="1B1F1E1A">
                  <w:pPr>
                    <w:widowControl/>
                    <w:adjustRightInd w:val="0"/>
                    <w:snapToGrid w:val="0"/>
                    <w:jc w:val="center"/>
                    <w:textAlignment w:val="center"/>
                    <w:rPr>
                      <w:sz w:val="21"/>
                      <w:szCs w:val="21"/>
                    </w:rPr>
                  </w:pPr>
                  <w:r>
                    <w:rPr>
                      <w:rFonts w:hint="eastAsia" w:ascii="宋体" w:hAnsi="宋体" w:cs="宋体"/>
                      <w:kern w:val="0"/>
                      <w:sz w:val="21"/>
                      <w:szCs w:val="21"/>
                      <w:lang w:bidi="ar"/>
                    </w:rPr>
                    <w:t>覆土、种植</w:t>
                  </w:r>
                  <w:r>
                    <w:rPr>
                      <w:rFonts w:hint="eastAsia" w:ascii="宋体" w:hAnsi="宋体" w:cs="宋体"/>
                      <w:kern w:val="0"/>
                      <w:sz w:val="21"/>
                      <w:szCs w:val="21"/>
                      <w:lang w:val="en-US" w:eastAsia="zh-CN" w:bidi="ar"/>
                    </w:rPr>
                    <w:t>油松</w:t>
                  </w:r>
                  <w:r>
                    <w:rPr>
                      <w:rFonts w:hint="eastAsia" w:ascii="宋体" w:hAnsi="宋体" w:cs="宋体"/>
                      <w:kern w:val="0"/>
                      <w:sz w:val="21"/>
                      <w:szCs w:val="21"/>
                      <w:lang w:bidi="ar"/>
                    </w:rPr>
                    <w:t>、</w:t>
                  </w:r>
                  <w:r>
                    <w:rPr>
                      <w:rFonts w:hint="eastAsia" w:ascii="宋体" w:hAnsi="宋体" w:cs="宋体"/>
                      <w:kern w:val="0"/>
                      <w:sz w:val="21"/>
                      <w:szCs w:val="21"/>
                      <w:lang w:val="en-US" w:eastAsia="zh-CN" w:bidi="ar"/>
                    </w:rPr>
                    <w:t>新疆杨、</w:t>
                  </w:r>
                  <w:r>
                    <w:rPr>
                      <w:rFonts w:hint="eastAsia" w:ascii="宋体" w:hAnsi="宋体" w:cs="宋体"/>
                      <w:kern w:val="0"/>
                      <w:sz w:val="21"/>
                      <w:szCs w:val="21"/>
                      <w:lang w:bidi="ar"/>
                    </w:rPr>
                    <w:t>紫穗槐并撒播紫花苜蓿</w:t>
                  </w:r>
                </w:p>
              </w:tc>
            </w:tr>
            <w:tr w14:paraId="6BB8B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07" w:type="pct"/>
                  <w:vMerge w:val="continue"/>
                  <w:vAlign w:val="center"/>
                </w:tcPr>
                <w:p w14:paraId="3D9A4A3F">
                  <w:pPr>
                    <w:jc w:val="center"/>
                    <w:rPr>
                      <w:sz w:val="21"/>
                      <w:szCs w:val="21"/>
                    </w:rPr>
                  </w:pPr>
                </w:p>
              </w:tc>
              <w:tc>
                <w:tcPr>
                  <w:tcW w:w="690" w:type="pct"/>
                  <w:vAlign w:val="center"/>
                </w:tcPr>
                <w:p w14:paraId="53DBC13F">
                  <w:pPr>
                    <w:widowControl/>
                    <w:jc w:val="center"/>
                    <w:rPr>
                      <w:sz w:val="21"/>
                      <w:szCs w:val="21"/>
                    </w:rPr>
                  </w:pPr>
                  <w:r>
                    <w:rPr>
                      <w:kern w:val="0"/>
                      <w:sz w:val="21"/>
                      <w:szCs w:val="21"/>
                    </w:rPr>
                    <w:t>202</w:t>
                  </w:r>
                  <w:r>
                    <w:rPr>
                      <w:rFonts w:hint="eastAsia"/>
                      <w:kern w:val="0"/>
                      <w:sz w:val="21"/>
                      <w:szCs w:val="21"/>
                    </w:rPr>
                    <w:t>7</w:t>
                  </w:r>
                </w:p>
              </w:tc>
              <w:tc>
                <w:tcPr>
                  <w:tcW w:w="445" w:type="pct"/>
                  <w:vAlign w:val="center"/>
                </w:tcPr>
                <w:p w14:paraId="3A97D7EB">
                  <w:pPr>
                    <w:widowControl/>
                    <w:jc w:val="center"/>
                    <w:rPr>
                      <w:sz w:val="21"/>
                      <w:szCs w:val="21"/>
                    </w:rPr>
                  </w:pPr>
                  <w:r>
                    <w:rPr>
                      <w:kern w:val="0"/>
                      <w:sz w:val="21"/>
                      <w:szCs w:val="21"/>
                    </w:rPr>
                    <w:t>1</w:t>
                  </w:r>
                </w:p>
              </w:tc>
              <w:tc>
                <w:tcPr>
                  <w:tcW w:w="1360" w:type="pct"/>
                  <w:vAlign w:val="center"/>
                </w:tcPr>
                <w:p w14:paraId="4CF37ED2">
                  <w:pPr>
                    <w:jc w:val="center"/>
                    <w:rPr>
                      <w:sz w:val="21"/>
                      <w:szCs w:val="21"/>
                    </w:rPr>
                  </w:pPr>
                  <w:r>
                    <w:rPr>
                      <w:rFonts w:hint="eastAsia"/>
                      <w:sz w:val="21"/>
                      <w:szCs w:val="21"/>
                    </w:rPr>
                    <w:t>露天采场1075m台阶</w:t>
                  </w:r>
                </w:p>
              </w:tc>
              <w:tc>
                <w:tcPr>
                  <w:tcW w:w="598" w:type="pct"/>
                  <w:vAlign w:val="center"/>
                </w:tcPr>
                <w:p w14:paraId="4435FAE1">
                  <w:pPr>
                    <w:widowControl/>
                    <w:adjustRightInd w:val="0"/>
                    <w:snapToGrid w:val="0"/>
                    <w:jc w:val="center"/>
                    <w:textAlignment w:val="center"/>
                    <w:rPr>
                      <w:sz w:val="21"/>
                      <w:szCs w:val="21"/>
                    </w:rPr>
                  </w:pPr>
                  <w:r>
                    <w:rPr>
                      <w:kern w:val="0"/>
                      <w:sz w:val="21"/>
                      <w:szCs w:val="21"/>
                      <w:lang w:bidi="ar"/>
                    </w:rPr>
                    <w:t>0.6136</w:t>
                  </w:r>
                </w:p>
              </w:tc>
              <w:tc>
                <w:tcPr>
                  <w:tcW w:w="1500" w:type="pct"/>
                  <w:vAlign w:val="center"/>
                </w:tcPr>
                <w:p w14:paraId="337533C4">
                  <w:pPr>
                    <w:widowControl/>
                    <w:adjustRightInd w:val="0"/>
                    <w:snapToGrid w:val="0"/>
                    <w:jc w:val="center"/>
                    <w:textAlignment w:val="center"/>
                    <w:rPr>
                      <w:sz w:val="21"/>
                      <w:szCs w:val="21"/>
                    </w:rPr>
                  </w:pPr>
                  <w:r>
                    <w:rPr>
                      <w:kern w:val="0"/>
                      <w:sz w:val="21"/>
                      <w:szCs w:val="21"/>
                      <w:lang w:bidi="ar"/>
                    </w:rPr>
                    <w:t>覆土、</w:t>
                  </w:r>
                  <w:r>
                    <w:rPr>
                      <w:rFonts w:hint="eastAsia" w:ascii="宋体" w:hAnsi="宋体" w:cs="宋体"/>
                      <w:kern w:val="0"/>
                      <w:sz w:val="21"/>
                      <w:szCs w:val="21"/>
                      <w:lang w:bidi="ar"/>
                    </w:rPr>
                    <w:t>紫穗槐并撒播紫花苜蓿、种植爬山虎</w:t>
                  </w:r>
                </w:p>
              </w:tc>
            </w:tr>
            <w:tr w14:paraId="3149A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07" w:type="pct"/>
                  <w:vMerge w:val="continue"/>
                  <w:vAlign w:val="center"/>
                </w:tcPr>
                <w:p w14:paraId="0B155C2B">
                  <w:pPr>
                    <w:jc w:val="center"/>
                    <w:rPr>
                      <w:sz w:val="21"/>
                      <w:szCs w:val="21"/>
                    </w:rPr>
                  </w:pPr>
                </w:p>
              </w:tc>
              <w:tc>
                <w:tcPr>
                  <w:tcW w:w="690" w:type="pct"/>
                  <w:vAlign w:val="center"/>
                </w:tcPr>
                <w:p w14:paraId="76D4EB60">
                  <w:pPr>
                    <w:widowControl/>
                    <w:jc w:val="center"/>
                    <w:rPr>
                      <w:sz w:val="21"/>
                      <w:szCs w:val="21"/>
                    </w:rPr>
                  </w:pPr>
                  <w:r>
                    <w:rPr>
                      <w:kern w:val="0"/>
                      <w:sz w:val="21"/>
                      <w:szCs w:val="21"/>
                    </w:rPr>
                    <w:t>202</w:t>
                  </w:r>
                  <w:r>
                    <w:rPr>
                      <w:rFonts w:hint="eastAsia"/>
                      <w:kern w:val="0"/>
                      <w:sz w:val="21"/>
                      <w:szCs w:val="21"/>
                    </w:rPr>
                    <w:t>8</w:t>
                  </w:r>
                </w:p>
              </w:tc>
              <w:tc>
                <w:tcPr>
                  <w:tcW w:w="445" w:type="pct"/>
                  <w:vAlign w:val="center"/>
                </w:tcPr>
                <w:p w14:paraId="2681C5E2">
                  <w:pPr>
                    <w:widowControl/>
                    <w:jc w:val="center"/>
                    <w:rPr>
                      <w:sz w:val="21"/>
                      <w:szCs w:val="21"/>
                    </w:rPr>
                  </w:pPr>
                  <w:r>
                    <w:rPr>
                      <w:kern w:val="0"/>
                      <w:sz w:val="21"/>
                      <w:szCs w:val="21"/>
                    </w:rPr>
                    <w:t>1</w:t>
                  </w:r>
                </w:p>
              </w:tc>
              <w:tc>
                <w:tcPr>
                  <w:tcW w:w="1360" w:type="pct"/>
                  <w:vAlign w:val="center"/>
                </w:tcPr>
                <w:p w14:paraId="49B72583">
                  <w:pPr>
                    <w:jc w:val="center"/>
                    <w:rPr>
                      <w:sz w:val="21"/>
                      <w:szCs w:val="21"/>
                    </w:rPr>
                  </w:pPr>
                  <w:r>
                    <w:rPr>
                      <w:rFonts w:hint="eastAsia"/>
                      <w:sz w:val="21"/>
                      <w:szCs w:val="21"/>
                    </w:rPr>
                    <w:t>露天采场1060m台阶</w:t>
                  </w:r>
                </w:p>
              </w:tc>
              <w:tc>
                <w:tcPr>
                  <w:tcW w:w="598" w:type="pct"/>
                  <w:vAlign w:val="center"/>
                </w:tcPr>
                <w:p w14:paraId="187EAD31">
                  <w:pPr>
                    <w:widowControl/>
                    <w:adjustRightInd w:val="0"/>
                    <w:snapToGrid w:val="0"/>
                    <w:jc w:val="center"/>
                    <w:textAlignment w:val="center"/>
                    <w:rPr>
                      <w:sz w:val="21"/>
                      <w:szCs w:val="21"/>
                    </w:rPr>
                  </w:pPr>
                  <w:r>
                    <w:rPr>
                      <w:kern w:val="0"/>
                      <w:sz w:val="21"/>
                      <w:szCs w:val="21"/>
                      <w:lang w:bidi="ar"/>
                    </w:rPr>
                    <w:t>1.0288</w:t>
                  </w:r>
                </w:p>
              </w:tc>
              <w:tc>
                <w:tcPr>
                  <w:tcW w:w="1500" w:type="pct"/>
                  <w:vAlign w:val="center"/>
                </w:tcPr>
                <w:p w14:paraId="5651A5B1">
                  <w:pPr>
                    <w:widowControl/>
                    <w:adjustRightInd w:val="0"/>
                    <w:snapToGrid w:val="0"/>
                    <w:jc w:val="center"/>
                    <w:textAlignment w:val="center"/>
                    <w:rPr>
                      <w:sz w:val="21"/>
                      <w:szCs w:val="21"/>
                    </w:rPr>
                  </w:pPr>
                  <w:r>
                    <w:rPr>
                      <w:kern w:val="0"/>
                      <w:sz w:val="21"/>
                      <w:szCs w:val="21"/>
                      <w:lang w:bidi="ar"/>
                    </w:rPr>
                    <w:t>覆土、</w:t>
                  </w:r>
                  <w:r>
                    <w:rPr>
                      <w:rFonts w:hint="eastAsia" w:ascii="宋体" w:hAnsi="宋体" w:cs="宋体"/>
                      <w:kern w:val="0"/>
                      <w:sz w:val="21"/>
                      <w:szCs w:val="21"/>
                      <w:lang w:bidi="ar"/>
                    </w:rPr>
                    <w:t>紫穗槐并撒播紫花苜蓿、种植爬山虎</w:t>
                  </w:r>
                </w:p>
              </w:tc>
            </w:tr>
            <w:tr w14:paraId="34480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07" w:type="pct"/>
                  <w:vMerge w:val="continue"/>
                  <w:vAlign w:val="center"/>
                </w:tcPr>
                <w:p w14:paraId="1091050F">
                  <w:pPr>
                    <w:jc w:val="center"/>
                    <w:rPr>
                      <w:sz w:val="21"/>
                      <w:szCs w:val="21"/>
                    </w:rPr>
                  </w:pPr>
                </w:p>
              </w:tc>
              <w:tc>
                <w:tcPr>
                  <w:tcW w:w="690" w:type="pct"/>
                  <w:vAlign w:val="center"/>
                </w:tcPr>
                <w:p w14:paraId="5D63A671">
                  <w:pPr>
                    <w:widowControl/>
                    <w:jc w:val="center"/>
                    <w:rPr>
                      <w:sz w:val="21"/>
                      <w:szCs w:val="21"/>
                    </w:rPr>
                  </w:pPr>
                  <w:r>
                    <w:rPr>
                      <w:kern w:val="0"/>
                      <w:sz w:val="21"/>
                      <w:szCs w:val="21"/>
                    </w:rPr>
                    <w:t>20</w:t>
                  </w:r>
                  <w:r>
                    <w:rPr>
                      <w:rFonts w:hint="eastAsia"/>
                      <w:kern w:val="0"/>
                      <w:sz w:val="21"/>
                      <w:szCs w:val="21"/>
                    </w:rPr>
                    <w:t>29</w:t>
                  </w:r>
                </w:p>
              </w:tc>
              <w:tc>
                <w:tcPr>
                  <w:tcW w:w="445" w:type="pct"/>
                  <w:vAlign w:val="center"/>
                </w:tcPr>
                <w:p w14:paraId="1BA63209">
                  <w:pPr>
                    <w:widowControl/>
                    <w:jc w:val="center"/>
                    <w:rPr>
                      <w:sz w:val="21"/>
                      <w:szCs w:val="21"/>
                    </w:rPr>
                  </w:pPr>
                  <w:r>
                    <w:rPr>
                      <w:kern w:val="0"/>
                      <w:sz w:val="21"/>
                      <w:szCs w:val="21"/>
                    </w:rPr>
                    <w:t>1</w:t>
                  </w:r>
                </w:p>
              </w:tc>
              <w:tc>
                <w:tcPr>
                  <w:tcW w:w="1360" w:type="pct"/>
                  <w:vAlign w:val="center"/>
                </w:tcPr>
                <w:p w14:paraId="7A656268">
                  <w:pPr>
                    <w:jc w:val="center"/>
                    <w:rPr>
                      <w:sz w:val="21"/>
                      <w:szCs w:val="21"/>
                    </w:rPr>
                  </w:pPr>
                  <w:r>
                    <w:rPr>
                      <w:rFonts w:hint="eastAsia"/>
                      <w:sz w:val="21"/>
                      <w:szCs w:val="21"/>
                    </w:rPr>
                    <w:t>露天采场1045m台阶</w:t>
                  </w:r>
                </w:p>
              </w:tc>
              <w:tc>
                <w:tcPr>
                  <w:tcW w:w="598" w:type="pct"/>
                  <w:vAlign w:val="center"/>
                </w:tcPr>
                <w:p w14:paraId="018B9580">
                  <w:pPr>
                    <w:widowControl/>
                    <w:adjustRightInd w:val="0"/>
                    <w:snapToGrid w:val="0"/>
                    <w:jc w:val="center"/>
                    <w:textAlignment w:val="center"/>
                    <w:rPr>
                      <w:sz w:val="21"/>
                      <w:szCs w:val="21"/>
                    </w:rPr>
                  </w:pPr>
                  <w:r>
                    <w:rPr>
                      <w:kern w:val="0"/>
                      <w:sz w:val="21"/>
                      <w:szCs w:val="21"/>
                      <w:lang w:bidi="ar"/>
                    </w:rPr>
                    <w:t>1.8132</w:t>
                  </w:r>
                </w:p>
              </w:tc>
              <w:tc>
                <w:tcPr>
                  <w:tcW w:w="1500" w:type="pct"/>
                  <w:vAlign w:val="center"/>
                </w:tcPr>
                <w:p w14:paraId="63CC6B9D">
                  <w:pPr>
                    <w:widowControl/>
                    <w:adjustRightInd w:val="0"/>
                    <w:snapToGrid w:val="0"/>
                    <w:jc w:val="center"/>
                    <w:textAlignment w:val="center"/>
                    <w:rPr>
                      <w:sz w:val="21"/>
                      <w:szCs w:val="21"/>
                    </w:rPr>
                  </w:pPr>
                  <w:r>
                    <w:rPr>
                      <w:kern w:val="0"/>
                      <w:sz w:val="21"/>
                      <w:szCs w:val="21"/>
                      <w:lang w:bidi="ar"/>
                    </w:rPr>
                    <w:t>覆土、</w:t>
                  </w:r>
                  <w:r>
                    <w:rPr>
                      <w:rFonts w:hint="eastAsia" w:ascii="宋体" w:hAnsi="宋体" w:cs="宋体"/>
                      <w:kern w:val="0"/>
                      <w:sz w:val="21"/>
                      <w:szCs w:val="21"/>
                      <w:lang w:bidi="ar"/>
                    </w:rPr>
                    <w:t>紫穗槐并撒播紫花苜蓿、种植爬山虎</w:t>
                  </w:r>
                </w:p>
              </w:tc>
            </w:tr>
            <w:tr w14:paraId="0C71E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07" w:type="pct"/>
                  <w:vMerge w:val="continue"/>
                  <w:vAlign w:val="center"/>
                </w:tcPr>
                <w:p w14:paraId="1FD9AD67">
                  <w:pPr>
                    <w:jc w:val="center"/>
                    <w:rPr>
                      <w:sz w:val="21"/>
                      <w:szCs w:val="21"/>
                    </w:rPr>
                  </w:pPr>
                </w:p>
              </w:tc>
              <w:tc>
                <w:tcPr>
                  <w:tcW w:w="690" w:type="pct"/>
                  <w:vAlign w:val="center"/>
                </w:tcPr>
                <w:p w14:paraId="14DF6BFA">
                  <w:pPr>
                    <w:widowControl/>
                    <w:jc w:val="center"/>
                    <w:rPr>
                      <w:sz w:val="21"/>
                      <w:szCs w:val="21"/>
                    </w:rPr>
                  </w:pPr>
                  <w:r>
                    <w:rPr>
                      <w:kern w:val="0"/>
                      <w:sz w:val="21"/>
                      <w:szCs w:val="21"/>
                    </w:rPr>
                    <w:t>20</w:t>
                  </w:r>
                  <w:r>
                    <w:rPr>
                      <w:rFonts w:hint="eastAsia"/>
                      <w:kern w:val="0"/>
                      <w:sz w:val="21"/>
                      <w:szCs w:val="21"/>
                    </w:rPr>
                    <w:t>30</w:t>
                  </w:r>
                </w:p>
              </w:tc>
              <w:tc>
                <w:tcPr>
                  <w:tcW w:w="445" w:type="pct"/>
                  <w:vAlign w:val="center"/>
                </w:tcPr>
                <w:p w14:paraId="266889C2">
                  <w:pPr>
                    <w:widowControl/>
                    <w:jc w:val="center"/>
                    <w:rPr>
                      <w:sz w:val="21"/>
                      <w:szCs w:val="21"/>
                    </w:rPr>
                  </w:pPr>
                  <w:r>
                    <w:rPr>
                      <w:kern w:val="0"/>
                      <w:sz w:val="21"/>
                      <w:szCs w:val="21"/>
                    </w:rPr>
                    <w:t>1</w:t>
                  </w:r>
                </w:p>
              </w:tc>
              <w:tc>
                <w:tcPr>
                  <w:tcW w:w="1360" w:type="pct"/>
                  <w:vAlign w:val="center"/>
                </w:tcPr>
                <w:p w14:paraId="039515BC">
                  <w:pPr>
                    <w:jc w:val="center"/>
                    <w:rPr>
                      <w:sz w:val="21"/>
                      <w:szCs w:val="21"/>
                    </w:rPr>
                  </w:pPr>
                  <w:r>
                    <w:rPr>
                      <w:rFonts w:hint="eastAsia"/>
                      <w:sz w:val="21"/>
                      <w:szCs w:val="21"/>
                    </w:rPr>
                    <w:t>露天采场1030m台阶</w:t>
                  </w:r>
                </w:p>
              </w:tc>
              <w:tc>
                <w:tcPr>
                  <w:tcW w:w="598" w:type="pct"/>
                  <w:vAlign w:val="center"/>
                </w:tcPr>
                <w:p w14:paraId="729DD047">
                  <w:pPr>
                    <w:widowControl/>
                    <w:adjustRightInd w:val="0"/>
                    <w:snapToGrid w:val="0"/>
                    <w:jc w:val="center"/>
                    <w:textAlignment w:val="center"/>
                    <w:rPr>
                      <w:sz w:val="21"/>
                      <w:szCs w:val="21"/>
                    </w:rPr>
                  </w:pPr>
                  <w:r>
                    <w:rPr>
                      <w:kern w:val="0"/>
                      <w:sz w:val="21"/>
                      <w:szCs w:val="21"/>
                      <w:lang w:bidi="ar"/>
                    </w:rPr>
                    <w:t>1.1678</w:t>
                  </w:r>
                </w:p>
              </w:tc>
              <w:tc>
                <w:tcPr>
                  <w:tcW w:w="1500" w:type="pct"/>
                  <w:vAlign w:val="center"/>
                </w:tcPr>
                <w:p w14:paraId="33A7C5B9">
                  <w:pPr>
                    <w:widowControl/>
                    <w:adjustRightInd w:val="0"/>
                    <w:snapToGrid w:val="0"/>
                    <w:jc w:val="center"/>
                    <w:textAlignment w:val="center"/>
                    <w:rPr>
                      <w:sz w:val="21"/>
                      <w:szCs w:val="21"/>
                    </w:rPr>
                  </w:pPr>
                  <w:r>
                    <w:rPr>
                      <w:kern w:val="0"/>
                      <w:sz w:val="21"/>
                      <w:szCs w:val="21"/>
                      <w:lang w:bidi="ar"/>
                    </w:rPr>
                    <w:t>覆土、</w:t>
                  </w:r>
                  <w:r>
                    <w:rPr>
                      <w:rFonts w:hint="eastAsia" w:ascii="宋体" w:hAnsi="宋体" w:cs="宋体"/>
                      <w:kern w:val="0"/>
                      <w:sz w:val="21"/>
                      <w:szCs w:val="21"/>
                      <w:lang w:bidi="ar"/>
                    </w:rPr>
                    <w:t>紫穗槐并撒播紫花苜蓿、种植爬山虎</w:t>
                  </w:r>
                </w:p>
              </w:tc>
            </w:tr>
            <w:tr w14:paraId="21FCE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902" w:type="pct"/>
                  <w:gridSpan w:val="4"/>
                  <w:vAlign w:val="center"/>
                </w:tcPr>
                <w:p w14:paraId="214ED614">
                  <w:pPr>
                    <w:widowControl/>
                    <w:jc w:val="center"/>
                    <w:textAlignment w:val="center"/>
                    <w:rPr>
                      <w:sz w:val="21"/>
                      <w:szCs w:val="21"/>
                    </w:rPr>
                  </w:pPr>
                  <w:r>
                    <w:rPr>
                      <w:kern w:val="0"/>
                      <w:sz w:val="21"/>
                      <w:szCs w:val="21"/>
                      <w:lang w:bidi="ar"/>
                    </w:rPr>
                    <w:t>第一阶段小计</w:t>
                  </w:r>
                </w:p>
              </w:tc>
              <w:tc>
                <w:tcPr>
                  <w:tcW w:w="598" w:type="pct"/>
                  <w:vAlign w:val="center"/>
                </w:tcPr>
                <w:p w14:paraId="64E04B02">
                  <w:pPr>
                    <w:jc w:val="center"/>
                    <w:rPr>
                      <w:rFonts w:hint="default" w:eastAsia="宋体"/>
                      <w:sz w:val="21"/>
                      <w:szCs w:val="21"/>
                      <w:lang w:val="en-US" w:eastAsia="zh-CN"/>
                    </w:rPr>
                  </w:pPr>
                  <w:r>
                    <w:rPr>
                      <w:rFonts w:hint="eastAsia"/>
                      <w:sz w:val="21"/>
                      <w:szCs w:val="21"/>
                      <w:lang w:val="en-US" w:eastAsia="zh-CN"/>
                    </w:rPr>
                    <w:t>16.7769</w:t>
                  </w:r>
                </w:p>
              </w:tc>
              <w:tc>
                <w:tcPr>
                  <w:tcW w:w="1500" w:type="pct"/>
                  <w:vAlign w:val="center"/>
                </w:tcPr>
                <w:p w14:paraId="4F7BBC41">
                  <w:pPr>
                    <w:jc w:val="center"/>
                    <w:rPr>
                      <w:sz w:val="21"/>
                      <w:szCs w:val="21"/>
                    </w:rPr>
                  </w:pPr>
                </w:p>
              </w:tc>
            </w:tr>
            <w:tr w14:paraId="12C3D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07" w:type="pct"/>
                  <w:vAlign w:val="center"/>
                </w:tcPr>
                <w:p w14:paraId="4894A8FE">
                  <w:pPr>
                    <w:widowControl/>
                    <w:jc w:val="center"/>
                    <w:textAlignment w:val="center"/>
                    <w:rPr>
                      <w:sz w:val="21"/>
                      <w:szCs w:val="21"/>
                    </w:rPr>
                  </w:pPr>
                  <w:r>
                    <w:rPr>
                      <w:kern w:val="0"/>
                      <w:sz w:val="21"/>
                      <w:szCs w:val="21"/>
                      <w:lang w:bidi="ar"/>
                    </w:rPr>
                    <w:t>二</w:t>
                  </w:r>
                </w:p>
              </w:tc>
              <w:tc>
                <w:tcPr>
                  <w:tcW w:w="690" w:type="pct"/>
                  <w:vAlign w:val="center"/>
                </w:tcPr>
                <w:p w14:paraId="10A52A54">
                  <w:pPr>
                    <w:jc w:val="center"/>
                    <w:rPr>
                      <w:sz w:val="21"/>
                      <w:szCs w:val="21"/>
                    </w:rPr>
                  </w:pPr>
                  <w:r>
                    <w:rPr>
                      <w:sz w:val="21"/>
                      <w:szCs w:val="21"/>
                    </w:rPr>
                    <w:t>2031-2035</w:t>
                  </w:r>
                </w:p>
              </w:tc>
              <w:tc>
                <w:tcPr>
                  <w:tcW w:w="445" w:type="pct"/>
                  <w:vAlign w:val="center"/>
                </w:tcPr>
                <w:p w14:paraId="6703A75D">
                  <w:pPr>
                    <w:widowControl/>
                    <w:jc w:val="center"/>
                    <w:rPr>
                      <w:sz w:val="21"/>
                      <w:szCs w:val="21"/>
                    </w:rPr>
                  </w:pPr>
                  <w:r>
                    <w:rPr>
                      <w:kern w:val="0"/>
                      <w:sz w:val="21"/>
                      <w:szCs w:val="21"/>
                    </w:rPr>
                    <w:t>5</w:t>
                  </w:r>
                </w:p>
              </w:tc>
              <w:tc>
                <w:tcPr>
                  <w:tcW w:w="1360" w:type="pct"/>
                  <w:vAlign w:val="center"/>
                </w:tcPr>
                <w:p w14:paraId="05FBB94C">
                  <w:pPr>
                    <w:jc w:val="center"/>
                    <w:rPr>
                      <w:rFonts w:hint="eastAsia"/>
                      <w:sz w:val="21"/>
                      <w:szCs w:val="21"/>
                    </w:rPr>
                  </w:pPr>
                  <w:r>
                    <w:rPr>
                      <w:rFonts w:hint="eastAsia"/>
                      <w:sz w:val="21"/>
                      <w:szCs w:val="21"/>
                    </w:rPr>
                    <w:t>露天采场</w:t>
                  </w:r>
                </w:p>
                <w:p w14:paraId="6BDAECE3">
                  <w:pPr>
                    <w:jc w:val="center"/>
                    <w:rPr>
                      <w:sz w:val="21"/>
                      <w:szCs w:val="21"/>
                    </w:rPr>
                  </w:pPr>
                  <w:r>
                    <w:rPr>
                      <w:rFonts w:hint="eastAsia"/>
                      <w:sz w:val="21"/>
                      <w:szCs w:val="21"/>
                    </w:rPr>
                    <w:t>10</w:t>
                  </w:r>
                  <w:r>
                    <w:rPr>
                      <w:rFonts w:hint="eastAsia"/>
                      <w:sz w:val="21"/>
                      <w:szCs w:val="21"/>
                      <w:lang w:val="en-US" w:eastAsia="zh-CN"/>
                    </w:rPr>
                    <w:t>15</w:t>
                  </w:r>
                  <w:r>
                    <w:rPr>
                      <w:rFonts w:hint="eastAsia"/>
                      <w:sz w:val="21"/>
                      <w:szCs w:val="21"/>
                    </w:rPr>
                    <w:t>m-</w:t>
                  </w:r>
                  <w:r>
                    <w:rPr>
                      <w:rFonts w:hint="eastAsia"/>
                      <w:sz w:val="21"/>
                      <w:szCs w:val="21"/>
                      <w:lang w:val="en-US" w:eastAsia="zh-CN"/>
                    </w:rPr>
                    <w:t>985</w:t>
                  </w:r>
                  <w:r>
                    <w:rPr>
                      <w:rFonts w:hint="eastAsia"/>
                      <w:sz w:val="21"/>
                      <w:szCs w:val="21"/>
                    </w:rPr>
                    <w:t>m台阶</w:t>
                  </w:r>
                </w:p>
              </w:tc>
              <w:tc>
                <w:tcPr>
                  <w:tcW w:w="598" w:type="pct"/>
                  <w:vAlign w:val="center"/>
                </w:tcPr>
                <w:p w14:paraId="45311B5A">
                  <w:pPr>
                    <w:jc w:val="center"/>
                    <w:rPr>
                      <w:rFonts w:hint="default" w:eastAsia="宋体"/>
                      <w:sz w:val="21"/>
                      <w:szCs w:val="21"/>
                      <w:lang w:val="en-US" w:eastAsia="zh-CN"/>
                    </w:rPr>
                  </w:pPr>
                  <w:r>
                    <w:rPr>
                      <w:rFonts w:hint="eastAsia"/>
                      <w:sz w:val="21"/>
                      <w:szCs w:val="21"/>
                      <w:lang w:val="en-US" w:eastAsia="zh-CN"/>
                    </w:rPr>
                    <w:t>4.1626</w:t>
                  </w:r>
                </w:p>
              </w:tc>
              <w:tc>
                <w:tcPr>
                  <w:tcW w:w="1500" w:type="pct"/>
                  <w:vAlign w:val="center"/>
                </w:tcPr>
                <w:p w14:paraId="6F5980B2">
                  <w:pPr>
                    <w:keepNext w:val="0"/>
                    <w:keepLines w:val="0"/>
                    <w:pageBreakBefore w:val="0"/>
                    <w:widowControl/>
                    <w:kinsoku/>
                    <w:wordWrap/>
                    <w:overflowPunct/>
                    <w:topLinePunct w:val="0"/>
                    <w:autoSpaceDE/>
                    <w:autoSpaceDN/>
                    <w:bidi w:val="0"/>
                    <w:adjustRightInd/>
                    <w:snapToGrid/>
                    <w:ind w:left="0" w:leftChars="0" w:right="0" w:rightChars="0"/>
                    <w:jc w:val="center"/>
                    <w:textAlignment w:val="center"/>
                    <w:rPr>
                      <w:sz w:val="21"/>
                      <w:szCs w:val="21"/>
                    </w:rPr>
                  </w:pPr>
                  <w:r>
                    <w:rPr>
                      <w:kern w:val="0"/>
                      <w:sz w:val="21"/>
                      <w:szCs w:val="21"/>
                      <w:lang w:bidi="ar"/>
                    </w:rPr>
                    <w:t>覆土、灌草种植，栽植爬山虎</w:t>
                  </w:r>
                </w:p>
              </w:tc>
            </w:tr>
            <w:tr w14:paraId="43DF1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07" w:type="pct"/>
                  <w:vAlign w:val="center"/>
                </w:tcPr>
                <w:p w14:paraId="339A8A4C">
                  <w:pPr>
                    <w:widowControl/>
                    <w:jc w:val="center"/>
                    <w:textAlignment w:val="center"/>
                    <w:rPr>
                      <w:sz w:val="21"/>
                      <w:szCs w:val="21"/>
                    </w:rPr>
                  </w:pPr>
                  <w:r>
                    <w:rPr>
                      <w:kern w:val="0"/>
                      <w:sz w:val="21"/>
                      <w:szCs w:val="21"/>
                      <w:lang w:bidi="ar"/>
                    </w:rPr>
                    <w:t>三</w:t>
                  </w:r>
                </w:p>
              </w:tc>
              <w:tc>
                <w:tcPr>
                  <w:tcW w:w="690" w:type="pct"/>
                  <w:vAlign w:val="center"/>
                </w:tcPr>
                <w:p w14:paraId="15421BE8">
                  <w:pPr>
                    <w:jc w:val="center"/>
                    <w:rPr>
                      <w:sz w:val="21"/>
                      <w:szCs w:val="21"/>
                    </w:rPr>
                  </w:pPr>
                  <w:r>
                    <w:rPr>
                      <w:sz w:val="21"/>
                      <w:szCs w:val="21"/>
                    </w:rPr>
                    <w:t>2036</w:t>
                  </w:r>
                  <w:r>
                    <w:rPr>
                      <w:rFonts w:hint="eastAsia"/>
                      <w:sz w:val="21"/>
                      <w:szCs w:val="21"/>
                    </w:rPr>
                    <w:t>-</w:t>
                  </w:r>
                  <w:r>
                    <w:rPr>
                      <w:sz w:val="21"/>
                      <w:szCs w:val="21"/>
                    </w:rPr>
                    <w:t>2040</w:t>
                  </w:r>
                </w:p>
              </w:tc>
              <w:tc>
                <w:tcPr>
                  <w:tcW w:w="445" w:type="pct"/>
                  <w:vAlign w:val="center"/>
                </w:tcPr>
                <w:p w14:paraId="60AC454F">
                  <w:pPr>
                    <w:widowControl/>
                    <w:jc w:val="center"/>
                    <w:rPr>
                      <w:sz w:val="21"/>
                      <w:szCs w:val="21"/>
                    </w:rPr>
                  </w:pPr>
                  <w:r>
                    <w:rPr>
                      <w:kern w:val="0"/>
                      <w:sz w:val="21"/>
                      <w:szCs w:val="21"/>
                    </w:rPr>
                    <w:t>5</w:t>
                  </w:r>
                </w:p>
              </w:tc>
              <w:tc>
                <w:tcPr>
                  <w:tcW w:w="1360" w:type="pct"/>
                  <w:vAlign w:val="center"/>
                </w:tcPr>
                <w:p w14:paraId="1FD0DAAB">
                  <w:pPr>
                    <w:jc w:val="center"/>
                    <w:rPr>
                      <w:rFonts w:hint="eastAsia"/>
                      <w:sz w:val="21"/>
                      <w:szCs w:val="21"/>
                    </w:rPr>
                  </w:pPr>
                  <w:r>
                    <w:rPr>
                      <w:rFonts w:hint="eastAsia"/>
                      <w:sz w:val="21"/>
                      <w:szCs w:val="21"/>
                    </w:rPr>
                    <w:t>露天采场</w:t>
                  </w:r>
                </w:p>
                <w:p w14:paraId="09327F1C">
                  <w:pPr>
                    <w:jc w:val="center"/>
                    <w:rPr>
                      <w:sz w:val="21"/>
                      <w:szCs w:val="21"/>
                    </w:rPr>
                  </w:pPr>
                  <w:r>
                    <w:rPr>
                      <w:rFonts w:hint="eastAsia"/>
                      <w:sz w:val="21"/>
                      <w:szCs w:val="21"/>
                      <w:lang w:val="en-US" w:eastAsia="zh-CN"/>
                    </w:rPr>
                    <w:t>985</w:t>
                  </w:r>
                  <w:r>
                    <w:rPr>
                      <w:rFonts w:hint="eastAsia"/>
                      <w:sz w:val="21"/>
                      <w:szCs w:val="21"/>
                    </w:rPr>
                    <w:t>m-9</w:t>
                  </w:r>
                  <w:r>
                    <w:rPr>
                      <w:rFonts w:hint="eastAsia"/>
                      <w:sz w:val="21"/>
                      <w:szCs w:val="21"/>
                      <w:lang w:val="en-US" w:eastAsia="zh-CN"/>
                    </w:rPr>
                    <w:t>70</w:t>
                  </w:r>
                  <w:r>
                    <w:rPr>
                      <w:rFonts w:hint="eastAsia"/>
                      <w:sz w:val="21"/>
                      <w:szCs w:val="21"/>
                    </w:rPr>
                    <w:t>m台阶</w:t>
                  </w:r>
                </w:p>
              </w:tc>
              <w:tc>
                <w:tcPr>
                  <w:tcW w:w="598" w:type="pct"/>
                  <w:vAlign w:val="center"/>
                </w:tcPr>
                <w:p w14:paraId="363E1C8D">
                  <w:pPr>
                    <w:jc w:val="center"/>
                    <w:rPr>
                      <w:rFonts w:hint="default" w:eastAsia="宋体"/>
                      <w:sz w:val="21"/>
                      <w:szCs w:val="21"/>
                      <w:lang w:val="en-US" w:eastAsia="zh-CN"/>
                    </w:rPr>
                  </w:pPr>
                  <w:r>
                    <w:rPr>
                      <w:rFonts w:hint="eastAsia"/>
                      <w:sz w:val="21"/>
                      <w:szCs w:val="21"/>
                      <w:lang w:val="en-US" w:eastAsia="zh-CN"/>
                    </w:rPr>
                    <w:t>3.5428</w:t>
                  </w:r>
                </w:p>
              </w:tc>
              <w:tc>
                <w:tcPr>
                  <w:tcW w:w="1500" w:type="pct"/>
                  <w:vAlign w:val="center"/>
                </w:tcPr>
                <w:p w14:paraId="4A4BC34D">
                  <w:pPr>
                    <w:keepNext w:val="0"/>
                    <w:keepLines w:val="0"/>
                    <w:pageBreakBefore w:val="0"/>
                    <w:widowControl/>
                    <w:kinsoku/>
                    <w:wordWrap/>
                    <w:overflowPunct/>
                    <w:topLinePunct w:val="0"/>
                    <w:autoSpaceDE/>
                    <w:autoSpaceDN/>
                    <w:bidi w:val="0"/>
                    <w:adjustRightInd/>
                    <w:snapToGrid/>
                    <w:ind w:left="0" w:leftChars="0" w:right="0" w:rightChars="0"/>
                    <w:jc w:val="center"/>
                    <w:textAlignment w:val="center"/>
                    <w:rPr>
                      <w:sz w:val="21"/>
                      <w:szCs w:val="21"/>
                    </w:rPr>
                  </w:pPr>
                  <w:r>
                    <w:rPr>
                      <w:kern w:val="0"/>
                      <w:sz w:val="21"/>
                      <w:szCs w:val="21"/>
                      <w:lang w:bidi="ar"/>
                    </w:rPr>
                    <w:t>覆土、灌草种植，栽植爬山虎</w:t>
                  </w:r>
                </w:p>
              </w:tc>
            </w:tr>
            <w:tr w14:paraId="495C2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07" w:type="pct"/>
                  <w:vAlign w:val="center"/>
                </w:tcPr>
                <w:p w14:paraId="352BD88A">
                  <w:pPr>
                    <w:widowControl/>
                    <w:jc w:val="center"/>
                    <w:textAlignment w:val="center"/>
                    <w:rPr>
                      <w:sz w:val="21"/>
                      <w:szCs w:val="21"/>
                    </w:rPr>
                  </w:pPr>
                  <w:r>
                    <w:rPr>
                      <w:kern w:val="0"/>
                      <w:sz w:val="21"/>
                      <w:szCs w:val="21"/>
                      <w:lang w:bidi="ar"/>
                    </w:rPr>
                    <w:t>四</w:t>
                  </w:r>
                </w:p>
              </w:tc>
              <w:tc>
                <w:tcPr>
                  <w:tcW w:w="690" w:type="pct"/>
                  <w:vAlign w:val="center"/>
                </w:tcPr>
                <w:p w14:paraId="377F05F0">
                  <w:pPr>
                    <w:jc w:val="center"/>
                    <w:rPr>
                      <w:sz w:val="21"/>
                      <w:szCs w:val="21"/>
                    </w:rPr>
                  </w:pPr>
                  <w:r>
                    <w:rPr>
                      <w:sz w:val="21"/>
                      <w:szCs w:val="21"/>
                    </w:rPr>
                    <w:t>2041</w:t>
                  </w:r>
                </w:p>
              </w:tc>
              <w:tc>
                <w:tcPr>
                  <w:tcW w:w="445" w:type="pct"/>
                  <w:noWrap/>
                  <w:vAlign w:val="center"/>
                </w:tcPr>
                <w:p w14:paraId="49EEAD20">
                  <w:pPr>
                    <w:widowControl/>
                    <w:jc w:val="center"/>
                    <w:rPr>
                      <w:sz w:val="21"/>
                      <w:szCs w:val="21"/>
                    </w:rPr>
                  </w:pPr>
                  <w:r>
                    <w:rPr>
                      <w:kern w:val="0"/>
                      <w:sz w:val="21"/>
                      <w:szCs w:val="21"/>
                    </w:rPr>
                    <w:t>2</w:t>
                  </w:r>
                </w:p>
              </w:tc>
              <w:tc>
                <w:tcPr>
                  <w:tcW w:w="1360" w:type="pct"/>
                  <w:vAlign w:val="center"/>
                </w:tcPr>
                <w:p w14:paraId="616872D7">
                  <w:pPr>
                    <w:jc w:val="center"/>
                    <w:rPr>
                      <w:sz w:val="21"/>
                      <w:szCs w:val="21"/>
                    </w:rPr>
                  </w:pPr>
                  <w:r>
                    <w:rPr>
                      <w:rFonts w:hint="eastAsia"/>
                      <w:sz w:val="21"/>
                      <w:szCs w:val="21"/>
                    </w:rPr>
                    <w:t>露天采场底平台、办公生活区、排土场</w:t>
                  </w:r>
                </w:p>
              </w:tc>
              <w:tc>
                <w:tcPr>
                  <w:tcW w:w="598" w:type="pct"/>
                  <w:vAlign w:val="center"/>
                </w:tcPr>
                <w:p w14:paraId="6AEA38AF">
                  <w:pPr>
                    <w:jc w:val="center"/>
                    <w:rPr>
                      <w:rFonts w:hint="default" w:eastAsia="宋体"/>
                      <w:sz w:val="21"/>
                      <w:szCs w:val="21"/>
                      <w:lang w:val="en-US" w:eastAsia="zh-CN"/>
                    </w:rPr>
                  </w:pPr>
                  <w:r>
                    <w:rPr>
                      <w:rFonts w:hint="eastAsia"/>
                      <w:sz w:val="21"/>
                      <w:szCs w:val="21"/>
                      <w:lang w:val="en-US" w:eastAsia="zh-CN"/>
                    </w:rPr>
                    <w:t>8.6450</w:t>
                  </w:r>
                </w:p>
              </w:tc>
              <w:tc>
                <w:tcPr>
                  <w:tcW w:w="1500" w:type="pct"/>
                  <w:vAlign w:val="center"/>
                </w:tcPr>
                <w:p w14:paraId="1C656090">
                  <w:pPr>
                    <w:widowControl/>
                    <w:ind w:left="-105" w:leftChars="-50" w:right="-105" w:rightChars="-50"/>
                    <w:jc w:val="center"/>
                    <w:textAlignment w:val="center"/>
                    <w:rPr>
                      <w:sz w:val="21"/>
                      <w:szCs w:val="21"/>
                    </w:rPr>
                  </w:pPr>
                  <w:r>
                    <w:rPr>
                      <w:rFonts w:hint="eastAsia" w:ascii="宋体" w:hAnsi="宋体" w:cs="宋体"/>
                      <w:kern w:val="0"/>
                      <w:sz w:val="21"/>
                      <w:szCs w:val="21"/>
                      <w:lang w:bidi="ar"/>
                    </w:rPr>
                    <w:t>覆土、种植</w:t>
                  </w:r>
                  <w:r>
                    <w:rPr>
                      <w:rFonts w:hint="eastAsia" w:ascii="宋体" w:hAnsi="宋体" w:cs="宋体"/>
                      <w:kern w:val="0"/>
                      <w:sz w:val="21"/>
                      <w:szCs w:val="21"/>
                      <w:lang w:val="en-US" w:eastAsia="zh-CN" w:bidi="ar"/>
                    </w:rPr>
                    <w:t>油松</w:t>
                  </w:r>
                  <w:r>
                    <w:rPr>
                      <w:rFonts w:hint="eastAsia" w:ascii="宋体" w:hAnsi="宋体" w:cs="宋体"/>
                      <w:kern w:val="0"/>
                      <w:sz w:val="21"/>
                      <w:szCs w:val="21"/>
                      <w:lang w:bidi="ar"/>
                    </w:rPr>
                    <w:t>、紫穗槐并撒播紫花苜蓿、种植爬山虎</w:t>
                  </w:r>
                </w:p>
              </w:tc>
            </w:tr>
            <w:tr w14:paraId="6D7A7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07" w:type="pct"/>
                  <w:vAlign w:val="center"/>
                </w:tcPr>
                <w:p w14:paraId="5DD1B0F9">
                  <w:pPr>
                    <w:widowControl/>
                    <w:jc w:val="center"/>
                    <w:textAlignment w:val="center"/>
                    <w:rPr>
                      <w:kern w:val="0"/>
                      <w:sz w:val="21"/>
                      <w:szCs w:val="21"/>
                      <w:lang w:bidi="ar"/>
                    </w:rPr>
                  </w:pPr>
                  <w:r>
                    <w:rPr>
                      <w:rFonts w:hint="eastAsia"/>
                      <w:kern w:val="0"/>
                      <w:sz w:val="21"/>
                      <w:szCs w:val="21"/>
                      <w:lang w:bidi="ar"/>
                    </w:rPr>
                    <w:t>五</w:t>
                  </w:r>
                </w:p>
              </w:tc>
              <w:tc>
                <w:tcPr>
                  <w:tcW w:w="690" w:type="pct"/>
                  <w:vAlign w:val="center"/>
                </w:tcPr>
                <w:p w14:paraId="04863265">
                  <w:pPr>
                    <w:widowControl/>
                    <w:jc w:val="center"/>
                    <w:rPr>
                      <w:kern w:val="0"/>
                      <w:sz w:val="21"/>
                      <w:szCs w:val="21"/>
                      <w:lang w:bidi="ar"/>
                    </w:rPr>
                  </w:pPr>
                  <w:r>
                    <w:rPr>
                      <w:kern w:val="0"/>
                      <w:sz w:val="21"/>
                      <w:szCs w:val="21"/>
                    </w:rPr>
                    <w:t>20</w:t>
                  </w:r>
                  <w:r>
                    <w:rPr>
                      <w:rFonts w:hint="eastAsia"/>
                      <w:kern w:val="0"/>
                      <w:sz w:val="21"/>
                      <w:szCs w:val="21"/>
                    </w:rPr>
                    <w:t>4</w:t>
                  </w:r>
                  <w:r>
                    <w:rPr>
                      <w:kern w:val="0"/>
                      <w:sz w:val="21"/>
                      <w:szCs w:val="21"/>
                    </w:rPr>
                    <w:t>2-20</w:t>
                  </w:r>
                  <w:r>
                    <w:rPr>
                      <w:rFonts w:hint="eastAsia"/>
                      <w:kern w:val="0"/>
                      <w:sz w:val="21"/>
                      <w:szCs w:val="21"/>
                    </w:rPr>
                    <w:t>4</w:t>
                  </w:r>
                  <w:r>
                    <w:rPr>
                      <w:kern w:val="0"/>
                      <w:sz w:val="21"/>
                      <w:szCs w:val="21"/>
                    </w:rPr>
                    <w:t>4</w:t>
                  </w:r>
                </w:p>
              </w:tc>
              <w:tc>
                <w:tcPr>
                  <w:tcW w:w="445" w:type="pct"/>
                  <w:vAlign w:val="center"/>
                </w:tcPr>
                <w:p w14:paraId="26B9C576">
                  <w:pPr>
                    <w:widowControl/>
                    <w:jc w:val="center"/>
                    <w:rPr>
                      <w:kern w:val="0"/>
                      <w:sz w:val="21"/>
                      <w:szCs w:val="21"/>
                      <w:lang w:bidi="ar"/>
                    </w:rPr>
                  </w:pPr>
                  <w:r>
                    <w:rPr>
                      <w:kern w:val="0"/>
                      <w:sz w:val="21"/>
                      <w:szCs w:val="21"/>
                    </w:rPr>
                    <w:t>1</w:t>
                  </w:r>
                </w:p>
              </w:tc>
              <w:tc>
                <w:tcPr>
                  <w:tcW w:w="1360" w:type="pct"/>
                  <w:vAlign w:val="center"/>
                </w:tcPr>
                <w:p w14:paraId="5F3409A5">
                  <w:pPr>
                    <w:jc w:val="center"/>
                    <w:rPr>
                      <w:sz w:val="21"/>
                      <w:szCs w:val="21"/>
                    </w:rPr>
                  </w:pPr>
                  <w:r>
                    <w:rPr>
                      <w:rFonts w:hint="eastAsia"/>
                      <w:sz w:val="21"/>
                      <w:szCs w:val="21"/>
                    </w:rPr>
                    <w:t>复垦区域</w:t>
                  </w:r>
                </w:p>
              </w:tc>
              <w:tc>
                <w:tcPr>
                  <w:tcW w:w="598" w:type="pct"/>
                  <w:vAlign w:val="center"/>
                </w:tcPr>
                <w:p w14:paraId="6D1DD0A3">
                  <w:pPr>
                    <w:widowControl/>
                    <w:jc w:val="center"/>
                    <w:textAlignment w:val="center"/>
                    <w:rPr>
                      <w:kern w:val="0"/>
                      <w:sz w:val="21"/>
                      <w:szCs w:val="21"/>
                      <w:lang w:bidi="ar"/>
                    </w:rPr>
                  </w:pPr>
                  <w:r>
                    <w:rPr>
                      <w:kern w:val="0"/>
                      <w:sz w:val="21"/>
                      <w:szCs w:val="21"/>
                      <w:lang w:bidi="ar"/>
                    </w:rPr>
                    <w:t>——</w:t>
                  </w:r>
                </w:p>
              </w:tc>
              <w:tc>
                <w:tcPr>
                  <w:tcW w:w="1500" w:type="pct"/>
                  <w:vAlign w:val="center"/>
                </w:tcPr>
                <w:p w14:paraId="19B13FE5">
                  <w:pPr>
                    <w:widowControl/>
                    <w:jc w:val="center"/>
                    <w:textAlignment w:val="center"/>
                    <w:rPr>
                      <w:kern w:val="0"/>
                      <w:sz w:val="21"/>
                      <w:szCs w:val="21"/>
                      <w:lang w:bidi="ar"/>
                    </w:rPr>
                  </w:pPr>
                  <w:r>
                    <w:rPr>
                      <w:kern w:val="0"/>
                      <w:sz w:val="21"/>
                      <w:szCs w:val="21"/>
                      <w:lang w:bidi="ar"/>
                    </w:rPr>
                    <w:t>监测管护</w:t>
                  </w:r>
                </w:p>
              </w:tc>
            </w:tr>
            <w:tr w14:paraId="0CA8D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97" w:type="pct"/>
                  <w:gridSpan w:val="2"/>
                  <w:vAlign w:val="center"/>
                </w:tcPr>
                <w:p w14:paraId="204E97B0">
                  <w:pPr>
                    <w:widowControl/>
                    <w:jc w:val="center"/>
                    <w:textAlignment w:val="center"/>
                    <w:rPr>
                      <w:sz w:val="21"/>
                      <w:szCs w:val="21"/>
                    </w:rPr>
                  </w:pPr>
                  <w:r>
                    <w:rPr>
                      <w:kern w:val="0"/>
                      <w:sz w:val="21"/>
                      <w:szCs w:val="21"/>
                      <w:lang w:bidi="ar"/>
                    </w:rPr>
                    <w:t>合计</w:t>
                  </w:r>
                </w:p>
              </w:tc>
              <w:tc>
                <w:tcPr>
                  <w:tcW w:w="445" w:type="pct"/>
                  <w:vAlign w:val="center"/>
                </w:tcPr>
                <w:p w14:paraId="00ECFCE2">
                  <w:pPr>
                    <w:widowControl/>
                    <w:jc w:val="center"/>
                    <w:textAlignment w:val="center"/>
                    <w:rPr>
                      <w:sz w:val="21"/>
                      <w:szCs w:val="21"/>
                    </w:rPr>
                  </w:pPr>
                  <w:r>
                    <w:rPr>
                      <w:rFonts w:hint="eastAsia"/>
                      <w:kern w:val="0"/>
                      <w:sz w:val="21"/>
                      <w:szCs w:val="21"/>
                      <w:lang w:bidi="ar"/>
                    </w:rPr>
                    <w:t>21</w:t>
                  </w:r>
                </w:p>
              </w:tc>
              <w:tc>
                <w:tcPr>
                  <w:tcW w:w="1360" w:type="pct"/>
                  <w:vAlign w:val="center"/>
                </w:tcPr>
                <w:p w14:paraId="1DE7E92A">
                  <w:pPr>
                    <w:widowControl/>
                    <w:jc w:val="center"/>
                    <w:textAlignment w:val="center"/>
                    <w:rPr>
                      <w:sz w:val="21"/>
                      <w:szCs w:val="21"/>
                    </w:rPr>
                  </w:pPr>
                  <w:r>
                    <w:rPr>
                      <w:kern w:val="0"/>
                      <w:sz w:val="21"/>
                      <w:szCs w:val="21"/>
                      <w:lang w:bidi="ar"/>
                    </w:rPr>
                    <w:t>——</w:t>
                  </w:r>
                </w:p>
              </w:tc>
              <w:tc>
                <w:tcPr>
                  <w:tcW w:w="598" w:type="pct"/>
                  <w:vAlign w:val="center"/>
                </w:tcPr>
                <w:p w14:paraId="2EB7C5AA">
                  <w:pPr>
                    <w:widowControl/>
                    <w:jc w:val="center"/>
                    <w:textAlignment w:val="center"/>
                    <w:rPr>
                      <w:rFonts w:hint="default" w:eastAsia="宋体"/>
                      <w:sz w:val="21"/>
                      <w:szCs w:val="21"/>
                      <w:lang w:val="en-US" w:eastAsia="zh-CN"/>
                    </w:rPr>
                  </w:pPr>
                  <w:r>
                    <w:rPr>
                      <w:kern w:val="0"/>
                      <w:sz w:val="21"/>
                      <w:szCs w:val="21"/>
                      <w:lang w:bidi="ar"/>
                    </w:rPr>
                    <w:t>33.</w:t>
                  </w:r>
                  <w:r>
                    <w:rPr>
                      <w:rFonts w:hint="eastAsia"/>
                      <w:kern w:val="0"/>
                      <w:sz w:val="21"/>
                      <w:szCs w:val="21"/>
                      <w:lang w:val="en-US" w:eastAsia="zh-CN" w:bidi="ar"/>
                    </w:rPr>
                    <w:t>1273</w:t>
                  </w:r>
                </w:p>
              </w:tc>
              <w:tc>
                <w:tcPr>
                  <w:tcW w:w="1500" w:type="pct"/>
                  <w:noWrap/>
                  <w:vAlign w:val="center"/>
                </w:tcPr>
                <w:p w14:paraId="32E253AE">
                  <w:pPr>
                    <w:rPr>
                      <w:sz w:val="21"/>
                      <w:szCs w:val="21"/>
                    </w:rPr>
                  </w:pPr>
                </w:p>
              </w:tc>
            </w:tr>
            <w:bookmarkEnd w:id="29"/>
          </w:tbl>
          <w:p w14:paraId="10ED198B">
            <w:pPr>
              <w:keepNext w:val="0"/>
              <w:keepLines w:val="0"/>
              <w:pageBreakBefore w:val="0"/>
              <w:widowControl/>
              <w:kinsoku/>
              <w:wordWrap/>
              <w:overflowPunct/>
              <w:topLinePunct w:val="0"/>
              <w:bidi w:val="0"/>
              <w:spacing w:line="480" w:lineRule="exact"/>
              <w:ind w:firstLine="480" w:firstLineChars="200"/>
              <w:textAlignment w:val="auto"/>
              <w:rPr>
                <w:kern w:val="0"/>
                <w:sz w:val="24"/>
                <w:lang w:bidi="ar"/>
              </w:rPr>
            </w:pPr>
            <w:r>
              <w:rPr>
                <w:rFonts w:hint="eastAsia"/>
                <w:kern w:val="0"/>
                <w:sz w:val="24"/>
                <w:lang w:bidi="ar"/>
              </w:rPr>
              <w:t>（5）生态监测</w:t>
            </w:r>
          </w:p>
          <w:p w14:paraId="4A6EC9B8">
            <w:pPr>
              <w:pStyle w:val="21"/>
              <w:keepNext w:val="0"/>
              <w:keepLines w:val="0"/>
              <w:pageBreakBefore w:val="0"/>
              <w:widowControl w:val="0"/>
              <w:kinsoku/>
              <w:wordWrap/>
              <w:overflowPunct/>
              <w:topLinePunct w:val="0"/>
              <w:autoSpaceDE w:val="0"/>
              <w:autoSpaceDN w:val="0"/>
              <w:bidi w:val="0"/>
              <w:spacing w:before="0" w:beforeAutospacing="0" w:after="0" w:afterAutospacing="0" w:line="480" w:lineRule="exact"/>
              <w:ind w:firstLine="480" w:firstLineChars="200"/>
              <w:textAlignment w:val="auto"/>
            </w:pPr>
            <w:r>
              <w:rPr>
                <w:rFonts w:hint="eastAsia"/>
              </w:rPr>
              <w:t>通过人工监测，监测设计采场等地表植被的类型及面积，植被监测选灌丛和草丛进行连续的监测，监测其植物种群是否发生新的变化；以及水土流失模数是否发生新的变化。</w:t>
            </w:r>
          </w:p>
          <w:p w14:paraId="49675A8E">
            <w:pPr>
              <w:pStyle w:val="21"/>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480" w:lineRule="exact"/>
              <w:ind w:firstLine="480" w:firstLineChars="200"/>
              <w:textAlignment w:val="auto"/>
            </w:pPr>
            <w:r>
              <w:rPr>
                <w:rFonts w:hint="eastAsia"/>
              </w:rPr>
              <w:t>1.监测项目</w:t>
            </w:r>
          </w:p>
          <w:p w14:paraId="293FC0FE">
            <w:pPr>
              <w:pStyle w:val="21"/>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480" w:lineRule="exact"/>
              <w:ind w:firstLine="480" w:firstLineChars="200"/>
              <w:textAlignment w:val="auto"/>
            </w:pPr>
            <w:r>
              <w:rPr>
                <w:rFonts w:hint="eastAsia"/>
              </w:rPr>
              <w:t>植被类型，生物多样性，植物群落高度，生物量，盖度，植树成活率，植物群落内土壤有机质、</w:t>
            </w:r>
            <w:r>
              <w:rPr>
                <w:rFonts w:ascii="Times New Roman" w:hAnsi="Times New Roman"/>
              </w:rPr>
              <w:t>N、P、K</w:t>
            </w:r>
            <w:r>
              <w:rPr>
                <w:rFonts w:hint="eastAsia"/>
              </w:rPr>
              <w:t>，土壤侵蚀强度。</w:t>
            </w:r>
          </w:p>
          <w:p w14:paraId="60026AED">
            <w:pPr>
              <w:pStyle w:val="21"/>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480" w:lineRule="exact"/>
              <w:ind w:firstLine="480" w:firstLineChars="200"/>
              <w:textAlignment w:val="auto"/>
            </w:pPr>
            <w:r>
              <w:rPr>
                <w:rFonts w:hint="eastAsia"/>
              </w:rPr>
              <w:t>2.监测点布设</w:t>
            </w:r>
          </w:p>
          <w:p w14:paraId="61F31D7F">
            <w:pPr>
              <w:keepNext w:val="0"/>
              <w:keepLines w:val="0"/>
              <w:pageBreakBefore w:val="0"/>
              <w:kinsoku/>
              <w:wordWrap/>
              <w:overflowPunct/>
              <w:topLinePunct w:val="0"/>
              <w:bidi w:val="0"/>
              <w:spacing w:line="480" w:lineRule="exact"/>
              <w:ind w:firstLine="480" w:firstLineChars="200"/>
              <w:textAlignment w:val="auto"/>
              <w:rPr>
                <w:sz w:val="24"/>
              </w:rPr>
            </w:pPr>
            <w:r>
              <w:rPr>
                <w:rFonts w:hint="eastAsia"/>
                <w:sz w:val="24"/>
              </w:rPr>
              <w:t>采矿活动影响范围；点位主要为设计采场、现状采场、</w:t>
            </w:r>
            <w:r>
              <w:rPr>
                <w:rFonts w:hint="eastAsia"/>
                <w:sz w:val="24"/>
                <w:lang w:bidi="ar"/>
              </w:rPr>
              <w:t>新建运矿</w:t>
            </w:r>
            <w:r>
              <w:rPr>
                <w:rFonts w:hint="eastAsia"/>
                <w:sz w:val="24"/>
              </w:rPr>
              <w:t>道路设11个监测点。</w:t>
            </w:r>
          </w:p>
          <w:p w14:paraId="42E969E2">
            <w:pPr>
              <w:keepNext w:val="0"/>
              <w:keepLines w:val="0"/>
              <w:pageBreakBefore w:val="0"/>
              <w:kinsoku/>
              <w:wordWrap/>
              <w:overflowPunct/>
              <w:topLinePunct w:val="0"/>
              <w:bidi w:val="0"/>
              <w:spacing w:line="480" w:lineRule="exact"/>
              <w:ind w:firstLine="480" w:firstLineChars="200"/>
              <w:textAlignment w:val="auto"/>
              <w:rPr>
                <w:rFonts w:ascii="宋体" w:hAnsi="宋体"/>
                <w:kern w:val="0"/>
                <w:sz w:val="24"/>
              </w:rPr>
            </w:pPr>
            <w:r>
              <w:rPr>
                <w:rFonts w:hint="eastAsia" w:ascii="宋体" w:hAnsi="宋体"/>
                <w:kern w:val="0"/>
                <w:sz w:val="24"/>
              </w:rPr>
              <w:t>3.监测频次</w:t>
            </w:r>
          </w:p>
          <w:p w14:paraId="70652BD0">
            <w:pPr>
              <w:keepNext w:val="0"/>
              <w:keepLines w:val="0"/>
              <w:pageBreakBefore w:val="0"/>
              <w:kinsoku/>
              <w:wordWrap/>
              <w:overflowPunct/>
              <w:topLinePunct w:val="0"/>
              <w:bidi w:val="0"/>
              <w:spacing w:line="480" w:lineRule="exact"/>
              <w:ind w:firstLine="480" w:firstLineChars="200"/>
              <w:textAlignment w:val="auto"/>
              <w:rPr>
                <w:sz w:val="24"/>
              </w:rPr>
            </w:pPr>
            <w:r>
              <w:rPr>
                <w:rFonts w:hint="eastAsia"/>
                <w:sz w:val="24"/>
              </w:rPr>
              <w:t>每年一次。</w:t>
            </w:r>
          </w:p>
          <w:p w14:paraId="3237F9A2">
            <w:pPr>
              <w:keepNext w:val="0"/>
              <w:keepLines w:val="0"/>
              <w:pageBreakBefore w:val="0"/>
              <w:kinsoku/>
              <w:wordWrap/>
              <w:overflowPunct/>
              <w:topLinePunct w:val="0"/>
              <w:bidi w:val="0"/>
              <w:spacing w:line="480" w:lineRule="exact"/>
              <w:ind w:firstLine="480" w:firstLineChars="200"/>
              <w:textAlignment w:val="auto"/>
              <w:rPr>
                <w:sz w:val="24"/>
              </w:rPr>
            </w:pPr>
            <w:r>
              <w:rPr>
                <w:rFonts w:hint="eastAsia"/>
                <w:sz w:val="24"/>
              </w:rPr>
              <w:t>4.监测技术方法</w:t>
            </w:r>
          </w:p>
          <w:p w14:paraId="064EE8C7">
            <w:pPr>
              <w:keepNext w:val="0"/>
              <w:keepLines w:val="0"/>
              <w:pageBreakBefore w:val="0"/>
              <w:kinsoku/>
              <w:wordWrap/>
              <w:overflowPunct/>
              <w:topLinePunct w:val="0"/>
              <w:bidi w:val="0"/>
              <w:spacing w:line="480" w:lineRule="exact"/>
              <w:ind w:firstLine="480" w:firstLineChars="200"/>
              <w:textAlignment w:val="auto"/>
              <w:rPr>
                <w:sz w:val="24"/>
              </w:rPr>
            </w:pPr>
            <w:r>
              <w:rPr>
                <w:rFonts w:hint="eastAsia"/>
                <w:sz w:val="24"/>
              </w:rPr>
              <w:t>a.植被类型监测：采取遥感解析的方式进行；</w:t>
            </w:r>
          </w:p>
          <w:p w14:paraId="643DE09D">
            <w:pPr>
              <w:pStyle w:val="2"/>
              <w:keepNext w:val="0"/>
              <w:keepLines w:val="0"/>
              <w:pageBreakBefore w:val="0"/>
              <w:kinsoku/>
              <w:wordWrap/>
              <w:overflowPunct/>
              <w:topLinePunct w:val="0"/>
              <w:bidi w:val="0"/>
              <w:spacing w:after="0" w:line="480" w:lineRule="exact"/>
              <w:ind w:left="0" w:leftChars="0" w:firstLine="480" w:firstLineChars="200"/>
              <w:textAlignment w:val="auto"/>
              <w:rPr>
                <w:sz w:val="24"/>
              </w:rPr>
            </w:pPr>
            <w:r>
              <w:rPr>
                <w:rFonts w:hint="eastAsia"/>
                <w:sz w:val="24"/>
              </w:rPr>
              <w:t>b.生物多样性监测：采用香农-威纳多样性指数表征。</w:t>
            </w:r>
          </w:p>
          <w:p w14:paraId="155E0288">
            <w:pPr>
              <w:keepNext w:val="0"/>
              <w:keepLines w:val="0"/>
              <w:pageBreakBefore w:val="0"/>
              <w:kinsoku/>
              <w:wordWrap/>
              <w:overflowPunct/>
              <w:topLinePunct w:val="0"/>
              <w:bidi w:val="0"/>
              <w:spacing w:line="480" w:lineRule="exact"/>
              <w:ind w:firstLine="480" w:firstLineChars="200"/>
              <w:textAlignment w:val="auto"/>
            </w:pPr>
            <w:r>
              <w:rPr>
                <w:rFonts w:hint="eastAsia"/>
                <w:sz w:val="24"/>
              </w:rPr>
              <w:t>c.植物群落高度等监测：采用样地法对植物群落高度、盖度、生物量及植树成活率进行监测。</w:t>
            </w:r>
          </w:p>
          <w:p w14:paraId="490E5E42">
            <w:pPr>
              <w:keepNext w:val="0"/>
              <w:keepLines w:val="0"/>
              <w:pageBreakBefore w:val="0"/>
              <w:widowControl/>
              <w:numPr>
                <w:ilvl w:val="0"/>
                <w:numId w:val="2"/>
              </w:numPr>
              <w:kinsoku/>
              <w:wordWrap/>
              <w:overflowPunct/>
              <w:topLinePunct w:val="0"/>
              <w:bidi w:val="0"/>
              <w:spacing w:line="480" w:lineRule="exact"/>
              <w:textAlignment w:val="auto"/>
              <w:rPr>
                <w:b/>
                <w:bCs/>
                <w:kern w:val="0"/>
                <w:sz w:val="24"/>
                <w:lang w:bidi="ar"/>
              </w:rPr>
            </w:pPr>
            <w:r>
              <w:rPr>
                <w:b/>
                <w:bCs/>
                <w:kern w:val="0"/>
                <w:sz w:val="24"/>
                <w:lang w:bidi="ar"/>
              </w:rPr>
              <w:t>运营期污染防治措施</w:t>
            </w:r>
          </w:p>
          <w:p w14:paraId="2C29FD88">
            <w:pPr>
              <w:keepNext w:val="0"/>
              <w:keepLines w:val="0"/>
              <w:pageBreakBefore w:val="0"/>
              <w:widowControl/>
              <w:kinsoku/>
              <w:wordWrap/>
              <w:overflowPunct/>
              <w:topLinePunct w:val="0"/>
              <w:bidi w:val="0"/>
              <w:spacing w:line="480" w:lineRule="exact"/>
              <w:ind w:firstLine="482" w:firstLineChars="200"/>
              <w:textAlignment w:val="auto"/>
              <w:rPr>
                <w:b/>
                <w:bCs/>
                <w:kern w:val="0"/>
                <w:sz w:val="24"/>
                <w:lang w:bidi="ar"/>
              </w:rPr>
            </w:pPr>
            <w:r>
              <w:rPr>
                <w:rFonts w:hint="eastAsia"/>
                <w:b/>
                <w:bCs/>
                <w:kern w:val="0"/>
                <w:sz w:val="24"/>
                <w:lang w:bidi="ar"/>
              </w:rPr>
              <w:t>1.大气污染防治措施</w:t>
            </w:r>
          </w:p>
          <w:p w14:paraId="06E4854E">
            <w:pPr>
              <w:keepNext w:val="0"/>
              <w:keepLines w:val="0"/>
              <w:pageBreakBefore w:val="0"/>
              <w:widowControl/>
              <w:kinsoku/>
              <w:wordWrap/>
              <w:overflowPunct/>
              <w:topLinePunct w:val="0"/>
              <w:bidi w:val="0"/>
              <w:spacing w:line="480" w:lineRule="exact"/>
              <w:ind w:firstLine="480" w:firstLineChars="200"/>
              <w:textAlignment w:val="auto"/>
              <w:rPr>
                <w:color w:val="auto"/>
                <w:kern w:val="0"/>
                <w:sz w:val="24"/>
                <w:highlight w:val="none"/>
                <w:lang w:bidi="ar"/>
              </w:rPr>
            </w:pPr>
            <w:r>
              <w:rPr>
                <w:rFonts w:hint="eastAsia"/>
                <w:color w:val="auto"/>
                <w:kern w:val="0"/>
                <w:sz w:val="24"/>
                <w:highlight w:val="none"/>
                <w:lang w:bidi="ar"/>
              </w:rPr>
              <w:t>本项目运营期废气主要包括开采过程中采剥粉尘、切割粉尘、采装作业粉尘、运输道路扬尘、排土场堆排作业粉尘。</w:t>
            </w:r>
          </w:p>
          <w:p w14:paraId="5748AE32">
            <w:pPr>
              <w:keepNext w:val="0"/>
              <w:keepLines w:val="0"/>
              <w:pageBreakBefore w:val="0"/>
              <w:widowControl/>
              <w:kinsoku/>
              <w:wordWrap/>
              <w:overflowPunct/>
              <w:topLinePunct w:val="0"/>
              <w:bidi w:val="0"/>
              <w:spacing w:line="480" w:lineRule="exact"/>
              <w:ind w:firstLine="480" w:firstLineChars="200"/>
              <w:textAlignment w:val="auto"/>
              <w:rPr>
                <w:rFonts w:hint="eastAsia"/>
                <w:color w:val="auto"/>
                <w:kern w:val="0"/>
                <w:sz w:val="24"/>
                <w:highlight w:val="none"/>
                <w:lang w:bidi="ar"/>
              </w:rPr>
            </w:pPr>
            <w:r>
              <w:rPr>
                <w:rFonts w:hint="eastAsia"/>
                <w:color w:val="auto"/>
                <w:kern w:val="0"/>
                <w:sz w:val="24"/>
                <w:highlight w:val="none"/>
                <w:lang w:bidi="ar"/>
              </w:rPr>
              <w:t>（1）采剥粉尘</w:t>
            </w:r>
          </w:p>
          <w:p w14:paraId="45E9D5FE">
            <w:pPr>
              <w:keepNext w:val="0"/>
              <w:keepLines w:val="0"/>
              <w:pageBreakBefore w:val="0"/>
              <w:widowControl/>
              <w:kinsoku/>
              <w:wordWrap/>
              <w:overflowPunct/>
              <w:topLinePunct w:val="0"/>
              <w:bidi w:val="0"/>
              <w:spacing w:line="480" w:lineRule="exact"/>
              <w:ind w:firstLine="480" w:firstLineChars="200"/>
              <w:textAlignment w:val="auto"/>
              <w:rPr>
                <w:rFonts w:hint="eastAsia"/>
                <w:color w:val="auto"/>
                <w:kern w:val="0"/>
                <w:sz w:val="24"/>
                <w:highlight w:val="none"/>
                <w:lang w:bidi="ar"/>
              </w:rPr>
            </w:pPr>
            <w:r>
              <w:rPr>
                <w:rFonts w:hint="eastAsia"/>
                <w:color w:val="auto"/>
                <w:kern w:val="0"/>
                <w:sz w:val="24"/>
                <w:highlight w:val="none"/>
                <w:lang w:bidi="ar"/>
              </w:rPr>
              <w:t>露天开采工作面采用雾炮车喷雾洒水抑尘，工作面配备1台雾炮车。</w:t>
            </w:r>
          </w:p>
          <w:p w14:paraId="03AEBDD1">
            <w:pPr>
              <w:keepNext w:val="0"/>
              <w:keepLines w:val="0"/>
              <w:pageBreakBefore w:val="0"/>
              <w:widowControl/>
              <w:kinsoku/>
              <w:wordWrap/>
              <w:overflowPunct/>
              <w:topLinePunct w:val="0"/>
              <w:bidi w:val="0"/>
              <w:spacing w:line="480" w:lineRule="exact"/>
              <w:ind w:firstLine="480" w:firstLineChars="200"/>
              <w:textAlignment w:val="auto"/>
              <w:rPr>
                <w:color w:val="auto"/>
                <w:kern w:val="0"/>
                <w:sz w:val="24"/>
                <w:highlight w:val="none"/>
                <w:lang w:bidi="ar"/>
              </w:rPr>
            </w:pPr>
            <w:r>
              <w:rPr>
                <w:rFonts w:hint="eastAsia"/>
                <w:color w:val="auto"/>
                <w:kern w:val="0"/>
                <w:sz w:val="24"/>
                <w:highlight w:val="none"/>
                <w:lang w:bidi="ar"/>
              </w:rPr>
              <w:t>采剥及采装粉尘</w:t>
            </w:r>
          </w:p>
          <w:p w14:paraId="6211B3BA">
            <w:pPr>
              <w:keepNext w:val="0"/>
              <w:keepLines w:val="0"/>
              <w:pageBreakBefore w:val="0"/>
              <w:widowControl/>
              <w:kinsoku/>
              <w:wordWrap/>
              <w:overflowPunct/>
              <w:topLinePunct w:val="0"/>
              <w:bidi w:val="0"/>
              <w:spacing w:line="480" w:lineRule="exact"/>
              <w:ind w:firstLine="480" w:firstLineChars="200"/>
              <w:textAlignment w:val="auto"/>
              <w:rPr>
                <w:color w:val="auto"/>
                <w:kern w:val="0"/>
                <w:sz w:val="24"/>
                <w:highlight w:val="none"/>
                <w:lang w:bidi="ar"/>
              </w:rPr>
            </w:pPr>
            <w:r>
              <w:rPr>
                <w:rFonts w:hint="eastAsia"/>
                <w:color w:val="auto"/>
                <w:kern w:val="0"/>
                <w:sz w:val="24"/>
                <w:highlight w:val="none"/>
                <w:lang w:bidi="ar"/>
              </w:rPr>
              <w:t>（2）采装粉尘</w:t>
            </w:r>
          </w:p>
          <w:p w14:paraId="46E4F5E2">
            <w:pPr>
              <w:keepNext w:val="0"/>
              <w:keepLines w:val="0"/>
              <w:pageBreakBefore w:val="0"/>
              <w:widowControl/>
              <w:kinsoku/>
              <w:wordWrap/>
              <w:overflowPunct/>
              <w:topLinePunct w:val="0"/>
              <w:bidi w:val="0"/>
              <w:spacing w:line="480" w:lineRule="exact"/>
              <w:ind w:firstLine="480" w:firstLineChars="200"/>
              <w:textAlignment w:val="auto"/>
              <w:rPr>
                <w:rFonts w:hint="eastAsia" w:eastAsia="宋体"/>
                <w:color w:val="auto"/>
                <w:kern w:val="0"/>
                <w:sz w:val="24"/>
                <w:highlight w:val="none"/>
                <w:lang w:eastAsia="zh-CN" w:bidi="ar"/>
              </w:rPr>
            </w:pPr>
            <w:r>
              <w:rPr>
                <w:rFonts w:hint="eastAsia"/>
                <w:color w:val="auto"/>
                <w:kern w:val="0"/>
                <w:sz w:val="24"/>
                <w:highlight w:val="none"/>
                <w:lang w:bidi="ar"/>
              </w:rPr>
              <w:t>物料装卸过程中采用雾炮机定点喷雾降尘，装卸点配备2台雾炮机</w:t>
            </w:r>
            <w:r>
              <w:rPr>
                <w:rFonts w:hint="eastAsia"/>
                <w:color w:val="auto"/>
                <w:kern w:val="0"/>
                <w:sz w:val="24"/>
                <w:highlight w:val="none"/>
                <w:lang w:eastAsia="zh-CN" w:bidi="ar"/>
              </w:rPr>
              <w:t>。</w:t>
            </w:r>
          </w:p>
          <w:p w14:paraId="124C9015">
            <w:pPr>
              <w:keepNext w:val="0"/>
              <w:keepLines w:val="0"/>
              <w:pageBreakBefore w:val="0"/>
              <w:widowControl/>
              <w:kinsoku/>
              <w:wordWrap/>
              <w:overflowPunct/>
              <w:topLinePunct w:val="0"/>
              <w:bidi w:val="0"/>
              <w:spacing w:line="480" w:lineRule="exact"/>
              <w:ind w:firstLine="480" w:firstLineChars="200"/>
              <w:textAlignment w:val="auto"/>
              <w:rPr>
                <w:rFonts w:hint="eastAsia"/>
                <w:color w:val="auto"/>
                <w:kern w:val="0"/>
                <w:sz w:val="24"/>
                <w:highlight w:val="none"/>
                <w:lang w:bidi="ar"/>
              </w:rPr>
            </w:pPr>
            <w:r>
              <w:rPr>
                <w:rFonts w:hint="eastAsia"/>
                <w:color w:val="auto"/>
                <w:kern w:val="0"/>
                <w:sz w:val="24"/>
                <w:highlight w:val="none"/>
                <w:lang w:bidi="ar"/>
              </w:rPr>
              <w:t>（</w:t>
            </w:r>
            <w:r>
              <w:rPr>
                <w:rFonts w:hint="eastAsia"/>
                <w:color w:val="auto"/>
                <w:kern w:val="0"/>
                <w:sz w:val="24"/>
                <w:highlight w:val="none"/>
                <w:lang w:val="en-US" w:eastAsia="zh-CN" w:bidi="ar"/>
              </w:rPr>
              <w:t>3</w:t>
            </w:r>
            <w:r>
              <w:rPr>
                <w:rFonts w:hint="eastAsia"/>
                <w:color w:val="auto"/>
                <w:kern w:val="0"/>
                <w:sz w:val="24"/>
                <w:highlight w:val="none"/>
                <w:lang w:bidi="ar"/>
              </w:rPr>
              <w:t>）分割、整形粉尘</w:t>
            </w:r>
          </w:p>
          <w:p w14:paraId="2622FA01">
            <w:pPr>
              <w:keepNext w:val="0"/>
              <w:keepLines w:val="0"/>
              <w:pageBreakBefore w:val="0"/>
              <w:widowControl/>
              <w:kinsoku/>
              <w:wordWrap/>
              <w:overflowPunct/>
              <w:topLinePunct w:val="0"/>
              <w:bidi w:val="0"/>
              <w:spacing w:line="480" w:lineRule="exact"/>
              <w:ind w:firstLine="480" w:firstLineChars="200"/>
              <w:textAlignment w:val="auto"/>
              <w:rPr>
                <w:color w:val="auto"/>
                <w:kern w:val="0"/>
                <w:sz w:val="24"/>
                <w:highlight w:val="none"/>
                <w:lang w:bidi="ar"/>
              </w:rPr>
            </w:pPr>
            <w:r>
              <w:rPr>
                <w:rFonts w:hint="eastAsia"/>
                <w:color w:val="auto"/>
                <w:kern w:val="0"/>
                <w:sz w:val="24"/>
                <w:highlight w:val="none"/>
                <w:lang w:bidi="ar"/>
              </w:rPr>
              <w:t>湿式切割，雾炮机喷雾降尘，工作点配备1台雾炮机。</w:t>
            </w:r>
          </w:p>
          <w:p w14:paraId="0AC5DEF5">
            <w:pPr>
              <w:keepNext w:val="0"/>
              <w:keepLines w:val="0"/>
              <w:pageBreakBefore w:val="0"/>
              <w:widowControl/>
              <w:kinsoku/>
              <w:wordWrap/>
              <w:overflowPunct/>
              <w:topLinePunct w:val="0"/>
              <w:bidi w:val="0"/>
              <w:spacing w:line="480" w:lineRule="exact"/>
              <w:ind w:firstLine="480" w:firstLineChars="200"/>
              <w:textAlignment w:val="auto"/>
              <w:rPr>
                <w:color w:val="auto"/>
                <w:kern w:val="0"/>
                <w:sz w:val="24"/>
                <w:highlight w:val="none"/>
                <w:lang w:bidi="ar"/>
              </w:rPr>
            </w:pPr>
            <w:r>
              <w:rPr>
                <w:rFonts w:hint="eastAsia"/>
                <w:color w:val="auto"/>
                <w:kern w:val="0"/>
                <w:sz w:val="24"/>
                <w:highlight w:val="none"/>
                <w:lang w:bidi="ar"/>
              </w:rPr>
              <w:t>（</w:t>
            </w:r>
            <w:r>
              <w:rPr>
                <w:rFonts w:hint="eastAsia"/>
                <w:color w:val="auto"/>
                <w:kern w:val="0"/>
                <w:sz w:val="24"/>
                <w:highlight w:val="none"/>
                <w:lang w:val="en-US" w:eastAsia="zh-CN" w:bidi="ar"/>
              </w:rPr>
              <w:t>4</w:t>
            </w:r>
            <w:r>
              <w:rPr>
                <w:rFonts w:hint="eastAsia"/>
                <w:color w:val="auto"/>
                <w:kern w:val="0"/>
                <w:sz w:val="24"/>
                <w:highlight w:val="none"/>
                <w:lang w:bidi="ar"/>
              </w:rPr>
              <w:t>）运输道路扬尘防治措施</w:t>
            </w:r>
          </w:p>
          <w:p w14:paraId="3317CA27">
            <w:pPr>
              <w:keepNext w:val="0"/>
              <w:keepLines w:val="0"/>
              <w:pageBreakBefore w:val="0"/>
              <w:widowControl/>
              <w:kinsoku/>
              <w:wordWrap/>
              <w:overflowPunct/>
              <w:topLinePunct w:val="0"/>
              <w:bidi w:val="0"/>
              <w:spacing w:line="480" w:lineRule="exact"/>
              <w:ind w:firstLine="480" w:firstLineChars="200"/>
              <w:textAlignment w:val="auto"/>
              <w:rPr>
                <w:color w:val="auto"/>
                <w:kern w:val="0"/>
                <w:sz w:val="24"/>
                <w:highlight w:val="none"/>
                <w:lang w:bidi="ar"/>
              </w:rPr>
            </w:pPr>
            <w:r>
              <w:rPr>
                <w:rFonts w:hint="eastAsia"/>
                <w:color w:val="auto"/>
                <w:kern w:val="0"/>
                <w:sz w:val="24"/>
                <w:highlight w:val="none"/>
                <w:lang w:bidi="ar"/>
              </w:rPr>
              <w:t>项目厂区道路应采取硬化和绿化相结合，同时配套洒水设施的方式加以防治，具体说明如下：</w:t>
            </w:r>
          </w:p>
          <w:p w14:paraId="6E2A2487">
            <w:pPr>
              <w:keepNext w:val="0"/>
              <w:keepLines w:val="0"/>
              <w:pageBreakBefore w:val="0"/>
              <w:widowControl/>
              <w:kinsoku/>
              <w:wordWrap/>
              <w:overflowPunct/>
              <w:topLinePunct w:val="0"/>
              <w:bidi w:val="0"/>
              <w:spacing w:line="480" w:lineRule="exact"/>
              <w:ind w:firstLine="480" w:firstLineChars="200"/>
              <w:textAlignment w:val="auto"/>
              <w:rPr>
                <w:color w:val="auto"/>
                <w:kern w:val="0"/>
                <w:sz w:val="24"/>
                <w:highlight w:val="none"/>
                <w:lang w:bidi="ar"/>
              </w:rPr>
            </w:pPr>
            <w:r>
              <w:rPr>
                <w:rFonts w:hint="eastAsia"/>
                <w:color w:val="auto"/>
                <w:kern w:val="0"/>
                <w:sz w:val="24"/>
                <w:highlight w:val="none"/>
                <w:lang w:bidi="ar"/>
              </w:rPr>
              <w:t>①加强运输道路两侧绿化，绿</w:t>
            </w:r>
            <w:r>
              <w:rPr>
                <w:rFonts w:hint="eastAsia"/>
                <w:color w:val="auto"/>
                <w:kern w:val="0"/>
                <w:sz w:val="24"/>
                <w:highlight w:val="none"/>
                <w:lang w:val="en-US" w:eastAsia="zh-CN" w:bidi="ar"/>
              </w:rPr>
              <w:t>道路两侧种植新疆杨</w:t>
            </w:r>
            <w:r>
              <w:rPr>
                <w:rFonts w:hint="eastAsia"/>
                <w:color w:val="auto"/>
                <w:kern w:val="0"/>
                <w:sz w:val="24"/>
                <w:highlight w:val="none"/>
                <w:lang w:bidi="ar"/>
              </w:rPr>
              <w:t>；</w:t>
            </w:r>
          </w:p>
          <w:p w14:paraId="439BA26D">
            <w:pPr>
              <w:keepNext w:val="0"/>
              <w:keepLines w:val="0"/>
              <w:pageBreakBefore w:val="0"/>
              <w:widowControl/>
              <w:kinsoku/>
              <w:wordWrap/>
              <w:overflowPunct/>
              <w:topLinePunct w:val="0"/>
              <w:bidi w:val="0"/>
              <w:spacing w:line="480" w:lineRule="exact"/>
              <w:ind w:firstLine="480" w:firstLineChars="200"/>
              <w:textAlignment w:val="auto"/>
              <w:rPr>
                <w:color w:val="auto"/>
                <w:kern w:val="0"/>
                <w:sz w:val="24"/>
                <w:highlight w:val="none"/>
                <w:lang w:bidi="ar"/>
              </w:rPr>
            </w:pPr>
            <w:r>
              <w:rPr>
                <w:rFonts w:hint="eastAsia"/>
                <w:color w:val="auto"/>
                <w:kern w:val="0"/>
                <w:sz w:val="24"/>
                <w:highlight w:val="none"/>
                <w:lang w:bidi="ar"/>
              </w:rPr>
              <w:t>②矿区内部道路配置洒水车，在干燥大风的天气情况下对矿区道路进行洒水抑尘，并建立合理的洒水抑尘管理制度，设专人负责监控和调整洒水频率，控制洒水频次为每天不少于2次；</w:t>
            </w:r>
          </w:p>
          <w:p w14:paraId="2B60554D">
            <w:pPr>
              <w:keepNext w:val="0"/>
              <w:keepLines w:val="0"/>
              <w:pageBreakBefore w:val="0"/>
              <w:widowControl/>
              <w:kinsoku/>
              <w:wordWrap/>
              <w:overflowPunct/>
              <w:topLinePunct w:val="0"/>
              <w:bidi w:val="0"/>
              <w:spacing w:line="480" w:lineRule="exact"/>
              <w:ind w:firstLine="480" w:firstLineChars="200"/>
              <w:textAlignment w:val="auto"/>
              <w:rPr>
                <w:color w:val="auto"/>
                <w:kern w:val="0"/>
                <w:sz w:val="24"/>
                <w:highlight w:val="none"/>
                <w:lang w:bidi="ar"/>
              </w:rPr>
            </w:pPr>
            <w:r>
              <w:rPr>
                <w:rFonts w:hint="eastAsia"/>
                <w:color w:val="auto"/>
                <w:kern w:val="0"/>
                <w:sz w:val="24"/>
                <w:highlight w:val="none"/>
                <w:lang w:bidi="ar"/>
              </w:rPr>
              <w:t>③石料运输车辆应设定专门标识，做好运输工具的封闭，车辆运输过程中要进行苫盖，同时禁止超载；</w:t>
            </w:r>
          </w:p>
          <w:p w14:paraId="64FE9D0C">
            <w:pPr>
              <w:keepNext w:val="0"/>
              <w:keepLines w:val="0"/>
              <w:pageBreakBefore w:val="0"/>
              <w:widowControl/>
              <w:kinsoku/>
              <w:wordWrap/>
              <w:overflowPunct/>
              <w:topLinePunct w:val="0"/>
              <w:bidi w:val="0"/>
              <w:spacing w:line="480" w:lineRule="exact"/>
              <w:ind w:firstLine="480" w:firstLineChars="200"/>
              <w:textAlignment w:val="auto"/>
              <w:rPr>
                <w:color w:val="auto"/>
                <w:kern w:val="0"/>
                <w:sz w:val="24"/>
                <w:highlight w:val="none"/>
                <w:lang w:bidi="ar"/>
              </w:rPr>
            </w:pPr>
            <w:r>
              <w:rPr>
                <w:rFonts w:hint="eastAsia"/>
                <w:color w:val="auto"/>
                <w:kern w:val="0"/>
                <w:sz w:val="24"/>
                <w:highlight w:val="none"/>
                <w:lang w:bidi="ar"/>
              </w:rPr>
              <w:t>④建立制度，对运输道路进行定期维护；</w:t>
            </w:r>
          </w:p>
          <w:p w14:paraId="37DC65D4">
            <w:pPr>
              <w:keepNext w:val="0"/>
              <w:keepLines w:val="0"/>
              <w:pageBreakBefore w:val="0"/>
              <w:widowControl/>
              <w:kinsoku/>
              <w:wordWrap/>
              <w:overflowPunct/>
              <w:topLinePunct w:val="0"/>
              <w:bidi w:val="0"/>
              <w:spacing w:line="480" w:lineRule="exact"/>
              <w:ind w:firstLine="480" w:firstLineChars="200"/>
              <w:textAlignment w:val="auto"/>
              <w:rPr>
                <w:color w:val="auto"/>
                <w:kern w:val="0"/>
                <w:sz w:val="24"/>
                <w:highlight w:val="none"/>
                <w:lang w:bidi="ar"/>
              </w:rPr>
            </w:pPr>
            <w:r>
              <w:rPr>
                <w:rFonts w:hint="eastAsia"/>
                <w:color w:val="auto"/>
                <w:kern w:val="0"/>
                <w:sz w:val="24"/>
                <w:highlight w:val="none"/>
                <w:lang w:bidi="ar"/>
              </w:rPr>
              <w:t>⑤限制车速，采场内车速控制在20km/h以下，可有效</w:t>
            </w:r>
            <w:r>
              <w:rPr>
                <w:rFonts w:hint="eastAsia"/>
                <w:color w:val="auto"/>
                <w:kern w:val="0"/>
                <w:sz w:val="24"/>
                <w:highlight w:val="none"/>
                <w:lang w:eastAsia="zh-CN" w:bidi="ar"/>
              </w:rPr>
              <w:t>抑制</w:t>
            </w:r>
            <w:r>
              <w:rPr>
                <w:rFonts w:hint="eastAsia"/>
                <w:color w:val="auto"/>
                <w:kern w:val="0"/>
                <w:sz w:val="24"/>
                <w:highlight w:val="none"/>
                <w:lang w:bidi="ar"/>
              </w:rPr>
              <w:t>粉尘的产生；</w:t>
            </w:r>
          </w:p>
          <w:p w14:paraId="11AA7162">
            <w:pPr>
              <w:keepNext w:val="0"/>
              <w:keepLines w:val="0"/>
              <w:pageBreakBefore w:val="0"/>
              <w:widowControl/>
              <w:kinsoku/>
              <w:wordWrap/>
              <w:overflowPunct/>
              <w:topLinePunct w:val="0"/>
              <w:bidi w:val="0"/>
              <w:spacing w:line="480" w:lineRule="exact"/>
              <w:ind w:firstLine="480" w:firstLineChars="200"/>
              <w:textAlignment w:val="auto"/>
              <w:rPr>
                <w:color w:val="auto"/>
                <w:kern w:val="0"/>
                <w:sz w:val="24"/>
                <w:highlight w:val="none"/>
                <w:lang w:bidi="ar"/>
              </w:rPr>
            </w:pPr>
            <w:r>
              <w:rPr>
                <w:rFonts w:hint="eastAsia"/>
                <w:color w:val="auto"/>
                <w:kern w:val="0"/>
                <w:sz w:val="24"/>
                <w:highlight w:val="none"/>
                <w:lang w:bidi="ar"/>
              </w:rPr>
              <w:t>⑥强化矿区运输车辆管理</w:t>
            </w:r>
            <w:r>
              <w:rPr>
                <w:rFonts w:hint="eastAsia"/>
                <w:color w:val="auto"/>
                <w:kern w:val="0"/>
                <w:sz w:val="24"/>
                <w:highlight w:val="none"/>
                <w:lang w:eastAsia="zh-CN" w:bidi="ar"/>
              </w:rPr>
              <w:t>，在</w:t>
            </w:r>
            <w:r>
              <w:rPr>
                <w:rFonts w:hint="eastAsia"/>
                <w:color w:val="auto"/>
                <w:kern w:val="0"/>
                <w:sz w:val="24"/>
                <w:highlight w:val="none"/>
                <w:lang w:bidi="ar"/>
              </w:rPr>
              <w:t>车辆进出口设立洗车平台，对出矿车辆进行清洗。</w:t>
            </w:r>
          </w:p>
          <w:p w14:paraId="6928F3EB">
            <w:pPr>
              <w:keepNext w:val="0"/>
              <w:keepLines w:val="0"/>
              <w:pageBreakBefore w:val="0"/>
              <w:widowControl/>
              <w:kinsoku/>
              <w:wordWrap/>
              <w:overflowPunct/>
              <w:topLinePunct w:val="0"/>
              <w:bidi w:val="0"/>
              <w:spacing w:line="480" w:lineRule="exact"/>
              <w:ind w:firstLine="480" w:firstLineChars="200"/>
              <w:textAlignment w:val="auto"/>
              <w:rPr>
                <w:color w:val="auto"/>
                <w:kern w:val="0"/>
                <w:sz w:val="24"/>
                <w:highlight w:val="none"/>
                <w:lang w:bidi="ar"/>
              </w:rPr>
            </w:pPr>
            <w:r>
              <w:rPr>
                <w:rFonts w:hint="eastAsia"/>
                <w:color w:val="auto"/>
                <w:kern w:val="0"/>
                <w:sz w:val="24"/>
                <w:highlight w:val="none"/>
                <w:lang w:bidi="ar"/>
              </w:rPr>
              <w:t>⑦本项目矿区内专用车辆全部采用新能源运输</w:t>
            </w:r>
            <w:r>
              <w:rPr>
                <w:rFonts w:hint="eastAsia"/>
                <w:color w:val="auto"/>
                <w:kern w:val="0"/>
                <w:sz w:val="24"/>
                <w:highlight w:val="none"/>
                <w:lang w:eastAsia="zh-CN" w:bidi="ar"/>
              </w:rPr>
              <w:t>车辆</w:t>
            </w:r>
            <w:r>
              <w:rPr>
                <w:rFonts w:hint="eastAsia"/>
                <w:color w:val="auto"/>
                <w:kern w:val="0"/>
                <w:sz w:val="24"/>
                <w:highlight w:val="none"/>
                <w:lang w:bidi="ar"/>
              </w:rPr>
              <w:t>，选用符合国家有关标准的机械设备和运输工具，以减少尾气污染物的排放量；</w:t>
            </w:r>
          </w:p>
          <w:p w14:paraId="72019CFF">
            <w:pPr>
              <w:keepNext w:val="0"/>
              <w:keepLines w:val="0"/>
              <w:pageBreakBefore w:val="0"/>
              <w:widowControl/>
              <w:kinsoku/>
              <w:wordWrap/>
              <w:overflowPunct/>
              <w:topLinePunct w:val="0"/>
              <w:bidi w:val="0"/>
              <w:spacing w:line="480" w:lineRule="exact"/>
              <w:ind w:firstLine="480" w:firstLineChars="200"/>
              <w:textAlignment w:val="auto"/>
              <w:rPr>
                <w:color w:val="auto"/>
                <w:kern w:val="0"/>
                <w:sz w:val="24"/>
                <w:highlight w:val="none"/>
                <w:lang w:bidi="ar"/>
              </w:rPr>
            </w:pPr>
            <w:r>
              <w:rPr>
                <w:rFonts w:hint="eastAsia"/>
                <w:color w:val="auto"/>
                <w:kern w:val="0"/>
                <w:sz w:val="24"/>
                <w:highlight w:val="none"/>
                <w:lang w:bidi="ar"/>
              </w:rPr>
              <w:t>⑧场外运输车辆尽量采用国六及以上燃油货车或新能源运输车辆。</w:t>
            </w:r>
          </w:p>
          <w:p w14:paraId="567FBDD4">
            <w:pPr>
              <w:keepNext w:val="0"/>
              <w:keepLines w:val="0"/>
              <w:pageBreakBefore w:val="0"/>
              <w:widowControl/>
              <w:kinsoku/>
              <w:wordWrap/>
              <w:overflowPunct/>
              <w:topLinePunct w:val="0"/>
              <w:bidi w:val="0"/>
              <w:spacing w:line="480" w:lineRule="exact"/>
              <w:ind w:firstLine="480" w:firstLineChars="200"/>
              <w:textAlignment w:val="auto"/>
              <w:rPr>
                <w:color w:val="auto"/>
                <w:kern w:val="0"/>
                <w:sz w:val="24"/>
                <w:highlight w:val="none"/>
                <w:lang w:bidi="ar"/>
              </w:rPr>
            </w:pPr>
            <w:r>
              <w:rPr>
                <w:rFonts w:hint="eastAsia"/>
                <w:color w:val="auto"/>
                <w:kern w:val="0"/>
                <w:sz w:val="24"/>
                <w:highlight w:val="none"/>
                <w:lang w:bidi="ar"/>
              </w:rPr>
              <w:t>（</w:t>
            </w:r>
            <w:r>
              <w:rPr>
                <w:rFonts w:hint="eastAsia"/>
                <w:color w:val="auto"/>
                <w:kern w:val="0"/>
                <w:sz w:val="24"/>
                <w:highlight w:val="none"/>
                <w:lang w:val="en-US" w:eastAsia="zh-CN" w:bidi="ar"/>
              </w:rPr>
              <w:t>5</w:t>
            </w:r>
            <w:r>
              <w:rPr>
                <w:rFonts w:hint="eastAsia"/>
                <w:color w:val="auto"/>
                <w:kern w:val="0"/>
                <w:sz w:val="24"/>
                <w:highlight w:val="none"/>
                <w:lang w:bidi="ar"/>
              </w:rPr>
              <w:t>）场外运输污染防治措施</w:t>
            </w:r>
          </w:p>
          <w:p w14:paraId="2E92414A">
            <w:pPr>
              <w:keepNext w:val="0"/>
              <w:keepLines w:val="0"/>
              <w:pageBreakBefore w:val="0"/>
              <w:widowControl/>
              <w:kinsoku/>
              <w:wordWrap/>
              <w:overflowPunct/>
              <w:topLinePunct w:val="0"/>
              <w:bidi w:val="0"/>
              <w:spacing w:line="480" w:lineRule="exact"/>
              <w:ind w:firstLine="480" w:firstLineChars="200"/>
              <w:textAlignment w:val="auto"/>
              <w:rPr>
                <w:color w:val="auto"/>
                <w:kern w:val="0"/>
                <w:sz w:val="24"/>
                <w:highlight w:val="none"/>
                <w:lang w:bidi="ar"/>
              </w:rPr>
            </w:pPr>
            <w:r>
              <w:rPr>
                <w:rFonts w:hint="eastAsia"/>
                <w:color w:val="auto"/>
                <w:kern w:val="0"/>
                <w:sz w:val="24"/>
                <w:highlight w:val="none"/>
                <w:lang w:bidi="ar"/>
              </w:rPr>
              <w:t>根据山西省人民政府办公厅关于印发《山西省推进多式联运发展优化调整运输结构工作实施方案（2022~2025年）》的通知（晋政办发〔2022〕88号）、山西省人民政府关于印发山西省落实《空气质量持续改善行动计划》实施方案的通知（晋政发〔2024〕7号）相关要求，提出如下防治措施：</w:t>
            </w:r>
          </w:p>
          <w:p w14:paraId="584F4AB3">
            <w:pPr>
              <w:keepNext w:val="0"/>
              <w:keepLines w:val="0"/>
              <w:pageBreakBefore w:val="0"/>
              <w:widowControl/>
              <w:kinsoku/>
              <w:wordWrap/>
              <w:overflowPunct/>
              <w:topLinePunct w:val="0"/>
              <w:bidi w:val="0"/>
              <w:spacing w:line="480" w:lineRule="exact"/>
              <w:ind w:firstLine="480" w:firstLineChars="200"/>
              <w:textAlignment w:val="auto"/>
              <w:rPr>
                <w:color w:val="auto"/>
                <w:kern w:val="0"/>
                <w:sz w:val="24"/>
                <w:highlight w:val="none"/>
                <w:lang w:bidi="ar"/>
              </w:rPr>
            </w:pPr>
            <w:r>
              <w:rPr>
                <w:rFonts w:hint="eastAsia"/>
                <w:color w:val="auto"/>
                <w:kern w:val="0"/>
                <w:sz w:val="24"/>
                <w:highlight w:val="none"/>
                <w:lang w:bidi="ar"/>
              </w:rPr>
              <w:t>①使用满足国六标准或新能源运输车辆，运输车辆全部进行全封闭苫盖，日常管理上，不定期对承运车辆进行安全环保检查，确保车况良好，车辆密封无杂质，运输途中无</w:t>
            </w:r>
            <w:r>
              <w:rPr>
                <w:rFonts w:hint="eastAsia"/>
                <w:color w:val="auto"/>
                <w:kern w:val="0"/>
                <w:sz w:val="24"/>
                <w:highlight w:val="none"/>
                <w:lang w:eastAsia="zh-CN" w:bidi="ar"/>
              </w:rPr>
              <w:t>抛撒</w:t>
            </w:r>
            <w:r>
              <w:rPr>
                <w:rFonts w:hint="eastAsia"/>
                <w:color w:val="auto"/>
                <w:kern w:val="0"/>
                <w:sz w:val="24"/>
                <w:highlight w:val="none"/>
                <w:lang w:bidi="ar"/>
              </w:rPr>
              <w:t>。</w:t>
            </w:r>
          </w:p>
          <w:p w14:paraId="5E69A824">
            <w:pPr>
              <w:keepNext w:val="0"/>
              <w:keepLines w:val="0"/>
              <w:pageBreakBefore w:val="0"/>
              <w:widowControl/>
              <w:kinsoku/>
              <w:wordWrap/>
              <w:overflowPunct/>
              <w:topLinePunct w:val="0"/>
              <w:bidi w:val="0"/>
              <w:spacing w:line="480" w:lineRule="exact"/>
              <w:ind w:firstLine="480" w:firstLineChars="200"/>
              <w:textAlignment w:val="auto"/>
              <w:rPr>
                <w:color w:val="auto"/>
                <w:kern w:val="0"/>
                <w:sz w:val="24"/>
                <w:highlight w:val="none"/>
                <w:lang w:bidi="ar"/>
              </w:rPr>
            </w:pPr>
            <w:r>
              <w:rPr>
                <w:rFonts w:hint="eastAsia"/>
                <w:color w:val="auto"/>
                <w:kern w:val="0"/>
                <w:sz w:val="24"/>
                <w:highlight w:val="none"/>
                <w:lang w:bidi="ar"/>
              </w:rPr>
              <w:t>②对出矿车辆全部进行清洗，未经洗车平台清洗车辆不得出厂。</w:t>
            </w:r>
          </w:p>
          <w:p w14:paraId="06B20D73">
            <w:pPr>
              <w:keepNext w:val="0"/>
              <w:keepLines w:val="0"/>
              <w:pageBreakBefore w:val="0"/>
              <w:widowControl/>
              <w:kinsoku/>
              <w:wordWrap/>
              <w:overflowPunct/>
              <w:topLinePunct w:val="0"/>
              <w:bidi w:val="0"/>
              <w:spacing w:line="480" w:lineRule="exact"/>
              <w:ind w:firstLine="480" w:firstLineChars="200"/>
              <w:textAlignment w:val="auto"/>
              <w:rPr>
                <w:color w:val="auto"/>
                <w:kern w:val="0"/>
                <w:sz w:val="24"/>
                <w:highlight w:val="none"/>
                <w:lang w:bidi="ar"/>
              </w:rPr>
            </w:pPr>
            <w:r>
              <w:rPr>
                <w:rFonts w:hint="eastAsia"/>
                <w:color w:val="auto"/>
                <w:kern w:val="0"/>
                <w:sz w:val="24"/>
                <w:highlight w:val="none"/>
                <w:lang w:bidi="ar"/>
              </w:rPr>
              <w:t>（</w:t>
            </w:r>
            <w:r>
              <w:rPr>
                <w:rFonts w:hint="eastAsia"/>
                <w:color w:val="auto"/>
                <w:kern w:val="0"/>
                <w:sz w:val="24"/>
                <w:highlight w:val="none"/>
                <w:lang w:val="en-US" w:eastAsia="zh-CN" w:bidi="ar"/>
              </w:rPr>
              <w:t>6</w:t>
            </w:r>
            <w:r>
              <w:rPr>
                <w:rFonts w:hint="eastAsia"/>
                <w:color w:val="auto"/>
                <w:kern w:val="0"/>
                <w:sz w:val="24"/>
                <w:highlight w:val="none"/>
                <w:lang w:bidi="ar"/>
              </w:rPr>
              <w:t>）非道路移动机械的防治措施</w:t>
            </w:r>
          </w:p>
          <w:p w14:paraId="2AA5AD1C">
            <w:pPr>
              <w:keepNext w:val="0"/>
              <w:keepLines w:val="0"/>
              <w:pageBreakBefore w:val="0"/>
              <w:widowControl/>
              <w:kinsoku/>
              <w:wordWrap/>
              <w:overflowPunct/>
              <w:topLinePunct w:val="0"/>
              <w:bidi w:val="0"/>
              <w:spacing w:line="480" w:lineRule="exact"/>
              <w:ind w:firstLine="480" w:firstLineChars="200"/>
              <w:textAlignment w:val="auto"/>
              <w:rPr>
                <w:color w:val="auto"/>
                <w:kern w:val="0"/>
                <w:sz w:val="24"/>
                <w:highlight w:val="none"/>
                <w:lang w:bidi="ar"/>
              </w:rPr>
            </w:pPr>
            <w:r>
              <w:rPr>
                <w:rFonts w:hint="eastAsia"/>
                <w:color w:val="auto"/>
                <w:kern w:val="0"/>
                <w:sz w:val="24"/>
                <w:highlight w:val="none"/>
                <w:lang w:bidi="ar"/>
              </w:rPr>
              <w:t>本项目非道路移动机械设备主要为装载机、挖掘机等设备。根据《非道路移动机械污染防治技术政策》，企业应采取如下措施：</w:t>
            </w:r>
          </w:p>
          <w:p w14:paraId="6638C25F">
            <w:pPr>
              <w:keepNext w:val="0"/>
              <w:keepLines w:val="0"/>
              <w:pageBreakBefore w:val="0"/>
              <w:widowControl/>
              <w:kinsoku/>
              <w:wordWrap/>
              <w:overflowPunct/>
              <w:topLinePunct w:val="0"/>
              <w:bidi w:val="0"/>
              <w:spacing w:line="480" w:lineRule="exact"/>
              <w:ind w:firstLine="480" w:firstLineChars="200"/>
              <w:textAlignment w:val="auto"/>
              <w:rPr>
                <w:color w:val="auto"/>
                <w:kern w:val="0"/>
                <w:sz w:val="24"/>
                <w:highlight w:val="none"/>
                <w:lang w:bidi="ar"/>
              </w:rPr>
            </w:pPr>
            <w:r>
              <w:rPr>
                <w:rFonts w:hint="eastAsia"/>
                <w:color w:val="auto"/>
                <w:kern w:val="0"/>
                <w:sz w:val="24"/>
                <w:highlight w:val="none"/>
                <w:lang w:bidi="ar"/>
              </w:rPr>
              <w:t>①施工单位在使用非道路移动机械时应在生态环境部门进行编码登记，领取“二维码”信息采集卡、悬挂环保标牌；</w:t>
            </w:r>
          </w:p>
          <w:p w14:paraId="72B3702A">
            <w:pPr>
              <w:keepNext w:val="0"/>
              <w:keepLines w:val="0"/>
              <w:pageBreakBefore w:val="0"/>
              <w:widowControl/>
              <w:kinsoku/>
              <w:wordWrap/>
              <w:overflowPunct/>
              <w:topLinePunct w:val="0"/>
              <w:bidi w:val="0"/>
              <w:spacing w:line="480" w:lineRule="exact"/>
              <w:ind w:firstLine="480" w:firstLineChars="200"/>
              <w:textAlignment w:val="auto"/>
              <w:rPr>
                <w:color w:val="auto"/>
                <w:kern w:val="0"/>
                <w:sz w:val="24"/>
                <w:highlight w:val="none"/>
                <w:lang w:bidi="ar"/>
              </w:rPr>
            </w:pPr>
            <w:r>
              <w:rPr>
                <w:rFonts w:hint="eastAsia"/>
                <w:color w:val="auto"/>
                <w:kern w:val="0"/>
                <w:sz w:val="24"/>
                <w:highlight w:val="none"/>
                <w:lang w:bidi="ar"/>
              </w:rPr>
              <w:t>②废气排放按照《非道路柴油移动机械排气烟度限值及测量方法》（GB36886-2018）规定的</w:t>
            </w:r>
            <w:r>
              <w:rPr>
                <w:rFonts w:hint="default" w:ascii="Times New Roman" w:hAnsi="Times New Roman" w:cs="Times New Roman"/>
                <w:color w:val="auto"/>
                <w:kern w:val="0"/>
                <w:sz w:val="24"/>
                <w:highlight w:val="none"/>
                <w:lang w:bidi="ar"/>
              </w:rPr>
              <w:t>Ⅲ</w:t>
            </w:r>
            <w:r>
              <w:rPr>
                <w:rFonts w:hint="eastAsia"/>
                <w:color w:val="auto"/>
                <w:kern w:val="0"/>
                <w:sz w:val="24"/>
                <w:highlight w:val="none"/>
                <w:lang w:bidi="ar"/>
              </w:rPr>
              <w:t>类排气烟度限值标准执行。</w:t>
            </w:r>
          </w:p>
          <w:p w14:paraId="670AFE0C">
            <w:pPr>
              <w:keepNext w:val="0"/>
              <w:keepLines w:val="0"/>
              <w:pageBreakBefore w:val="0"/>
              <w:widowControl/>
              <w:kinsoku/>
              <w:wordWrap/>
              <w:overflowPunct/>
              <w:topLinePunct w:val="0"/>
              <w:bidi w:val="0"/>
              <w:spacing w:line="480" w:lineRule="exact"/>
              <w:ind w:firstLine="480" w:firstLineChars="200"/>
              <w:textAlignment w:val="auto"/>
              <w:rPr>
                <w:color w:val="auto"/>
                <w:kern w:val="0"/>
                <w:sz w:val="24"/>
                <w:highlight w:val="none"/>
                <w:lang w:bidi="ar"/>
              </w:rPr>
            </w:pPr>
            <w:r>
              <w:rPr>
                <w:rFonts w:hint="eastAsia"/>
                <w:color w:val="auto"/>
                <w:kern w:val="0"/>
                <w:sz w:val="24"/>
                <w:highlight w:val="none"/>
                <w:lang w:bidi="ar"/>
              </w:rPr>
              <w:t>③使用满足国六标准或新能源运输车辆，禁止使用高排放非道路移动机械；禁止使用逾期未检验、未取得检验合格标志、达到强制报废标准、闯禁行、超载超限、非法营运、直观冒黑烟和超标排放上路行驶的重柴车辆；加强在用非道路移动机械的排放检测和维修；</w:t>
            </w:r>
          </w:p>
          <w:p w14:paraId="05A621E5">
            <w:pPr>
              <w:keepNext w:val="0"/>
              <w:keepLines w:val="0"/>
              <w:pageBreakBefore w:val="0"/>
              <w:widowControl/>
              <w:kinsoku/>
              <w:wordWrap/>
              <w:overflowPunct/>
              <w:topLinePunct w:val="0"/>
              <w:bidi w:val="0"/>
              <w:spacing w:line="480" w:lineRule="exact"/>
              <w:ind w:firstLine="480" w:firstLineChars="200"/>
              <w:textAlignment w:val="auto"/>
              <w:rPr>
                <w:color w:val="auto"/>
                <w:kern w:val="0"/>
                <w:sz w:val="24"/>
                <w:highlight w:val="none"/>
                <w:lang w:bidi="ar"/>
              </w:rPr>
            </w:pPr>
            <w:r>
              <w:rPr>
                <w:rFonts w:hint="eastAsia"/>
                <w:color w:val="auto"/>
                <w:kern w:val="0"/>
                <w:sz w:val="24"/>
                <w:highlight w:val="none"/>
                <w:lang w:bidi="ar"/>
              </w:rPr>
              <w:t>④完善施工招标文件和承发包制式合同，将各类施工工程禁止使用高排放非道路移动机械作为招标文件（或附件）内容，制式合同明确施工单位必须使用符合要求的非道路移动机械，并监督落实到位；</w:t>
            </w:r>
          </w:p>
          <w:p w14:paraId="686B1AE8">
            <w:pPr>
              <w:keepNext w:val="0"/>
              <w:keepLines w:val="0"/>
              <w:pageBreakBefore w:val="0"/>
              <w:widowControl/>
              <w:kinsoku/>
              <w:wordWrap/>
              <w:overflowPunct/>
              <w:topLinePunct w:val="0"/>
              <w:bidi w:val="0"/>
              <w:spacing w:line="480" w:lineRule="exact"/>
              <w:ind w:firstLine="480" w:firstLineChars="200"/>
              <w:textAlignment w:val="auto"/>
              <w:rPr>
                <w:color w:val="auto"/>
                <w:kern w:val="0"/>
                <w:sz w:val="24"/>
                <w:highlight w:val="none"/>
                <w:lang w:bidi="ar"/>
              </w:rPr>
            </w:pPr>
            <w:r>
              <w:rPr>
                <w:rFonts w:hint="eastAsia"/>
                <w:color w:val="auto"/>
                <w:kern w:val="0"/>
                <w:sz w:val="24"/>
                <w:highlight w:val="none"/>
                <w:lang w:bidi="ar"/>
              </w:rPr>
              <w:t>⑤建立施工机械设备台账，禁止使用不符合标准的燃料、机油和氮氧化物还原剂，确保使用环节的燃料、机油及氮氧化物还原剂质量稳定满足国家标准的要求；</w:t>
            </w:r>
          </w:p>
          <w:p w14:paraId="305095B4">
            <w:pPr>
              <w:keepNext w:val="0"/>
              <w:keepLines w:val="0"/>
              <w:pageBreakBefore w:val="0"/>
              <w:widowControl/>
              <w:kinsoku/>
              <w:wordWrap/>
              <w:overflowPunct/>
              <w:topLinePunct w:val="0"/>
              <w:bidi w:val="0"/>
              <w:spacing w:line="480" w:lineRule="exact"/>
              <w:ind w:firstLine="480" w:firstLineChars="200"/>
              <w:textAlignment w:val="auto"/>
              <w:rPr>
                <w:color w:val="auto"/>
                <w:kern w:val="0"/>
                <w:sz w:val="24"/>
                <w:highlight w:val="none"/>
                <w:lang w:bidi="ar"/>
              </w:rPr>
            </w:pPr>
            <w:r>
              <w:rPr>
                <w:rFonts w:hint="eastAsia"/>
                <w:color w:val="auto"/>
                <w:kern w:val="0"/>
                <w:sz w:val="24"/>
                <w:highlight w:val="none"/>
                <w:lang w:bidi="ar"/>
              </w:rPr>
              <w:t>⑥所有柴油载货车辆禁止驶入划定的机动车和非道路移动机械低排放区域；</w:t>
            </w:r>
          </w:p>
          <w:p w14:paraId="604B0521">
            <w:pPr>
              <w:keepNext w:val="0"/>
              <w:keepLines w:val="0"/>
              <w:pageBreakBefore w:val="0"/>
              <w:widowControl/>
              <w:kinsoku/>
              <w:wordWrap/>
              <w:overflowPunct/>
              <w:topLinePunct w:val="0"/>
              <w:bidi w:val="0"/>
              <w:spacing w:line="480" w:lineRule="exact"/>
              <w:ind w:firstLine="480" w:firstLineChars="200"/>
              <w:textAlignment w:val="auto"/>
              <w:rPr>
                <w:color w:val="auto"/>
                <w:kern w:val="0"/>
                <w:sz w:val="24"/>
                <w:highlight w:val="none"/>
                <w:lang w:bidi="ar"/>
              </w:rPr>
            </w:pPr>
            <w:r>
              <w:rPr>
                <w:rFonts w:hint="eastAsia"/>
                <w:color w:val="auto"/>
                <w:kern w:val="0"/>
                <w:sz w:val="24"/>
                <w:highlight w:val="none"/>
                <w:lang w:bidi="ar"/>
              </w:rPr>
              <w:t>⑦运输车辆维修需在合规的机动车维修单位进行，按照防治大气污染要求和国家有关技术规范对在用机动车进行维修，使其达到规定的排放标准。严禁临时更换机动车污染控制装置等弄虚作假的维修，严禁破坏机动车车载排放诊断系统等。</w:t>
            </w:r>
          </w:p>
          <w:p w14:paraId="59572FE1">
            <w:pPr>
              <w:keepNext w:val="0"/>
              <w:keepLines w:val="0"/>
              <w:pageBreakBefore w:val="0"/>
              <w:widowControl/>
              <w:kinsoku/>
              <w:wordWrap/>
              <w:overflowPunct/>
              <w:topLinePunct w:val="0"/>
              <w:bidi w:val="0"/>
              <w:spacing w:line="480" w:lineRule="exact"/>
              <w:ind w:firstLine="480" w:firstLineChars="200"/>
              <w:textAlignment w:val="auto"/>
              <w:rPr>
                <w:color w:val="auto"/>
                <w:kern w:val="0"/>
                <w:sz w:val="24"/>
                <w:highlight w:val="none"/>
                <w:lang w:bidi="ar"/>
              </w:rPr>
            </w:pPr>
            <w:r>
              <w:rPr>
                <w:rFonts w:hint="eastAsia"/>
                <w:color w:val="auto"/>
                <w:kern w:val="0"/>
                <w:sz w:val="24"/>
                <w:highlight w:val="none"/>
                <w:lang w:bidi="ar"/>
              </w:rPr>
              <w:t>（</w:t>
            </w:r>
            <w:r>
              <w:rPr>
                <w:rFonts w:hint="eastAsia"/>
                <w:color w:val="auto"/>
                <w:kern w:val="0"/>
                <w:sz w:val="24"/>
                <w:highlight w:val="none"/>
                <w:lang w:val="en-US" w:eastAsia="zh-CN" w:bidi="ar"/>
              </w:rPr>
              <w:t>7</w:t>
            </w:r>
            <w:r>
              <w:rPr>
                <w:rFonts w:hint="eastAsia"/>
                <w:color w:val="auto"/>
                <w:kern w:val="0"/>
                <w:sz w:val="24"/>
                <w:highlight w:val="none"/>
                <w:lang w:bidi="ar"/>
              </w:rPr>
              <w:t>）排土场堆排作业粉尘</w:t>
            </w:r>
          </w:p>
          <w:p w14:paraId="1639BA57">
            <w:pPr>
              <w:keepNext w:val="0"/>
              <w:keepLines w:val="0"/>
              <w:pageBreakBefore w:val="0"/>
              <w:widowControl/>
              <w:kinsoku/>
              <w:wordWrap/>
              <w:overflowPunct/>
              <w:topLinePunct w:val="0"/>
              <w:bidi w:val="0"/>
              <w:spacing w:line="480" w:lineRule="exact"/>
              <w:ind w:firstLine="480" w:firstLineChars="200"/>
              <w:textAlignment w:val="auto"/>
              <w:rPr>
                <w:color w:val="auto"/>
                <w:kern w:val="0"/>
                <w:sz w:val="24"/>
                <w:highlight w:val="none"/>
                <w:lang w:bidi="ar"/>
              </w:rPr>
            </w:pPr>
            <w:r>
              <w:rPr>
                <w:rFonts w:hint="eastAsia"/>
                <w:color w:val="auto"/>
                <w:kern w:val="0"/>
                <w:sz w:val="24"/>
                <w:highlight w:val="none"/>
                <w:lang w:bidi="ar"/>
              </w:rPr>
              <w:t>采取卸料过程设置雾炮机抑尘、大风天气禁止作业、规范堆存作业。卸料点配备2台雾炮机。</w:t>
            </w:r>
          </w:p>
          <w:p w14:paraId="6E72BCD5">
            <w:pPr>
              <w:keepNext w:val="0"/>
              <w:keepLines w:val="0"/>
              <w:pageBreakBefore w:val="0"/>
              <w:widowControl/>
              <w:kinsoku/>
              <w:wordWrap/>
              <w:overflowPunct/>
              <w:topLinePunct w:val="0"/>
              <w:bidi w:val="0"/>
              <w:spacing w:line="480" w:lineRule="exact"/>
              <w:ind w:firstLine="482" w:firstLineChars="200"/>
              <w:textAlignment w:val="auto"/>
              <w:rPr>
                <w:b/>
                <w:bCs/>
                <w:kern w:val="0"/>
                <w:sz w:val="24"/>
                <w:lang w:bidi="ar"/>
              </w:rPr>
            </w:pPr>
            <w:r>
              <w:rPr>
                <w:rFonts w:hint="eastAsia"/>
                <w:b/>
                <w:bCs/>
                <w:kern w:val="0"/>
                <w:sz w:val="24"/>
                <w:lang w:bidi="ar"/>
              </w:rPr>
              <w:t>2.</w:t>
            </w:r>
            <w:r>
              <w:rPr>
                <w:b/>
                <w:bCs/>
                <w:kern w:val="0"/>
                <w:sz w:val="24"/>
                <w:lang w:bidi="ar"/>
              </w:rPr>
              <w:t>运营期水污染防治措施</w:t>
            </w:r>
          </w:p>
          <w:p w14:paraId="55333855">
            <w:pPr>
              <w:keepNext w:val="0"/>
              <w:keepLines w:val="0"/>
              <w:pageBreakBefore w:val="0"/>
              <w:widowControl/>
              <w:kinsoku/>
              <w:wordWrap/>
              <w:overflowPunct/>
              <w:topLinePunct w:val="0"/>
              <w:bidi w:val="0"/>
              <w:spacing w:line="480" w:lineRule="exact"/>
              <w:ind w:firstLine="480" w:firstLineChars="200"/>
              <w:textAlignment w:val="auto"/>
              <w:rPr>
                <w:kern w:val="0"/>
                <w:sz w:val="24"/>
                <w:lang w:bidi="ar"/>
              </w:rPr>
            </w:pPr>
            <w:r>
              <w:rPr>
                <w:rFonts w:hint="eastAsia"/>
                <w:kern w:val="0"/>
                <w:sz w:val="24"/>
                <w:lang w:bidi="ar"/>
              </w:rPr>
              <w:t>本项目运营期废水主要为生活污水、洗车废水。</w:t>
            </w:r>
          </w:p>
          <w:p w14:paraId="5F114595">
            <w:pPr>
              <w:keepNext w:val="0"/>
              <w:keepLines w:val="0"/>
              <w:pageBreakBefore w:val="0"/>
              <w:widowControl/>
              <w:kinsoku/>
              <w:wordWrap/>
              <w:overflowPunct/>
              <w:topLinePunct w:val="0"/>
              <w:bidi w:val="0"/>
              <w:spacing w:line="480" w:lineRule="exact"/>
              <w:ind w:firstLine="480" w:firstLineChars="200"/>
              <w:textAlignment w:val="auto"/>
              <w:rPr>
                <w:sz w:val="24"/>
              </w:rPr>
            </w:pPr>
            <w:r>
              <w:rPr>
                <w:rFonts w:hint="eastAsia"/>
                <w:sz w:val="24"/>
              </w:rPr>
              <w:t>生活污水排入化粪池，定期清掏。</w:t>
            </w:r>
          </w:p>
          <w:p w14:paraId="0F097FE1">
            <w:pPr>
              <w:keepNext w:val="0"/>
              <w:keepLines w:val="0"/>
              <w:pageBreakBefore w:val="0"/>
              <w:widowControl/>
              <w:kinsoku/>
              <w:wordWrap/>
              <w:overflowPunct/>
              <w:topLinePunct w:val="0"/>
              <w:bidi w:val="0"/>
              <w:spacing w:line="480" w:lineRule="exact"/>
              <w:ind w:firstLine="480" w:firstLineChars="200"/>
              <w:textAlignment w:val="auto"/>
              <w:rPr>
                <w:kern w:val="0"/>
                <w:sz w:val="24"/>
                <w:lang w:bidi="ar"/>
              </w:rPr>
            </w:pPr>
            <w:r>
              <w:rPr>
                <w:rFonts w:hint="eastAsia"/>
                <w:kern w:val="0"/>
                <w:sz w:val="24"/>
                <w:lang w:bidi="ar"/>
              </w:rPr>
              <w:t>本项目洗车依托工业场地洗车平台及配套三级沉淀池。</w:t>
            </w:r>
            <w:r>
              <w:rPr>
                <w:rFonts w:hint="eastAsia"/>
                <w:sz w:val="24"/>
              </w:rPr>
              <w:t>食堂污水经油水分离器处理后，排入化粪池，定期清掏。</w:t>
            </w:r>
          </w:p>
          <w:p w14:paraId="71AE918F">
            <w:pPr>
              <w:keepNext w:val="0"/>
              <w:keepLines w:val="0"/>
              <w:pageBreakBefore w:val="0"/>
              <w:widowControl/>
              <w:kinsoku/>
              <w:wordWrap/>
              <w:overflowPunct/>
              <w:topLinePunct w:val="0"/>
              <w:bidi w:val="0"/>
              <w:spacing w:line="480" w:lineRule="exact"/>
              <w:ind w:firstLine="482" w:firstLineChars="200"/>
              <w:textAlignment w:val="auto"/>
              <w:rPr>
                <w:b/>
                <w:bCs/>
                <w:kern w:val="0"/>
                <w:sz w:val="24"/>
                <w:lang w:bidi="ar"/>
              </w:rPr>
            </w:pPr>
            <w:r>
              <w:rPr>
                <w:rFonts w:hint="eastAsia"/>
                <w:b/>
                <w:bCs/>
                <w:kern w:val="0"/>
                <w:sz w:val="24"/>
                <w:lang w:bidi="ar"/>
              </w:rPr>
              <w:t>3.</w:t>
            </w:r>
            <w:r>
              <w:rPr>
                <w:b/>
                <w:bCs/>
                <w:kern w:val="0"/>
                <w:sz w:val="24"/>
                <w:lang w:bidi="ar"/>
              </w:rPr>
              <w:t>运营期声环境保护措施</w:t>
            </w:r>
          </w:p>
          <w:p w14:paraId="16D4D5F4">
            <w:pPr>
              <w:keepNext w:val="0"/>
              <w:keepLines w:val="0"/>
              <w:pageBreakBefore w:val="0"/>
              <w:widowControl/>
              <w:kinsoku/>
              <w:wordWrap/>
              <w:overflowPunct/>
              <w:topLinePunct w:val="0"/>
              <w:bidi w:val="0"/>
              <w:spacing w:line="480" w:lineRule="exact"/>
              <w:ind w:firstLine="480" w:firstLineChars="200"/>
              <w:textAlignment w:val="auto"/>
              <w:rPr>
                <w:kern w:val="0"/>
                <w:sz w:val="24"/>
                <w:lang w:bidi="ar"/>
              </w:rPr>
            </w:pPr>
            <w:r>
              <w:rPr>
                <w:rFonts w:hint="eastAsia"/>
                <w:kern w:val="0"/>
                <w:sz w:val="24"/>
                <w:lang w:bidi="ar"/>
              </w:rPr>
              <w:t>（1）设备噪声控制措施</w:t>
            </w:r>
          </w:p>
          <w:p w14:paraId="0122E156">
            <w:pPr>
              <w:keepNext w:val="0"/>
              <w:keepLines w:val="0"/>
              <w:pageBreakBefore w:val="0"/>
              <w:widowControl/>
              <w:kinsoku/>
              <w:wordWrap/>
              <w:overflowPunct/>
              <w:topLinePunct w:val="0"/>
              <w:bidi w:val="0"/>
              <w:spacing w:line="480" w:lineRule="exact"/>
              <w:ind w:firstLine="480" w:firstLineChars="200"/>
              <w:textAlignment w:val="auto"/>
              <w:rPr>
                <w:kern w:val="0"/>
                <w:sz w:val="24"/>
                <w:lang w:bidi="ar"/>
              </w:rPr>
            </w:pPr>
            <w:r>
              <w:rPr>
                <w:rFonts w:hint="eastAsia"/>
                <w:kern w:val="0"/>
                <w:sz w:val="24"/>
                <w:lang w:bidi="ar"/>
              </w:rPr>
              <w:t>①凿岩机等其他发声设备要做好减震工作，如在适当位置加设减震器等；</w:t>
            </w:r>
          </w:p>
          <w:p w14:paraId="4F179721">
            <w:pPr>
              <w:keepNext w:val="0"/>
              <w:keepLines w:val="0"/>
              <w:pageBreakBefore w:val="0"/>
              <w:widowControl/>
              <w:kinsoku/>
              <w:wordWrap/>
              <w:overflowPunct/>
              <w:topLinePunct w:val="0"/>
              <w:bidi w:val="0"/>
              <w:spacing w:line="480" w:lineRule="exact"/>
              <w:ind w:firstLine="480" w:firstLineChars="200"/>
              <w:textAlignment w:val="auto"/>
              <w:rPr>
                <w:kern w:val="0"/>
                <w:sz w:val="24"/>
                <w:lang w:bidi="ar"/>
              </w:rPr>
            </w:pPr>
            <w:r>
              <w:rPr>
                <w:rFonts w:hint="eastAsia"/>
                <w:kern w:val="0"/>
                <w:sz w:val="24"/>
                <w:lang w:bidi="ar"/>
              </w:rPr>
              <w:t>②挖掘机、装载机等生产设备要注意更换机油，并对老化和性能减低的旧设备进行更换。</w:t>
            </w:r>
          </w:p>
          <w:p w14:paraId="6DD80DE7">
            <w:pPr>
              <w:keepNext w:val="0"/>
              <w:keepLines w:val="0"/>
              <w:pageBreakBefore w:val="0"/>
              <w:widowControl/>
              <w:kinsoku/>
              <w:wordWrap/>
              <w:overflowPunct/>
              <w:topLinePunct w:val="0"/>
              <w:bidi w:val="0"/>
              <w:spacing w:line="480" w:lineRule="exact"/>
              <w:ind w:firstLine="480" w:firstLineChars="200"/>
              <w:textAlignment w:val="auto"/>
              <w:rPr>
                <w:kern w:val="0"/>
                <w:sz w:val="24"/>
                <w:lang w:bidi="ar"/>
              </w:rPr>
            </w:pPr>
            <w:r>
              <w:rPr>
                <w:rFonts w:hint="eastAsia"/>
                <w:kern w:val="0"/>
                <w:sz w:val="24"/>
                <w:lang w:bidi="ar"/>
              </w:rPr>
              <w:t>（3）交通噪声污染防治措施</w:t>
            </w:r>
          </w:p>
          <w:p w14:paraId="32C84334">
            <w:pPr>
              <w:keepNext w:val="0"/>
              <w:keepLines w:val="0"/>
              <w:pageBreakBefore w:val="0"/>
              <w:widowControl/>
              <w:kinsoku/>
              <w:wordWrap/>
              <w:overflowPunct/>
              <w:topLinePunct w:val="0"/>
              <w:bidi w:val="0"/>
              <w:spacing w:line="480" w:lineRule="exact"/>
              <w:ind w:firstLine="480" w:firstLineChars="200"/>
              <w:textAlignment w:val="auto"/>
              <w:rPr>
                <w:kern w:val="0"/>
                <w:sz w:val="24"/>
                <w:lang w:bidi="ar"/>
              </w:rPr>
            </w:pPr>
            <w:r>
              <w:rPr>
                <w:rFonts w:hint="eastAsia"/>
                <w:kern w:val="0"/>
                <w:sz w:val="24"/>
                <w:lang w:bidi="ar"/>
              </w:rPr>
              <w:t>本项目的建设势必增加矿区道路的车流量，特别是重载车流量增加，将带来一定的道路交通噪声影响，因此，建议采取如下降噪措施：</w:t>
            </w:r>
          </w:p>
          <w:p w14:paraId="328FD6E4">
            <w:pPr>
              <w:keepNext w:val="0"/>
              <w:keepLines w:val="0"/>
              <w:pageBreakBefore w:val="0"/>
              <w:widowControl/>
              <w:kinsoku/>
              <w:wordWrap/>
              <w:overflowPunct/>
              <w:topLinePunct w:val="0"/>
              <w:bidi w:val="0"/>
              <w:spacing w:line="480" w:lineRule="exact"/>
              <w:ind w:firstLine="480" w:firstLineChars="200"/>
              <w:textAlignment w:val="auto"/>
              <w:rPr>
                <w:kern w:val="0"/>
                <w:sz w:val="24"/>
                <w:lang w:bidi="ar"/>
              </w:rPr>
            </w:pPr>
            <w:r>
              <w:rPr>
                <w:rFonts w:hint="eastAsia"/>
                <w:kern w:val="0"/>
                <w:sz w:val="24"/>
                <w:lang w:bidi="ar"/>
              </w:rPr>
              <w:t>①优先选择新型低噪声运输车辆，同时应加强对运输车辆的维护，确保车辆的关键部件处于良好的运转状态，以减轻车辆噪声；</w:t>
            </w:r>
          </w:p>
          <w:p w14:paraId="05CB6ACD">
            <w:pPr>
              <w:keepNext w:val="0"/>
              <w:keepLines w:val="0"/>
              <w:pageBreakBefore w:val="0"/>
              <w:widowControl/>
              <w:kinsoku/>
              <w:wordWrap/>
              <w:overflowPunct/>
              <w:topLinePunct w:val="0"/>
              <w:bidi w:val="0"/>
              <w:spacing w:line="480" w:lineRule="exact"/>
              <w:ind w:firstLine="480" w:firstLineChars="200"/>
              <w:textAlignment w:val="auto"/>
              <w:rPr>
                <w:kern w:val="0"/>
                <w:sz w:val="24"/>
                <w:lang w:bidi="ar"/>
              </w:rPr>
            </w:pPr>
            <w:r>
              <w:rPr>
                <w:rFonts w:hint="eastAsia"/>
                <w:kern w:val="0"/>
                <w:sz w:val="24"/>
                <w:lang w:bidi="ar"/>
              </w:rPr>
              <w:t>②加强运输道路的维护和养护，确保路面的平整，以尽可能地避免因颠簸引发的噪声；</w:t>
            </w:r>
          </w:p>
          <w:p w14:paraId="4E68EF16">
            <w:pPr>
              <w:keepNext w:val="0"/>
              <w:keepLines w:val="0"/>
              <w:pageBreakBefore w:val="0"/>
              <w:widowControl/>
              <w:kinsoku/>
              <w:wordWrap/>
              <w:overflowPunct/>
              <w:topLinePunct w:val="0"/>
              <w:bidi w:val="0"/>
              <w:spacing w:line="480" w:lineRule="exact"/>
              <w:ind w:firstLine="480" w:firstLineChars="200"/>
              <w:textAlignment w:val="auto"/>
              <w:rPr>
                <w:kern w:val="0"/>
                <w:sz w:val="24"/>
                <w:lang w:bidi="ar"/>
              </w:rPr>
            </w:pPr>
            <w:r>
              <w:rPr>
                <w:rFonts w:hint="eastAsia"/>
                <w:kern w:val="0"/>
                <w:sz w:val="24"/>
                <w:lang w:bidi="ar"/>
              </w:rPr>
              <w:t>③对运输车辆实施禁鸣、限速等管理措施降低车辆噪声对声环境的影响；</w:t>
            </w:r>
          </w:p>
          <w:p w14:paraId="218A8241">
            <w:pPr>
              <w:keepNext w:val="0"/>
              <w:keepLines w:val="0"/>
              <w:pageBreakBefore w:val="0"/>
              <w:widowControl/>
              <w:kinsoku/>
              <w:wordWrap/>
              <w:overflowPunct/>
              <w:topLinePunct w:val="0"/>
              <w:bidi w:val="0"/>
              <w:spacing w:line="480" w:lineRule="exact"/>
              <w:ind w:firstLine="480" w:firstLineChars="200"/>
              <w:textAlignment w:val="auto"/>
              <w:rPr>
                <w:kern w:val="0"/>
                <w:sz w:val="24"/>
                <w:lang w:bidi="ar"/>
              </w:rPr>
            </w:pPr>
            <w:r>
              <w:rPr>
                <w:rFonts w:hint="eastAsia"/>
                <w:kern w:val="0"/>
                <w:sz w:val="24"/>
                <w:lang w:bidi="ar"/>
              </w:rPr>
              <w:t>④尽可能选择小负荷的运输汽车，同时禁止运输汽车超载运输；</w:t>
            </w:r>
          </w:p>
          <w:p w14:paraId="612FF364">
            <w:pPr>
              <w:keepNext w:val="0"/>
              <w:keepLines w:val="0"/>
              <w:pageBreakBefore w:val="0"/>
              <w:widowControl/>
              <w:kinsoku/>
              <w:wordWrap/>
              <w:overflowPunct/>
              <w:topLinePunct w:val="0"/>
              <w:bidi w:val="0"/>
              <w:spacing w:line="480" w:lineRule="exact"/>
              <w:ind w:firstLine="480" w:firstLineChars="200"/>
              <w:textAlignment w:val="auto"/>
              <w:rPr>
                <w:kern w:val="0"/>
                <w:sz w:val="24"/>
                <w:lang w:bidi="ar"/>
              </w:rPr>
            </w:pPr>
            <w:r>
              <w:rPr>
                <w:rFonts w:hint="eastAsia"/>
                <w:kern w:val="0"/>
                <w:sz w:val="24"/>
                <w:lang w:bidi="ar"/>
              </w:rPr>
              <w:t>⑤合理安排运输时间，严格限制在午间(中午十二点至十四点)和夜间(晚二十二点至凌晨六点)进行矿石等的运输作业。</w:t>
            </w:r>
          </w:p>
          <w:p w14:paraId="4E421FF1">
            <w:pPr>
              <w:keepNext w:val="0"/>
              <w:keepLines w:val="0"/>
              <w:pageBreakBefore w:val="0"/>
              <w:widowControl/>
              <w:kinsoku/>
              <w:wordWrap/>
              <w:overflowPunct/>
              <w:topLinePunct w:val="0"/>
              <w:bidi w:val="0"/>
              <w:spacing w:line="480" w:lineRule="exact"/>
              <w:ind w:firstLine="480" w:firstLineChars="200"/>
              <w:textAlignment w:val="auto"/>
              <w:rPr>
                <w:kern w:val="0"/>
                <w:sz w:val="24"/>
                <w:lang w:bidi="ar"/>
              </w:rPr>
            </w:pPr>
            <w:r>
              <w:rPr>
                <w:rFonts w:hint="eastAsia"/>
                <w:kern w:val="0"/>
                <w:sz w:val="24"/>
                <w:lang w:bidi="ar"/>
              </w:rPr>
              <w:t>⑥运输车辆在经过宋庄村时，采取禁止鸣笛、限速等措施。</w:t>
            </w:r>
          </w:p>
          <w:p w14:paraId="76D834CB">
            <w:pPr>
              <w:keepNext w:val="0"/>
              <w:keepLines w:val="0"/>
              <w:pageBreakBefore w:val="0"/>
              <w:widowControl/>
              <w:kinsoku/>
              <w:wordWrap/>
              <w:overflowPunct/>
              <w:topLinePunct w:val="0"/>
              <w:bidi w:val="0"/>
              <w:spacing w:line="480" w:lineRule="exact"/>
              <w:ind w:firstLine="482" w:firstLineChars="200"/>
              <w:textAlignment w:val="auto"/>
              <w:rPr>
                <w:b/>
                <w:bCs/>
                <w:kern w:val="0"/>
                <w:sz w:val="24"/>
                <w:lang w:bidi="ar"/>
              </w:rPr>
            </w:pPr>
            <w:r>
              <w:rPr>
                <w:rFonts w:hint="eastAsia"/>
                <w:b/>
                <w:bCs/>
                <w:kern w:val="0"/>
                <w:sz w:val="24"/>
                <w:lang w:bidi="ar"/>
              </w:rPr>
              <w:t>4.</w:t>
            </w:r>
            <w:r>
              <w:rPr>
                <w:b/>
                <w:bCs/>
                <w:kern w:val="0"/>
                <w:sz w:val="24"/>
                <w:lang w:bidi="ar"/>
              </w:rPr>
              <w:t>运营期固体废物环境保护措施</w:t>
            </w:r>
          </w:p>
          <w:p w14:paraId="2B95705D">
            <w:pPr>
              <w:keepNext w:val="0"/>
              <w:keepLines w:val="0"/>
              <w:pageBreakBefore w:val="0"/>
              <w:widowControl/>
              <w:kinsoku/>
              <w:wordWrap/>
              <w:overflowPunct/>
              <w:topLinePunct w:val="0"/>
              <w:bidi w:val="0"/>
              <w:spacing w:line="480" w:lineRule="exact"/>
              <w:ind w:firstLine="480" w:firstLineChars="200"/>
              <w:textAlignment w:val="auto"/>
              <w:rPr>
                <w:kern w:val="0"/>
                <w:sz w:val="24"/>
                <w:lang w:bidi="ar"/>
              </w:rPr>
            </w:pPr>
            <w:r>
              <w:rPr>
                <w:rFonts w:hint="eastAsia"/>
                <w:kern w:val="0"/>
                <w:sz w:val="24"/>
                <w:lang w:bidi="ar"/>
              </w:rPr>
              <w:t>本项目运营期固体废物主要为一般工业固体废物、危险废物（废机油、废棉纱手套、废油桶）等。</w:t>
            </w:r>
          </w:p>
          <w:p w14:paraId="6D016398">
            <w:pPr>
              <w:keepNext w:val="0"/>
              <w:keepLines w:val="0"/>
              <w:pageBreakBefore w:val="0"/>
              <w:widowControl/>
              <w:kinsoku/>
              <w:wordWrap/>
              <w:overflowPunct/>
              <w:topLinePunct w:val="0"/>
              <w:bidi w:val="0"/>
              <w:spacing w:line="480" w:lineRule="exact"/>
              <w:ind w:firstLine="480" w:firstLineChars="200"/>
              <w:textAlignment w:val="auto"/>
              <w:rPr>
                <w:kern w:val="0"/>
                <w:sz w:val="24"/>
                <w:lang w:bidi="ar"/>
              </w:rPr>
            </w:pPr>
            <w:r>
              <w:rPr>
                <w:rFonts w:hint="eastAsia"/>
                <w:kern w:val="0"/>
                <w:sz w:val="24"/>
                <w:lang w:bidi="ar"/>
              </w:rPr>
              <w:t>（1）一般工业固体废物</w:t>
            </w:r>
          </w:p>
          <w:p w14:paraId="42AFF1FF">
            <w:pPr>
              <w:keepNext w:val="0"/>
              <w:keepLines w:val="0"/>
              <w:pageBreakBefore w:val="0"/>
              <w:widowControl/>
              <w:kinsoku/>
              <w:wordWrap/>
              <w:overflowPunct/>
              <w:topLinePunct w:val="0"/>
              <w:bidi w:val="0"/>
              <w:spacing w:line="480" w:lineRule="exact"/>
              <w:ind w:firstLine="480" w:firstLineChars="200"/>
              <w:textAlignment w:val="auto"/>
              <w:rPr>
                <w:kern w:val="0"/>
                <w:sz w:val="24"/>
                <w:lang w:bidi="ar"/>
              </w:rPr>
            </w:pPr>
            <w:r>
              <w:rPr>
                <w:kern w:val="0"/>
                <w:sz w:val="24"/>
                <w:lang w:bidi="ar"/>
              </w:rPr>
              <w:t>采矿剥离物</w:t>
            </w:r>
          </w:p>
          <w:p w14:paraId="22F71E23">
            <w:pPr>
              <w:keepNext w:val="0"/>
              <w:keepLines w:val="0"/>
              <w:pageBreakBefore w:val="0"/>
              <w:widowControl/>
              <w:kinsoku/>
              <w:wordWrap/>
              <w:overflowPunct/>
              <w:topLinePunct w:val="0"/>
              <w:bidi w:val="0"/>
              <w:spacing w:line="480" w:lineRule="exact"/>
              <w:ind w:firstLine="480" w:firstLineChars="200"/>
              <w:textAlignment w:val="auto"/>
              <w:rPr>
                <w:kern w:val="0"/>
                <w:sz w:val="24"/>
                <w:lang w:bidi="ar"/>
              </w:rPr>
            </w:pPr>
            <w:r>
              <w:rPr>
                <w:rFonts w:hint="eastAsia"/>
                <w:kern w:val="0"/>
                <w:sz w:val="24"/>
                <w:lang w:bidi="ar"/>
              </w:rPr>
              <w:t>剥离物于排土场内规范堆存，表土后期用于生态恢复。</w:t>
            </w:r>
          </w:p>
          <w:p w14:paraId="0AC811BB">
            <w:pPr>
              <w:keepNext w:val="0"/>
              <w:keepLines w:val="0"/>
              <w:pageBreakBefore w:val="0"/>
              <w:widowControl/>
              <w:kinsoku/>
              <w:wordWrap/>
              <w:overflowPunct/>
              <w:topLinePunct w:val="0"/>
              <w:bidi w:val="0"/>
              <w:spacing w:line="480" w:lineRule="exact"/>
              <w:ind w:firstLine="480" w:firstLineChars="200"/>
              <w:textAlignment w:val="auto"/>
              <w:rPr>
                <w:kern w:val="0"/>
                <w:sz w:val="24"/>
                <w:lang w:bidi="ar"/>
              </w:rPr>
            </w:pPr>
            <w:r>
              <w:rPr>
                <w:rFonts w:hint="eastAsia"/>
                <w:kern w:val="0"/>
                <w:sz w:val="24"/>
                <w:lang w:bidi="ar"/>
              </w:rPr>
              <w:t>本矿剥离量共</w:t>
            </w:r>
            <w:r>
              <w:rPr>
                <w:kern w:val="0"/>
                <w:sz w:val="24"/>
                <w:lang w:bidi="ar"/>
              </w:rPr>
              <w:t>620.93</w:t>
            </w:r>
            <w:r>
              <w:rPr>
                <w:rFonts w:hint="eastAsia"/>
                <w:kern w:val="0"/>
                <w:sz w:val="24"/>
                <w:lang w:bidi="ar"/>
              </w:rPr>
              <w:t>万m</w:t>
            </w:r>
            <w:r>
              <w:rPr>
                <w:rFonts w:hint="eastAsia"/>
                <w:kern w:val="0"/>
                <w:sz w:val="24"/>
                <w:vertAlign w:val="superscript"/>
                <w:lang w:bidi="ar"/>
              </w:rPr>
              <w:t>3</w:t>
            </w:r>
            <w:r>
              <w:rPr>
                <w:rFonts w:hint="eastAsia"/>
                <w:kern w:val="0"/>
                <w:sz w:val="24"/>
                <w:lang w:bidi="ar"/>
              </w:rPr>
              <w:t>。其中外剥离总量为307.46万m</w:t>
            </w:r>
            <w:r>
              <w:rPr>
                <w:rFonts w:hint="eastAsia"/>
                <w:kern w:val="0"/>
                <w:sz w:val="24"/>
                <w:vertAlign w:val="superscript"/>
                <w:lang w:bidi="ar"/>
              </w:rPr>
              <w:t>3</w:t>
            </w:r>
            <w:r>
              <w:rPr>
                <w:rFonts w:hint="eastAsia"/>
                <w:kern w:val="0"/>
                <w:sz w:val="24"/>
                <w:lang w:bidi="ar"/>
              </w:rPr>
              <w:t>，内剥离总量313.47万m</w:t>
            </w:r>
            <w:r>
              <w:rPr>
                <w:rFonts w:hint="eastAsia"/>
                <w:kern w:val="0"/>
                <w:sz w:val="24"/>
                <w:vertAlign w:val="superscript"/>
                <w:lang w:bidi="ar"/>
              </w:rPr>
              <w:t>3</w:t>
            </w:r>
            <w:r>
              <w:rPr>
                <w:rFonts w:hint="eastAsia"/>
                <w:kern w:val="0"/>
                <w:sz w:val="24"/>
                <w:lang w:bidi="ar"/>
              </w:rPr>
              <w:t>。外剥离产生的废渣运至排土场堆排；内剥离产生的碎矿石经破碎系统破碎成不同粒径的碎石进行销售。按照高土高排、就近排放的原则，设计的排土场位于矿区东北侧，排土场标高1085-904m，总堆置高度</w:t>
            </w:r>
            <w:r>
              <w:rPr>
                <w:kern w:val="0"/>
                <w:sz w:val="24"/>
                <w:lang w:bidi="ar"/>
              </w:rPr>
              <w:t>181</w:t>
            </w:r>
            <w:r>
              <w:rPr>
                <w:rFonts w:hint="eastAsia"/>
                <w:kern w:val="0"/>
                <w:sz w:val="24"/>
                <w:lang w:bidi="ar"/>
              </w:rPr>
              <w:t>m，台阶高度20m，坡面角45°，马道宽5m，排土场容积</w:t>
            </w:r>
            <w:r>
              <w:rPr>
                <w:kern w:val="0"/>
                <w:sz w:val="24"/>
                <w:lang w:bidi="ar"/>
              </w:rPr>
              <w:t>940.66</w:t>
            </w:r>
            <w:r>
              <w:rPr>
                <w:rFonts w:hint="eastAsia"/>
                <w:kern w:val="0"/>
                <w:sz w:val="24"/>
                <w:lang w:bidi="ar"/>
              </w:rPr>
              <w:t>万m</w:t>
            </w:r>
            <w:r>
              <w:rPr>
                <w:rFonts w:hint="eastAsia"/>
                <w:kern w:val="0"/>
                <w:sz w:val="24"/>
                <w:vertAlign w:val="superscript"/>
                <w:lang w:bidi="ar"/>
              </w:rPr>
              <w:t>3</w:t>
            </w:r>
            <w:r>
              <w:rPr>
                <w:rFonts w:hint="eastAsia"/>
                <w:kern w:val="0"/>
                <w:sz w:val="24"/>
                <w:lang w:bidi="ar"/>
              </w:rPr>
              <w:t>。</w:t>
            </w:r>
            <w:r>
              <w:rPr>
                <w:rFonts w:hint="eastAsia"/>
                <w:sz w:val="24"/>
              </w:rPr>
              <w:t>排土场</w:t>
            </w:r>
            <w:r>
              <w:rPr>
                <w:sz w:val="24"/>
              </w:rPr>
              <w:t>已堆排废石408.6万m</w:t>
            </w:r>
            <w:r>
              <w:rPr>
                <w:sz w:val="24"/>
                <w:vertAlign w:val="superscript"/>
              </w:rPr>
              <w:t>3</w:t>
            </w:r>
            <w:r>
              <w:rPr>
                <w:sz w:val="24"/>
              </w:rPr>
              <w:t>，排土场剩余容积532.06万m</w:t>
            </w:r>
            <w:r>
              <w:rPr>
                <w:sz w:val="24"/>
                <w:vertAlign w:val="superscript"/>
              </w:rPr>
              <w:t>3</w:t>
            </w:r>
            <w:r>
              <w:rPr>
                <w:rFonts w:hint="eastAsia"/>
                <w:sz w:val="24"/>
              </w:rPr>
              <w:t>，</w:t>
            </w:r>
            <w:r>
              <w:rPr>
                <w:sz w:val="24"/>
              </w:rPr>
              <w:t>满足外剥离量</w:t>
            </w:r>
            <w:r>
              <w:rPr>
                <w:rFonts w:hint="eastAsia"/>
                <w:sz w:val="24"/>
              </w:rPr>
              <w:t>307.46</w:t>
            </w:r>
            <w:r>
              <w:rPr>
                <w:sz w:val="24"/>
              </w:rPr>
              <w:t>万m</w:t>
            </w:r>
            <w:r>
              <w:rPr>
                <w:sz w:val="24"/>
                <w:vertAlign w:val="superscript"/>
              </w:rPr>
              <w:t>3</w:t>
            </w:r>
            <w:r>
              <w:rPr>
                <w:sz w:val="24"/>
              </w:rPr>
              <w:t>排土需求。</w:t>
            </w:r>
          </w:p>
          <w:p w14:paraId="638E9D16">
            <w:pPr>
              <w:pStyle w:val="13"/>
              <w:keepNext w:val="0"/>
              <w:keepLines w:val="0"/>
              <w:pageBreakBefore w:val="0"/>
              <w:kinsoku/>
              <w:wordWrap/>
              <w:overflowPunct/>
              <w:topLinePunct w:val="0"/>
              <w:bidi w:val="0"/>
              <w:spacing w:line="480" w:lineRule="exact"/>
              <w:ind w:left="0" w:right="0" w:rightChars="0" w:firstLine="480" w:firstLineChars="200"/>
              <w:textAlignment w:val="auto"/>
              <w:rPr>
                <w:kern w:val="0"/>
                <w:lang w:bidi="ar"/>
              </w:rPr>
            </w:pPr>
            <w:r>
              <w:rPr>
                <w:rFonts w:hint="eastAsia"/>
                <w:kern w:val="0"/>
                <w:lang w:bidi="ar"/>
              </w:rPr>
              <w:t>（2）生活垃圾</w:t>
            </w:r>
          </w:p>
          <w:p w14:paraId="58C436F1">
            <w:pPr>
              <w:pStyle w:val="14"/>
              <w:keepNext w:val="0"/>
              <w:keepLines w:val="0"/>
              <w:pageBreakBefore w:val="0"/>
              <w:kinsoku/>
              <w:wordWrap/>
              <w:overflowPunct/>
              <w:topLinePunct w:val="0"/>
              <w:bidi w:val="0"/>
              <w:spacing w:after="0" w:line="480" w:lineRule="exact"/>
              <w:textAlignment w:val="auto"/>
              <w:rPr>
                <w:bCs/>
                <w:szCs w:val="24"/>
              </w:rPr>
            </w:pPr>
            <w:r>
              <w:rPr>
                <w:rFonts w:hint="eastAsia" w:eastAsia="宋体"/>
                <w:szCs w:val="24"/>
              </w:rPr>
              <w:t>办公生活区</w:t>
            </w:r>
            <w:r>
              <w:rPr>
                <w:rFonts w:eastAsia="宋体"/>
                <w:szCs w:val="24"/>
              </w:rPr>
              <w:t>内设置垃圾箱，经统一收集后送环卫部门指定地点进行处置。</w:t>
            </w:r>
          </w:p>
          <w:p w14:paraId="211AA90E">
            <w:pPr>
              <w:keepNext w:val="0"/>
              <w:keepLines w:val="0"/>
              <w:pageBreakBefore w:val="0"/>
              <w:widowControl/>
              <w:kinsoku/>
              <w:wordWrap/>
              <w:overflowPunct/>
              <w:topLinePunct w:val="0"/>
              <w:bidi w:val="0"/>
              <w:spacing w:line="480" w:lineRule="exact"/>
              <w:ind w:firstLine="480" w:firstLineChars="200"/>
              <w:textAlignment w:val="auto"/>
              <w:rPr>
                <w:kern w:val="0"/>
                <w:sz w:val="24"/>
                <w:lang w:bidi="ar"/>
              </w:rPr>
            </w:pPr>
            <w:r>
              <w:rPr>
                <w:rFonts w:hint="eastAsia"/>
                <w:kern w:val="0"/>
                <w:sz w:val="24"/>
                <w:lang w:bidi="ar"/>
              </w:rPr>
              <w:t>（3）危险废物</w:t>
            </w:r>
          </w:p>
          <w:p w14:paraId="22A5C2A6">
            <w:pPr>
              <w:keepNext w:val="0"/>
              <w:keepLines w:val="0"/>
              <w:pageBreakBefore w:val="0"/>
              <w:widowControl/>
              <w:kinsoku/>
              <w:wordWrap/>
              <w:overflowPunct/>
              <w:topLinePunct w:val="0"/>
              <w:bidi w:val="0"/>
              <w:spacing w:line="480" w:lineRule="exact"/>
              <w:ind w:firstLine="480" w:firstLineChars="200"/>
              <w:textAlignment w:val="auto"/>
              <w:rPr>
                <w:kern w:val="0"/>
                <w:sz w:val="24"/>
                <w:lang w:bidi="ar"/>
              </w:rPr>
            </w:pPr>
            <w:r>
              <w:rPr>
                <w:rFonts w:hint="eastAsia"/>
                <w:kern w:val="0"/>
                <w:sz w:val="24"/>
                <w:lang w:bidi="ar"/>
              </w:rPr>
              <w:t>本项目产生的危险废物主要为废机油、废棉纱手套、废油桶等，经统一收集，暂存于本项目配套工业广场危废贮存点（</w:t>
            </w:r>
            <w:r>
              <w:rPr>
                <w:kern w:val="0"/>
                <w:sz w:val="24"/>
                <w:lang w:bidi="ar"/>
              </w:rPr>
              <w:t>1</w:t>
            </w:r>
            <w:r>
              <w:rPr>
                <w:rFonts w:hint="eastAsia"/>
                <w:kern w:val="0"/>
                <w:sz w:val="24"/>
                <w:lang w:bidi="ar"/>
              </w:rPr>
              <w:t>0m</w:t>
            </w:r>
            <w:r>
              <w:rPr>
                <w:rFonts w:hint="eastAsia"/>
                <w:kern w:val="0"/>
                <w:sz w:val="24"/>
                <w:vertAlign w:val="superscript"/>
                <w:lang w:bidi="ar"/>
              </w:rPr>
              <w:t>2</w:t>
            </w:r>
            <w:r>
              <w:rPr>
                <w:rFonts w:hint="eastAsia"/>
                <w:kern w:val="0"/>
                <w:sz w:val="24"/>
                <w:lang w:bidi="ar"/>
              </w:rPr>
              <w:t>），定期交由有资质单位进行处置。</w:t>
            </w:r>
          </w:p>
          <w:p w14:paraId="34A49742">
            <w:pPr>
              <w:keepNext w:val="0"/>
              <w:keepLines w:val="0"/>
              <w:pageBreakBefore w:val="0"/>
              <w:widowControl/>
              <w:kinsoku/>
              <w:wordWrap/>
              <w:overflowPunct/>
              <w:topLinePunct w:val="0"/>
              <w:bidi w:val="0"/>
              <w:spacing w:line="480" w:lineRule="exact"/>
              <w:ind w:firstLine="480" w:firstLineChars="200"/>
              <w:textAlignment w:val="auto"/>
              <w:rPr>
                <w:kern w:val="0"/>
                <w:sz w:val="24"/>
                <w:highlight w:val="yellow"/>
                <w:lang w:bidi="ar"/>
              </w:rPr>
            </w:pPr>
            <w:r>
              <w:rPr>
                <w:rFonts w:hint="eastAsia"/>
                <w:kern w:val="0"/>
                <w:sz w:val="24"/>
                <w:lang w:bidi="ar"/>
              </w:rPr>
              <w:t>配套工业广场</w:t>
            </w:r>
            <w:r>
              <w:rPr>
                <w:rFonts w:hint="eastAsia"/>
                <w:kern w:val="0"/>
                <w:sz w:val="24"/>
                <w:lang w:val="en-US" w:eastAsia="zh-CN" w:bidi="ar"/>
              </w:rPr>
              <w:t>现有</w:t>
            </w:r>
            <w:r>
              <w:rPr>
                <w:sz w:val="24"/>
              </w:rPr>
              <w:t>危废贮存点</w:t>
            </w:r>
            <w:r>
              <w:rPr>
                <w:rFonts w:hint="eastAsia"/>
                <w:sz w:val="24"/>
              </w:rPr>
              <w:t>占地</w:t>
            </w:r>
            <w:r>
              <w:rPr>
                <w:sz w:val="24"/>
              </w:rPr>
              <w:t>面积为</w:t>
            </w:r>
            <w:r>
              <w:rPr>
                <w:rFonts w:hint="eastAsia"/>
                <w:sz w:val="24"/>
              </w:rPr>
              <w:t>10</w:t>
            </w:r>
            <w:r>
              <w:rPr>
                <w:sz w:val="24"/>
              </w:rPr>
              <w:t>m</w:t>
            </w:r>
            <w:r>
              <w:rPr>
                <w:sz w:val="24"/>
                <w:vertAlign w:val="superscript"/>
              </w:rPr>
              <w:t>2</w:t>
            </w:r>
            <w:r>
              <w:rPr>
                <w:sz w:val="24"/>
              </w:rPr>
              <w:t>，</w:t>
            </w:r>
            <w:r>
              <w:rPr>
                <w:rFonts w:hint="eastAsia"/>
                <w:sz w:val="24"/>
              </w:rPr>
              <w:t>其中预留5m</w:t>
            </w:r>
            <w:r>
              <w:rPr>
                <w:rFonts w:hint="eastAsia"/>
                <w:sz w:val="24"/>
                <w:vertAlign w:val="superscript"/>
              </w:rPr>
              <w:t>2</w:t>
            </w:r>
            <w:r>
              <w:rPr>
                <w:rFonts w:hint="eastAsia"/>
                <w:sz w:val="24"/>
              </w:rPr>
              <w:t>的区域作为本项目危废贮存区。</w:t>
            </w:r>
            <w:r>
              <w:rPr>
                <w:sz w:val="24"/>
              </w:rPr>
              <w:t>本项目废油桶占地面积预计2m</w:t>
            </w:r>
            <w:r>
              <w:rPr>
                <w:sz w:val="24"/>
                <w:vertAlign w:val="superscript"/>
              </w:rPr>
              <w:t>2</w:t>
            </w:r>
            <w:r>
              <w:rPr>
                <w:sz w:val="24"/>
              </w:rPr>
              <w:t>，废机油存放面积预计</w:t>
            </w:r>
            <w:r>
              <w:rPr>
                <w:rFonts w:hint="eastAsia"/>
                <w:sz w:val="24"/>
              </w:rPr>
              <w:t>1</w:t>
            </w:r>
            <w:r>
              <w:rPr>
                <w:sz w:val="24"/>
              </w:rPr>
              <w:t>m</w:t>
            </w:r>
            <w:r>
              <w:rPr>
                <w:sz w:val="24"/>
                <w:vertAlign w:val="superscript"/>
              </w:rPr>
              <w:t>2</w:t>
            </w:r>
            <w:r>
              <w:rPr>
                <w:sz w:val="24"/>
              </w:rPr>
              <w:t>，</w:t>
            </w:r>
            <w:r>
              <w:rPr>
                <w:rFonts w:hint="eastAsia"/>
                <w:sz w:val="24"/>
              </w:rPr>
              <w:t>新建</w:t>
            </w:r>
            <w:r>
              <w:rPr>
                <w:sz w:val="24"/>
              </w:rPr>
              <w:t>危废贮存点空间可容纳本项目产生危废的暂存。</w:t>
            </w:r>
          </w:p>
          <w:p w14:paraId="690EB3AF">
            <w:pPr>
              <w:pStyle w:val="28"/>
              <w:keepNext w:val="0"/>
              <w:keepLines w:val="0"/>
              <w:pageBreakBefore w:val="0"/>
              <w:kinsoku/>
              <w:wordWrap/>
              <w:overflowPunct/>
              <w:topLinePunct w:val="0"/>
              <w:bidi w:val="0"/>
              <w:spacing w:after="0" w:line="480" w:lineRule="exact"/>
              <w:ind w:left="0" w:leftChars="0" w:firstLine="480" w:firstLineChars="200"/>
              <w:textAlignment w:val="auto"/>
              <w:rPr>
                <w:rFonts w:ascii="Times New Roman" w:eastAsia="宋体"/>
                <w:kern w:val="0"/>
                <w:sz w:val="24"/>
                <w:highlight w:val="red"/>
                <w:lang w:bidi="ar"/>
              </w:rPr>
            </w:pPr>
            <w:r>
              <w:rPr>
                <w:rFonts w:hint="eastAsia" w:ascii="Times New Roman" w:eastAsia="宋体"/>
                <w:kern w:val="0"/>
                <w:sz w:val="24"/>
                <w:lang w:bidi="ar"/>
              </w:rPr>
              <w:t>危废贮存点为独立封闭式建筑物，危废贮存点门口</w:t>
            </w:r>
            <w:r>
              <w:rPr>
                <w:rFonts w:hint="eastAsia" w:ascii="Times New Roman" w:eastAsia="宋体"/>
                <w:kern w:val="0"/>
                <w:sz w:val="24"/>
                <w:lang w:val="en-US" w:eastAsia="zh-CN" w:bidi="ar"/>
              </w:rPr>
              <w:t>已</w:t>
            </w:r>
            <w:r>
              <w:rPr>
                <w:rFonts w:hint="eastAsia" w:ascii="Times New Roman" w:eastAsia="宋体"/>
                <w:kern w:val="0"/>
                <w:sz w:val="24"/>
                <w:lang w:bidi="ar"/>
              </w:rPr>
              <w:t>设置漫坡，满足防风、防晒、防雨</w:t>
            </w:r>
            <w:r>
              <w:rPr>
                <w:rFonts w:hint="eastAsia" w:ascii="Times New Roman" w:eastAsia="宋体"/>
                <w:kern w:val="0"/>
                <w:sz w:val="24"/>
                <w:lang w:val="en-US" w:eastAsia="zh-CN" w:bidi="ar"/>
              </w:rPr>
              <w:t>要求</w:t>
            </w:r>
            <w:r>
              <w:rPr>
                <w:rFonts w:hint="eastAsia" w:ascii="Times New Roman" w:eastAsia="宋体"/>
                <w:kern w:val="0"/>
                <w:sz w:val="24"/>
                <w:lang w:bidi="ar"/>
              </w:rPr>
              <w:t>。</w:t>
            </w:r>
            <w:r>
              <w:rPr>
                <w:rFonts w:hint="eastAsia" w:ascii="Times New Roman" w:eastAsia="宋体"/>
                <w:kern w:val="0"/>
                <w:sz w:val="24"/>
                <w:lang w:val="en-US" w:eastAsia="zh-CN" w:bidi="ar"/>
              </w:rPr>
              <w:t>现有</w:t>
            </w:r>
            <w:r>
              <w:rPr>
                <w:rFonts w:hint="eastAsia" w:ascii="Times New Roman" w:eastAsia="宋体"/>
                <w:kern w:val="0"/>
                <w:sz w:val="24"/>
                <w:lang w:bidi="ar"/>
              </w:rPr>
              <w:t>危废贮存点地面与裙角底层为水泥砂浆</w:t>
            </w:r>
            <w:r>
              <w:rPr>
                <w:rFonts w:hint="eastAsia" w:ascii="Times New Roman" w:eastAsia="宋体"/>
                <w:kern w:val="0"/>
                <w:sz w:val="24"/>
                <w:lang w:val="en-US" w:eastAsia="zh-CN" w:bidi="ar"/>
              </w:rPr>
              <w:t>铺设</w:t>
            </w:r>
            <w:r>
              <w:rPr>
                <w:rFonts w:hint="eastAsia" w:ascii="Times New Roman" w:eastAsia="宋体"/>
                <w:kern w:val="0"/>
                <w:sz w:val="24"/>
                <w:lang w:bidi="ar"/>
              </w:rPr>
              <w:t>，上面</w:t>
            </w:r>
            <w:r>
              <w:rPr>
                <w:rFonts w:hint="eastAsia" w:ascii="Times New Roman" w:eastAsia="宋体"/>
                <w:kern w:val="0"/>
                <w:sz w:val="24"/>
                <w:lang w:val="en-US" w:eastAsia="zh-CN" w:bidi="ar"/>
              </w:rPr>
              <w:t>已</w:t>
            </w:r>
            <w:r>
              <w:rPr>
                <w:rFonts w:hint="eastAsia" w:ascii="Times New Roman" w:eastAsia="宋体"/>
                <w:kern w:val="0"/>
                <w:sz w:val="24"/>
                <w:lang w:bidi="ar"/>
              </w:rPr>
              <w:t>铺设2mm厚高密度聚乙烯防渗布，以防渗混凝土做地面，最后铺设一层环氧树脂防腐涂层，建设围堰、导流槽及容积1m</w:t>
            </w:r>
            <w:r>
              <w:rPr>
                <w:rFonts w:hint="eastAsia" w:ascii="Times New Roman" w:eastAsia="宋体"/>
                <w:kern w:val="0"/>
                <w:sz w:val="24"/>
                <w:vertAlign w:val="superscript"/>
                <w:lang w:bidi="ar"/>
              </w:rPr>
              <w:t>3</w:t>
            </w:r>
            <w:r>
              <w:rPr>
                <w:rFonts w:hint="eastAsia" w:ascii="Times New Roman" w:eastAsia="宋体"/>
                <w:kern w:val="0"/>
                <w:sz w:val="24"/>
                <w:lang w:bidi="ar"/>
              </w:rPr>
              <w:t>的集液池，满足防漏、防渗和防腐要求。</w:t>
            </w:r>
          </w:p>
          <w:p w14:paraId="2C6407F0">
            <w:pPr>
              <w:keepNext w:val="0"/>
              <w:keepLines w:val="0"/>
              <w:pageBreakBefore w:val="0"/>
              <w:kinsoku/>
              <w:wordWrap/>
              <w:overflowPunct/>
              <w:topLinePunct w:val="0"/>
              <w:bidi w:val="0"/>
              <w:spacing w:line="480" w:lineRule="exact"/>
              <w:ind w:firstLine="480" w:firstLineChars="200"/>
              <w:textAlignment w:val="auto"/>
              <w:rPr>
                <w:kern w:val="0"/>
                <w:sz w:val="24"/>
                <w:highlight w:val="red"/>
                <w:lang w:bidi="ar"/>
              </w:rPr>
            </w:pPr>
            <w:r>
              <w:rPr>
                <w:rFonts w:hint="eastAsia"/>
                <w:sz w:val="24"/>
              </w:rPr>
              <w:t>综上所述，</w:t>
            </w:r>
            <w:r>
              <w:rPr>
                <w:sz w:val="24"/>
              </w:rPr>
              <w:t>本项目危险废物暂存可依托</w:t>
            </w:r>
            <w:r>
              <w:rPr>
                <w:rFonts w:hint="eastAsia"/>
                <w:kern w:val="0"/>
                <w:sz w:val="24"/>
                <w:lang w:bidi="ar"/>
              </w:rPr>
              <w:t>配套工业广场危废贮存点</w:t>
            </w:r>
            <w:r>
              <w:rPr>
                <w:sz w:val="24"/>
              </w:rPr>
              <w:t>。</w:t>
            </w:r>
          </w:p>
          <w:p w14:paraId="60D2BD3C">
            <w:pPr>
              <w:keepNext w:val="0"/>
              <w:keepLines w:val="0"/>
              <w:pageBreakBefore w:val="0"/>
              <w:widowControl/>
              <w:kinsoku/>
              <w:wordWrap/>
              <w:overflowPunct/>
              <w:topLinePunct w:val="0"/>
              <w:bidi w:val="0"/>
              <w:spacing w:line="480" w:lineRule="exact"/>
              <w:ind w:firstLine="482" w:firstLineChars="200"/>
              <w:textAlignment w:val="auto"/>
              <w:rPr>
                <w:b/>
                <w:bCs/>
                <w:kern w:val="0"/>
                <w:sz w:val="24"/>
                <w:lang w:bidi="ar"/>
              </w:rPr>
            </w:pPr>
            <w:r>
              <w:rPr>
                <w:rFonts w:hint="eastAsia"/>
                <w:b/>
                <w:bCs/>
                <w:kern w:val="0"/>
                <w:sz w:val="24"/>
                <w:lang w:bidi="ar"/>
              </w:rPr>
              <w:t>5.运营期土壤、地下水保护措施</w:t>
            </w:r>
          </w:p>
          <w:p w14:paraId="43FFF2CD">
            <w:pPr>
              <w:keepNext w:val="0"/>
              <w:keepLines w:val="0"/>
              <w:pageBreakBefore w:val="0"/>
              <w:widowControl/>
              <w:kinsoku/>
              <w:wordWrap/>
              <w:overflowPunct/>
              <w:topLinePunct w:val="0"/>
              <w:bidi w:val="0"/>
              <w:spacing w:line="480" w:lineRule="exact"/>
              <w:ind w:firstLine="480" w:firstLineChars="200"/>
              <w:textAlignment w:val="auto"/>
              <w:rPr>
                <w:b/>
                <w:bCs/>
                <w:kern w:val="0"/>
                <w:sz w:val="24"/>
                <w:lang w:bidi="ar"/>
              </w:rPr>
            </w:pPr>
            <w:r>
              <w:rPr>
                <w:kern w:val="0"/>
                <w:sz w:val="24"/>
                <w:lang w:bidi="ar"/>
              </w:rPr>
              <w:t>本项目</w:t>
            </w:r>
            <w:r>
              <w:rPr>
                <w:rFonts w:hint="eastAsia"/>
                <w:kern w:val="0"/>
                <w:sz w:val="24"/>
                <w:lang w:bidi="ar"/>
              </w:rPr>
              <w:t>仅设置</w:t>
            </w:r>
            <w:r>
              <w:rPr>
                <w:kern w:val="0"/>
                <w:sz w:val="24"/>
                <w:lang w:bidi="ar"/>
              </w:rPr>
              <w:t>简单防渗区。</w:t>
            </w:r>
            <w:r>
              <w:rPr>
                <w:rFonts w:hint="eastAsia"/>
                <w:kern w:val="0"/>
                <w:sz w:val="24"/>
                <w:lang w:bidi="ar"/>
              </w:rPr>
              <w:t>防渗措施见</w:t>
            </w:r>
            <w:r>
              <w:rPr>
                <w:rFonts w:hint="eastAsia"/>
                <w:kern w:val="0"/>
                <w:sz w:val="24"/>
              </w:rPr>
              <w:t>表5-1</w:t>
            </w:r>
            <w:r>
              <w:rPr>
                <w:rFonts w:hint="eastAsia"/>
                <w:kern w:val="0"/>
                <w:sz w:val="24"/>
                <w:lang w:val="en-US" w:eastAsia="zh-CN"/>
              </w:rPr>
              <w:t>4</w:t>
            </w:r>
            <w:r>
              <w:rPr>
                <w:rFonts w:hint="eastAsia"/>
                <w:kern w:val="0"/>
                <w:sz w:val="24"/>
              </w:rPr>
              <w:t>。</w:t>
            </w:r>
          </w:p>
          <w:p w14:paraId="36693F1E">
            <w:pPr>
              <w:pStyle w:val="15"/>
              <w:keepNext w:val="0"/>
              <w:keepLines w:val="0"/>
              <w:pageBreakBefore w:val="0"/>
              <w:widowControl/>
              <w:kinsoku/>
              <w:wordWrap/>
              <w:overflowPunct/>
              <w:topLinePunct w:val="0"/>
              <w:bidi w:val="0"/>
              <w:spacing w:line="480" w:lineRule="exact"/>
              <w:ind w:firstLine="420" w:firstLineChars="200"/>
              <w:textAlignment w:val="auto"/>
              <w:rPr>
                <w:rFonts w:ascii="宋体" w:hAnsi="宋体" w:eastAsia="宋体" w:cs="宋体"/>
                <w:b/>
                <w:bCs/>
              </w:rPr>
            </w:pPr>
            <w:r>
              <w:rPr>
                <w:rFonts w:hint="eastAsia" w:ascii="宋体" w:hAnsi="宋体" w:eastAsia="宋体" w:cs="宋体"/>
                <w:sz w:val="21"/>
                <w:szCs w:val="21"/>
              </w:rPr>
              <w:t>表</w:t>
            </w:r>
            <w:r>
              <w:rPr>
                <w:rFonts w:eastAsia="宋体"/>
                <w:sz w:val="21"/>
                <w:szCs w:val="21"/>
              </w:rPr>
              <w:t>5-1</w:t>
            </w:r>
            <w:r>
              <w:rPr>
                <w:rFonts w:hint="eastAsia" w:eastAsia="宋体"/>
                <w:sz w:val="21"/>
                <w:szCs w:val="21"/>
                <w:lang w:val="en-US" w:eastAsia="zh-CN"/>
              </w:rPr>
              <w:t>4</w:t>
            </w:r>
            <w:r>
              <w:rPr>
                <w:rFonts w:hint="eastAsia" w:ascii="宋体" w:hAnsi="宋体" w:eastAsia="宋体" w:cs="宋体"/>
                <w:sz w:val="21"/>
                <w:szCs w:val="21"/>
              </w:rPr>
              <w:t xml:space="preserve"> 本项目分区防渗一览表</w:t>
            </w:r>
          </w:p>
          <w:tbl>
            <w:tblPr>
              <w:tblStyle w:val="29"/>
              <w:tblW w:w="4998" w:type="pct"/>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autofit"/>
              <w:tblCellMar>
                <w:top w:w="0" w:type="dxa"/>
                <w:left w:w="108" w:type="dxa"/>
                <w:bottom w:w="0" w:type="dxa"/>
                <w:right w:w="108" w:type="dxa"/>
              </w:tblCellMar>
            </w:tblPr>
            <w:tblGrid>
              <w:gridCol w:w="566"/>
              <w:gridCol w:w="1226"/>
              <w:gridCol w:w="915"/>
              <w:gridCol w:w="1637"/>
              <w:gridCol w:w="3805"/>
            </w:tblGrid>
            <w:tr w14:paraId="49CBEA4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40" w:hRule="atLeast"/>
              </w:trPr>
              <w:tc>
                <w:tcPr>
                  <w:tcW w:w="347" w:type="pct"/>
                  <w:tcBorders>
                    <w:tl2br w:val="nil"/>
                    <w:tr2bl w:val="nil"/>
                  </w:tcBorders>
                  <w:vAlign w:val="center"/>
                </w:tcPr>
                <w:p w14:paraId="649D7B6A">
                  <w:pPr>
                    <w:widowControl/>
                    <w:jc w:val="center"/>
                    <w:textAlignment w:val="center"/>
                    <w:rPr>
                      <w:szCs w:val="21"/>
                    </w:rPr>
                  </w:pPr>
                  <w:r>
                    <w:rPr>
                      <w:kern w:val="0"/>
                      <w:szCs w:val="21"/>
                      <w:lang w:bidi="ar"/>
                    </w:rPr>
                    <w:t>序号</w:t>
                  </w:r>
                </w:p>
              </w:tc>
              <w:tc>
                <w:tcPr>
                  <w:tcW w:w="752" w:type="pct"/>
                  <w:tcBorders>
                    <w:tl2br w:val="nil"/>
                    <w:tr2bl w:val="nil"/>
                  </w:tcBorders>
                  <w:vAlign w:val="center"/>
                </w:tcPr>
                <w:p w14:paraId="3E64FF07">
                  <w:pPr>
                    <w:widowControl/>
                    <w:jc w:val="center"/>
                    <w:textAlignment w:val="center"/>
                    <w:rPr>
                      <w:szCs w:val="21"/>
                    </w:rPr>
                  </w:pPr>
                  <w:r>
                    <w:rPr>
                      <w:kern w:val="0"/>
                      <w:szCs w:val="21"/>
                      <w:lang w:bidi="ar"/>
                    </w:rPr>
                    <w:t>场地</w:t>
                  </w:r>
                </w:p>
              </w:tc>
              <w:tc>
                <w:tcPr>
                  <w:tcW w:w="561" w:type="pct"/>
                  <w:tcBorders>
                    <w:tl2br w:val="nil"/>
                    <w:tr2bl w:val="nil"/>
                  </w:tcBorders>
                  <w:vAlign w:val="center"/>
                </w:tcPr>
                <w:p w14:paraId="5ADA0EF1">
                  <w:pPr>
                    <w:widowControl/>
                    <w:jc w:val="center"/>
                    <w:textAlignment w:val="center"/>
                    <w:rPr>
                      <w:szCs w:val="21"/>
                    </w:rPr>
                  </w:pPr>
                  <w:r>
                    <w:rPr>
                      <w:kern w:val="0"/>
                      <w:szCs w:val="21"/>
                      <w:lang w:bidi="ar"/>
                    </w:rPr>
                    <w:t>防渗分区</w:t>
                  </w:r>
                </w:p>
              </w:tc>
              <w:tc>
                <w:tcPr>
                  <w:tcW w:w="1004" w:type="pct"/>
                  <w:tcBorders>
                    <w:tl2br w:val="nil"/>
                    <w:tr2bl w:val="nil"/>
                  </w:tcBorders>
                  <w:vAlign w:val="center"/>
                </w:tcPr>
                <w:p w14:paraId="42E8C2E5">
                  <w:pPr>
                    <w:widowControl/>
                    <w:ind w:left="-105" w:leftChars="-50" w:right="-105" w:rightChars="-50"/>
                    <w:jc w:val="center"/>
                    <w:textAlignment w:val="center"/>
                    <w:rPr>
                      <w:szCs w:val="21"/>
                    </w:rPr>
                  </w:pPr>
                  <w:r>
                    <w:rPr>
                      <w:kern w:val="0"/>
                      <w:szCs w:val="21"/>
                      <w:lang w:bidi="ar"/>
                    </w:rPr>
                    <w:t>防渗技术要求</w:t>
                  </w:r>
                </w:p>
              </w:tc>
              <w:tc>
                <w:tcPr>
                  <w:tcW w:w="2334" w:type="pct"/>
                  <w:tcBorders>
                    <w:tl2br w:val="nil"/>
                    <w:tr2bl w:val="nil"/>
                  </w:tcBorders>
                  <w:vAlign w:val="center"/>
                </w:tcPr>
                <w:p w14:paraId="5EB13E01">
                  <w:pPr>
                    <w:widowControl/>
                    <w:jc w:val="center"/>
                    <w:textAlignment w:val="center"/>
                    <w:rPr>
                      <w:szCs w:val="21"/>
                    </w:rPr>
                  </w:pPr>
                  <w:r>
                    <w:rPr>
                      <w:kern w:val="0"/>
                      <w:szCs w:val="21"/>
                      <w:lang w:bidi="ar"/>
                    </w:rPr>
                    <w:t>采取的防渗处理措施</w:t>
                  </w:r>
                </w:p>
              </w:tc>
            </w:tr>
            <w:tr w14:paraId="63A8CFD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40" w:hRule="atLeast"/>
              </w:trPr>
              <w:tc>
                <w:tcPr>
                  <w:tcW w:w="347" w:type="pct"/>
                  <w:tcBorders>
                    <w:tl2br w:val="nil"/>
                    <w:tr2bl w:val="nil"/>
                  </w:tcBorders>
                  <w:vAlign w:val="center"/>
                </w:tcPr>
                <w:p w14:paraId="5E6BB719">
                  <w:pPr>
                    <w:widowControl/>
                    <w:jc w:val="center"/>
                    <w:textAlignment w:val="center"/>
                    <w:rPr>
                      <w:szCs w:val="21"/>
                    </w:rPr>
                  </w:pPr>
                  <w:r>
                    <w:rPr>
                      <w:rFonts w:hint="eastAsia"/>
                      <w:kern w:val="0"/>
                      <w:szCs w:val="21"/>
                      <w:lang w:bidi="ar"/>
                    </w:rPr>
                    <w:t>1</w:t>
                  </w:r>
                </w:p>
              </w:tc>
              <w:tc>
                <w:tcPr>
                  <w:tcW w:w="752" w:type="pct"/>
                  <w:tcBorders>
                    <w:tl2br w:val="nil"/>
                    <w:tr2bl w:val="nil"/>
                  </w:tcBorders>
                  <w:vAlign w:val="center"/>
                </w:tcPr>
                <w:p w14:paraId="1DA69C16">
                  <w:pPr>
                    <w:widowControl/>
                    <w:ind w:left="-105" w:leftChars="-50" w:right="-105" w:rightChars="-50"/>
                    <w:jc w:val="center"/>
                    <w:textAlignment w:val="center"/>
                    <w:rPr>
                      <w:szCs w:val="21"/>
                    </w:rPr>
                  </w:pPr>
                  <w:r>
                    <w:rPr>
                      <w:rFonts w:hint="eastAsia"/>
                      <w:kern w:val="0"/>
                      <w:szCs w:val="21"/>
                      <w:lang w:bidi="ar"/>
                    </w:rPr>
                    <w:t>运矿道路、办公生活区</w:t>
                  </w:r>
                </w:p>
              </w:tc>
              <w:tc>
                <w:tcPr>
                  <w:tcW w:w="561" w:type="pct"/>
                  <w:tcBorders>
                    <w:tl2br w:val="nil"/>
                    <w:tr2bl w:val="nil"/>
                  </w:tcBorders>
                  <w:vAlign w:val="center"/>
                </w:tcPr>
                <w:p w14:paraId="45C58A3B">
                  <w:pPr>
                    <w:widowControl/>
                    <w:jc w:val="center"/>
                    <w:textAlignment w:val="center"/>
                    <w:rPr>
                      <w:szCs w:val="21"/>
                    </w:rPr>
                  </w:pPr>
                  <w:r>
                    <w:rPr>
                      <w:kern w:val="0"/>
                      <w:szCs w:val="21"/>
                      <w:lang w:bidi="ar"/>
                    </w:rPr>
                    <w:t>简单防渗区</w:t>
                  </w:r>
                </w:p>
              </w:tc>
              <w:tc>
                <w:tcPr>
                  <w:tcW w:w="1004" w:type="pct"/>
                  <w:tcBorders>
                    <w:tl2br w:val="nil"/>
                    <w:tr2bl w:val="nil"/>
                  </w:tcBorders>
                  <w:vAlign w:val="center"/>
                </w:tcPr>
                <w:p w14:paraId="07DD4E7F">
                  <w:pPr>
                    <w:widowControl/>
                    <w:jc w:val="center"/>
                    <w:textAlignment w:val="center"/>
                    <w:rPr>
                      <w:szCs w:val="21"/>
                    </w:rPr>
                  </w:pPr>
                  <w:r>
                    <w:rPr>
                      <w:kern w:val="0"/>
                      <w:szCs w:val="21"/>
                      <w:lang w:bidi="ar"/>
                    </w:rPr>
                    <w:t>一般地面硬化</w:t>
                  </w:r>
                </w:p>
              </w:tc>
              <w:tc>
                <w:tcPr>
                  <w:tcW w:w="2334" w:type="pct"/>
                  <w:tcBorders>
                    <w:tl2br w:val="nil"/>
                    <w:tr2bl w:val="nil"/>
                  </w:tcBorders>
                  <w:vAlign w:val="center"/>
                </w:tcPr>
                <w:p w14:paraId="40C9EAAE">
                  <w:pPr>
                    <w:widowControl/>
                    <w:textAlignment w:val="center"/>
                    <w:rPr>
                      <w:szCs w:val="21"/>
                    </w:rPr>
                  </w:pPr>
                  <w:r>
                    <w:rPr>
                      <w:kern w:val="0"/>
                      <w:szCs w:val="21"/>
                      <w:lang w:bidi="ar"/>
                    </w:rPr>
                    <w:t>C30混凝土硬化</w:t>
                  </w:r>
                  <w:r>
                    <w:rPr>
                      <w:rFonts w:hint="eastAsia"/>
                      <w:kern w:val="0"/>
                      <w:szCs w:val="21"/>
                      <w:lang w:bidi="ar"/>
                    </w:rPr>
                    <w:t>；</w:t>
                  </w:r>
                  <w:r>
                    <w:rPr>
                      <w:kern w:val="0"/>
                      <w:szCs w:val="21"/>
                      <w:lang w:bidi="ar"/>
                    </w:rPr>
                    <w:t>基础土分层夯实</w:t>
                  </w:r>
                  <w:r>
                    <w:rPr>
                      <w:rFonts w:hint="eastAsia"/>
                      <w:kern w:val="0"/>
                      <w:szCs w:val="21"/>
                      <w:lang w:bidi="ar"/>
                    </w:rPr>
                    <w:t>，</w:t>
                  </w:r>
                  <w:r>
                    <w:rPr>
                      <w:kern w:val="0"/>
                      <w:szCs w:val="21"/>
                      <w:lang w:bidi="ar"/>
                    </w:rPr>
                    <w:t>压实系数不小于0.95。</w:t>
                  </w:r>
                </w:p>
              </w:tc>
            </w:tr>
          </w:tbl>
          <w:p w14:paraId="51141A15">
            <w:pPr>
              <w:keepNext w:val="0"/>
              <w:keepLines w:val="0"/>
              <w:pageBreakBefore w:val="0"/>
              <w:widowControl/>
              <w:kinsoku/>
              <w:wordWrap/>
              <w:overflowPunct/>
              <w:topLinePunct w:val="0"/>
              <w:autoSpaceDE/>
              <w:autoSpaceDN/>
              <w:bidi w:val="0"/>
              <w:adjustRightInd/>
              <w:snapToGrid/>
              <w:spacing w:line="480" w:lineRule="exact"/>
              <w:ind w:firstLine="482" w:firstLineChars="200"/>
              <w:textAlignment w:val="auto"/>
              <w:rPr>
                <w:b/>
                <w:bCs/>
                <w:kern w:val="0"/>
                <w:sz w:val="24"/>
                <w:lang w:bidi="ar"/>
              </w:rPr>
            </w:pPr>
            <w:r>
              <w:rPr>
                <w:rFonts w:hint="eastAsia"/>
                <w:b/>
                <w:bCs/>
                <w:kern w:val="0"/>
                <w:sz w:val="24"/>
                <w:lang w:bidi="ar"/>
              </w:rPr>
              <w:t>6.环境风险防范措施</w:t>
            </w:r>
          </w:p>
          <w:p w14:paraId="774D097F">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kern w:val="0"/>
                <w:sz w:val="24"/>
                <w:lang w:bidi="ar"/>
              </w:rPr>
            </w:pPr>
            <w:r>
              <w:rPr>
                <w:rFonts w:hint="eastAsia"/>
                <w:kern w:val="0"/>
                <w:sz w:val="24"/>
                <w:lang w:bidi="ar"/>
              </w:rPr>
              <w:t>（1）</w:t>
            </w:r>
            <w:r>
              <w:rPr>
                <w:kern w:val="0"/>
                <w:sz w:val="24"/>
                <w:lang w:bidi="ar"/>
              </w:rPr>
              <w:t>采场风险防范措施</w:t>
            </w:r>
          </w:p>
          <w:p w14:paraId="462D4CA8">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kern w:val="0"/>
                <w:sz w:val="24"/>
                <w:lang w:bidi="ar"/>
              </w:rPr>
            </w:pPr>
            <w:r>
              <w:rPr>
                <w:kern w:val="0"/>
                <w:sz w:val="24"/>
                <w:lang w:bidi="ar"/>
              </w:rPr>
              <w:t>①合理布置开采平台，建立长期的边坡观测网，对不良地段、软弱夹层进行定时，定点观测，发现异常及时进行处理；</w:t>
            </w:r>
          </w:p>
          <w:p w14:paraId="032A8AE0">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kern w:val="0"/>
                <w:sz w:val="24"/>
                <w:lang w:bidi="ar"/>
              </w:rPr>
            </w:pPr>
            <w:r>
              <w:rPr>
                <w:kern w:val="0"/>
                <w:sz w:val="24"/>
                <w:lang w:bidi="ar"/>
              </w:rPr>
              <w:t>②开采过程中的顺层坡矿体底板切坡时，应保持底面的平整，局部应视其需要采取适当的加固措施（如挡墙），对软弱边坡、坚硬岩层上的破碎带上的破碎、岩块松动部位，应进行水泥护面、洞隙灌浆予以加固，必要时应削坡；</w:t>
            </w:r>
          </w:p>
          <w:p w14:paraId="20895FB6">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kern w:val="0"/>
                <w:sz w:val="24"/>
                <w:lang w:bidi="ar"/>
              </w:rPr>
            </w:pPr>
            <w:r>
              <w:rPr>
                <w:kern w:val="0"/>
                <w:sz w:val="24"/>
                <w:lang w:bidi="ar"/>
              </w:rPr>
              <w:t>③对开采过程中形成的坑地，应利用废弃土、石料回填平整，并在表层覆土，对整治后的土地加以改造利用，乔、灌、草合理配置，以尽快恢复植被，保持水土；</w:t>
            </w:r>
          </w:p>
          <w:p w14:paraId="25964B20">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kern w:val="0"/>
                <w:sz w:val="24"/>
                <w:lang w:bidi="ar"/>
              </w:rPr>
            </w:pPr>
            <w:r>
              <w:rPr>
                <w:kern w:val="0"/>
                <w:sz w:val="24"/>
                <w:lang w:bidi="ar"/>
              </w:rPr>
              <w:t>④对采矿区不能开采或矿石已采竭的裸露地表，应尽快恢复植被，减轻采矿区的水土流失；</w:t>
            </w:r>
          </w:p>
          <w:p w14:paraId="33D38A6D">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kern w:val="0"/>
                <w:sz w:val="24"/>
                <w:lang w:bidi="ar"/>
              </w:rPr>
            </w:pPr>
            <w:r>
              <w:rPr>
                <w:kern w:val="0"/>
                <w:sz w:val="24"/>
                <w:lang w:bidi="ar"/>
              </w:rPr>
              <w:t>⑤在采场周边修建截洪沟，将雨水排离采场以防止雨水渗透、冲刷边坡，减少暴雨对采坑的</w:t>
            </w:r>
            <w:r>
              <w:rPr>
                <w:rFonts w:hint="eastAsia"/>
                <w:kern w:val="0"/>
                <w:sz w:val="24"/>
                <w:lang w:bidi="ar"/>
              </w:rPr>
              <w:t>冲蚀</w:t>
            </w:r>
            <w:r>
              <w:rPr>
                <w:kern w:val="0"/>
                <w:sz w:val="24"/>
                <w:lang w:bidi="ar"/>
              </w:rPr>
              <w:t>强度；</w:t>
            </w:r>
          </w:p>
          <w:p w14:paraId="1F101042">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kern w:val="0"/>
                <w:sz w:val="24"/>
                <w:lang w:bidi="ar"/>
              </w:rPr>
            </w:pPr>
            <w:r>
              <w:rPr>
                <w:kern w:val="0"/>
                <w:sz w:val="24"/>
                <w:lang w:bidi="ar"/>
              </w:rPr>
              <w:t>⑥在闭矿时，覆土种植适宜树种，以尽快恢复当地生态环境。</w:t>
            </w:r>
          </w:p>
          <w:p w14:paraId="6E3837B8">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kern w:val="0"/>
                <w:sz w:val="24"/>
                <w:lang w:bidi="ar"/>
              </w:rPr>
            </w:pPr>
            <w:r>
              <w:rPr>
                <w:rFonts w:hint="eastAsia"/>
                <w:kern w:val="0"/>
                <w:sz w:val="24"/>
                <w:lang w:bidi="ar"/>
              </w:rPr>
              <w:t>（2）排土</w:t>
            </w:r>
            <w:r>
              <w:rPr>
                <w:kern w:val="0"/>
                <w:sz w:val="24"/>
                <w:lang w:bidi="ar"/>
              </w:rPr>
              <w:t>场风险防范措施</w:t>
            </w:r>
          </w:p>
          <w:p w14:paraId="4CC7F47A">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kern w:val="0"/>
                <w:sz w:val="24"/>
                <w:lang w:bidi="ar"/>
              </w:rPr>
            </w:pPr>
            <w:r>
              <w:rPr>
                <w:kern w:val="0"/>
                <w:sz w:val="24"/>
                <w:lang w:bidi="ar"/>
              </w:rPr>
              <w:t>①在</w:t>
            </w:r>
            <w:r>
              <w:rPr>
                <w:rFonts w:hint="eastAsia"/>
                <w:kern w:val="0"/>
                <w:sz w:val="24"/>
                <w:lang w:bidi="ar"/>
              </w:rPr>
              <w:t>排土</w:t>
            </w:r>
            <w:r>
              <w:rPr>
                <w:kern w:val="0"/>
                <w:sz w:val="24"/>
                <w:lang w:bidi="ar"/>
              </w:rPr>
              <w:t>场上游按区域最大降雨量进行截洪沟的建设，将下雨产生的地表径流引至场外；</w:t>
            </w:r>
          </w:p>
          <w:p w14:paraId="36560085">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kern w:val="0"/>
                <w:sz w:val="24"/>
                <w:lang w:bidi="ar"/>
              </w:rPr>
            </w:pPr>
            <w:r>
              <w:rPr>
                <w:kern w:val="0"/>
                <w:sz w:val="24"/>
                <w:lang w:bidi="ar"/>
              </w:rPr>
              <w:t>②</w:t>
            </w:r>
            <w:r>
              <w:rPr>
                <w:rFonts w:hint="eastAsia"/>
                <w:kern w:val="0"/>
                <w:sz w:val="24"/>
                <w:lang w:eastAsia="zh-CN" w:bidi="ar"/>
              </w:rPr>
              <w:t>制订</w:t>
            </w:r>
            <w:r>
              <w:rPr>
                <w:kern w:val="0"/>
                <w:sz w:val="24"/>
                <w:lang w:bidi="ar"/>
              </w:rPr>
              <w:t>巡逻计划，定期对</w:t>
            </w:r>
            <w:r>
              <w:rPr>
                <w:rFonts w:hint="eastAsia"/>
                <w:kern w:val="0"/>
                <w:sz w:val="24"/>
                <w:lang w:bidi="ar"/>
              </w:rPr>
              <w:t>排土</w:t>
            </w:r>
            <w:r>
              <w:rPr>
                <w:kern w:val="0"/>
                <w:sz w:val="24"/>
                <w:lang w:bidi="ar"/>
              </w:rPr>
              <w:t>场环境、现场情况进行巡查，并做好相关记录，防止垮坝事故；</w:t>
            </w:r>
          </w:p>
          <w:p w14:paraId="3BDB0B05">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pPr>
            <w:r>
              <w:rPr>
                <w:kern w:val="0"/>
                <w:sz w:val="24"/>
                <w:lang w:bidi="ar"/>
              </w:rPr>
              <w:t>③在服务期满后应及时按水土保持相应技术要求进行土地复垦，促进林草植被尽快覆盖地表。</w:t>
            </w:r>
          </w:p>
        </w:tc>
      </w:tr>
      <w:tr w14:paraId="680FF60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822" w:type="dxa"/>
            <w:vAlign w:val="center"/>
          </w:tcPr>
          <w:p w14:paraId="176C8629">
            <w:pPr>
              <w:adjustRightInd w:val="0"/>
              <w:snapToGrid w:val="0"/>
              <w:jc w:val="center"/>
              <w:rPr>
                <w:rFonts w:ascii="宋体" w:hAnsi="宋体" w:cs="宋体"/>
                <w:bCs/>
                <w:color w:val="000000" w:themeColor="text1"/>
                <w:spacing w:val="10"/>
                <w:sz w:val="24"/>
                <w14:textFill>
                  <w14:solidFill>
                    <w14:schemeClr w14:val="tx1"/>
                  </w14:solidFill>
                </w14:textFill>
              </w:rPr>
            </w:pPr>
            <w:r>
              <w:rPr>
                <w:rFonts w:hint="eastAsia" w:ascii="宋体" w:hAnsi="宋体"/>
                <w:bCs/>
                <w:color w:val="000000" w:themeColor="text1"/>
                <w:sz w:val="24"/>
                <w14:textFill>
                  <w14:solidFill>
                    <w14:schemeClr w14:val="tx1"/>
                  </w14:solidFill>
                </w14:textFill>
              </w:rPr>
              <w:t>其他</w:t>
            </w:r>
          </w:p>
        </w:tc>
        <w:tc>
          <w:tcPr>
            <w:tcW w:w="8388" w:type="dxa"/>
            <w:vAlign w:val="center"/>
          </w:tcPr>
          <w:p w14:paraId="00D4D335">
            <w:pPr>
              <w:keepNext w:val="0"/>
              <w:keepLines w:val="0"/>
              <w:pageBreakBefore w:val="0"/>
              <w:widowControl w:val="0"/>
              <w:kinsoku/>
              <w:wordWrap/>
              <w:overflowPunct/>
              <w:topLinePunct w:val="0"/>
              <w:autoSpaceDE/>
              <w:autoSpaceDN/>
              <w:bidi w:val="0"/>
              <w:adjustRightInd/>
              <w:snapToGrid/>
              <w:ind w:left="0" w:leftChars="0"/>
              <w:textAlignment w:val="auto"/>
            </w:pPr>
          </w:p>
          <w:p w14:paraId="6973F495">
            <w:pPr>
              <w:keepNext w:val="0"/>
              <w:keepLines w:val="0"/>
              <w:pageBreakBefore w:val="0"/>
              <w:widowControl w:val="0"/>
              <w:kinsoku/>
              <w:wordWrap/>
              <w:overflowPunct/>
              <w:topLinePunct w:val="0"/>
              <w:autoSpaceDE/>
              <w:autoSpaceDN/>
              <w:bidi w:val="0"/>
              <w:adjustRightInd/>
              <w:snapToGrid/>
              <w:ind w:left="0" w:leftChars="0"/>
              <w:textAlignment w:val="auto"/>
            </w:pPr>
          </w:p>
          <w:p w14:paraId="54F9BE6B">
            <w:pPr>
              <w:pStyle w:val="2"/>
              <w:keepNext w:val="0"/>
              <w:keepLines w:val="0"/>
              <w:pageBreakBefore w:val="0"/>
              <w:widowControl w:val="0"/>
              <w:kinsoku/>
              <w:wordWrap/>
              <w:overflowPunct/>
              <w:topLinePunct w:val="0"/>
              <w:autoSpaceDE/>
              <w:autoSpaceDN/>
              <w:bidi w:val="0"/>
              <w:adjustRightInd/>
              <w:snapToGrid/>
              <w:spacing w:after="0"/>
              <w:ind w:left="0" w:leftChars="0"/>
              <w:textAlignment w:val="auto"/>
            </w:pPr>
          </w:p>
          <w:p w14:paraId="777DCB71">
            <w:pPr>
              <w:keepNext w:val="0"/>
              <w:keepLines w:val="0"/>
              <w:pageBreakBefore w:val="0"/>
              <w:widowControl w:val="0"/>
              <w:kinsoku/>
              <w:wordWrap/>
              <w:overflowPunct/>
              <w:topLinePunct w:val="0"/>
              <w:autoSpaceDE/>
              <w:autoSpaceDN/>
              <w:bidi w:val="0"/>
              <w:adjustRightInd/>
              <w:snapToGrid/>
              <w:ind w:left="0" w:leftChars="0"/>
              <w:textAlignment w:val="auto"/>
            </w:pPr>
          </w:p>
          <w:p w14:paraId="3E83E383">
            <w:pPr>
              <w:keepNext w:val="0"/>
              <w:keepLines w:val="0"/>
              <w:pageBreakBefore w:val="0"/>
              <w:widowControl w:val="0"/>
              <w:kinsoku/>
              <w:wordWrap/>
              <w:overflowPunct/>
              <w:topLinePunct w:val="0"/>
              <w:autoSpaceDE/>
              <w:autoSpaceDN/>
              <w:bidi w:val="0"/>
              <w:adjustRightInd/>
              <w:snapToGrid/>
              <w:ind w:left="0" w:leftChars="0"/>
              <w:textAlignment w:val="auto"/>
            </w:pPr>
          </w:p>
          <w:p w14:paraId="70FB5195"/>
          <w:p w14:paraId="19368450">
            <w:pPr>
              <w:widowControl/>
              <w:spacing w:line="400" w:lineRule="exact"/>
              <w:ind w:firstLine="480" w:firstLineChars="200"/>
              <w:rPr>
                <w:color w:val="000000" w:themeColor="text1"/>
                <w:kern w:val="0"/>
                <w:sz w:val="24"/>
                <w:lang w:bidi="ar"/>
                <w14:textFill>
                  <w14:solidFill>
                    <w14:schemeClr w14:val="tx1"/>
                  </w14:solidFill>
                </w14:textFill>
              </w:rPr>
            </w:pPr>
            <w:r>
              <w:rPr>
                <w:rFonts w:hint="eastAsia"/>
                <w:color w:val="000000" w:themeColor="text1"/>
                <w:kern w:val="0"/>
                <w:sz w:val="24"/>
                <w:lang w:bidi="ar"/>
                <w14:textFill>
                  <w14:solidFill>
                    <w14:schemeClr w14:val="tx1"/>
                  </w14:solidFill>
                </w14:textFill>
              </w:rPr>
              <w:t>无</w:t>
            </w:r>
          </w:p>
          <w:p w14:paraId="7EF0379A"/>
          <w:p w14:paraId="7DAA2867"/>
          <w:p w14:paraId="37DAE759">
            <w:pPr>
              <w:pStyle w:val="2"/>
            </w:pPr>
          </w:p>
          <w:p w14:paraId="60EED219">
            <w:pPr>
              <w:pStyle w:val="2"/>
            </w:pPr>
          </w:p>
          <w:p w14:paraId="5CE8D848"/>
        </w:tc>
      </w:tr>
      <w:tr w14:paraId="6B56731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1" w:hRule="atLeast"/>
          <w:jc w:val="center"/>
        </w:trPr>
        <w:tc>
          <w:tcPr>
            <w:tcW w:w="822" w:type="dxa"/>
            <w:vAlign w:val="center"/>
          </w:tcPr>
          <w:p w14:paraId="5EC3DFAA">
            <w:pPr>
              <w:adjustRightInd w:val="0"/>
              <w:snapToGrid w:val="0"/>
              <w:jc w:val="center"/>
              <w:rPr>
                <w:rFonts w:ascii="宋体" w:hAnsi="宋体" w:cs="宋体"/>
                <w:bCs/>
                <w:color w:val="000000" w:themeColor="text1"/>
                <w:spacing w:val="10"/>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环保投资</w:t>
            </w:r>
          </w:p>
        </w:tc>
        <w:tc>
          <w:tcPr>
            <w:tcW w:w="8388" w:type="dxa"/>
          </w:tcPr>
          <w:p w14:paraId="37B72B3C">
            <w:pPr>
              <w:keepNext w:val="0"/>
              <w:keepLines w:val="0"/>
              <w:pageBreakBefore w:val="0"/>
              <w:widowControl w:val="0"/>
              <w:kinsoku/>
              <w:wordWrap/>
              <w:overflowPunct/>
              <w:topLinePunct w:val="0"/>
              <w:autoSpaceDE/>
              <w:autoSpaceDN/>
              <w:bidi w:val="0"/>
              <w:adjustRightInd w:val="0"/>
              <w:snapToGrid w:val="0"/>
              <w:spacing w:line="480" w:lineRule="exact"/>
              <w:ind w:firstLine="520" w:firstLineChars="200"/>
              <w:textAlignment w:val="auto"/>
              <w:rPr>
                <w:bCs/>
                <w:spacing w:val="10"/>
                <w:sz w:val="24"/>
              </w:rPr>
            </w:pPr>
            <w:r>
              <w:rPr>
                <w:bCs/>
                <w:spacing w:val="10"/>
                <w:sz w:val="24"/>
              </w:rPr>
              <w:t>本项目总投资为</w:t>
            </w:r>
            <w:r>
              <w:rPr>
                <w:rFonts w:hint="eastAsia"/>
                <w:bCs/>
                <w:spacing w:val="10"/>
                <w:sz w:val="24"/>
              </w:rPr>
              <w:t>500</w:t>
            </w:r>
            <w:r>
              <w:rPr>
                <w:bCs/>
                <w:spacing w:val="10"/>
                <w:sz w:val="24"/>
              </w:rPr>
              <w:t>万元，其中环保投资约</w:t>
            </w:r>
            <w:r>
              <w:rPr>
                <w:rFonts w:hint="eastAsia"/>
                <w:bCs/>
                <w:spacing w:val="10"/>
                <w:sz w:val="24"/>
                <w:lang w:val="en-US" w:eastAsia="zh-CN"/>
              </w:rPr>
              <w:t>178</w:t>
            </w:r>
            <w:r>
              <w:rPr>
                <w:bCs/>
                <w:spacing w:val="10"/>
                <w:sz w:val="24"/>
              </w:rPr>
              <w:t>万元，占总投资的</w:t>
            </w:r>
            <w:r>
              <w:rPr>
                <w:rFonts w:hint="eastAsia"/>
                <w:bCs/>
                <w:spacing w:val="10"/>
                <w:sz w:val="24"/>
                <w:lang w:val="en-US" w:eastAsia="zh-CN"/>
              </w:rPr>
              <w:t>35.6</w:t>
            </w:r>
            <w:r>
              <w:rPr>
                <w:bCs/>
                <w:spacing w:val="10"/>
                <w:sz w:val="24"/>
              </w:rPr>
              <w:t>%</w:t>
            </w:r>
            <w:r>
              <w:rPr>
                <w:rFonts w:hint="eastAsia"/>
                <w:bCs/>
                <w:spacing w:val="10"/>
                <w:sz w:val="24"/>
              </w:rPr>
              <w:t>，本项目环保投资详见下表</w:t>
            </w:r>
            <w:r>
              <w:rPr>
                <w:bCs/>
                <w:spacing w:val="10"/>
                <w:sz w:val="24"/>
              </w:rPr>
              <w:t>。</w:t>
            </w:r>
          </w:p>
          <w:p w14:paraId="2005F826">
            <w:pPr>
              <w:pStyle w:val="15"/>
              <w:keepNext w:val="0"/>
              <w:keepLines w:val="0"/>
              <w:pageBreakBefore w:val="0"/>
              <w:widowControl w:val="0"/>
              <w:kinsoku/>
              <w:wordWrap/>
              <w:overflowPunct/>
              <w:topLinePunct w:val="0"/>
              <w:autoSpaceDE/>
              <w:autoSpaceDN/>
              <w:bidi w:val="0"/>
              <w:adjustRightInd w:val="0"/>
              <w:snapToGrid w:val="0"/>
              <w:spacing w:line="480" w:lineRule="exact"/>
              <w:textAlignment w:val="auto"/>
              <w:rPr>
                <w:b/>
                <w:bCs/>
                <w:spacing w:val="10"/>
                <w:sz w:val="21"/>
                <w:szCs w:val="21"/>
                <w:highlight w:val="none"/>
              </w:rPr>
            </w:pPr>
            <w:bookmarkStart w:id="30" w:name="_Hlk220281668"/>
            <w:r>
              <w:rPr>
                <w:rFonts w:ascii="宋体" w:hAnsi="宋体" w:eastAsia="宋体" w:cs="宋体"/>
                <w:sz w:val="21"/>
                <w:szCs w:val="21"/>
                <w:highlight w:val="none"/>
              </w:rPr>
              <w:t>表</w:t>
            </w:r>
            <w:r>
              <w:rPr>
                <w:rFonts w:eastAsia="宋体"/>
                <w:sz w:val="21"/>
                <w:szCs w:val="21"/>
                <w:highlight w:val="none"/>
              </w:rPr>
              <w:t>5-1</w:t>
            </w:r>
            <w:r>
              <w:rPr>
                <w:rFonts w:hint="eastAsia" w:eastAsia="宋体"/>
                <w:sz w:val="21"/>
                <w:szCs w:val="21"/>
                <w:highlight w:val="none"/>
                <w:lang w:val="en-US" w:eastAsia="zh-CN"/>
              </w:rPr>
              <w:t>5</w:t>
            </w:r>
            <w:r>
              <w:rPr>
                <w:rFonts w:ascii="宋体" w:hAnsi="宋体" w:eastAsia="宋体" w:cs="宋体"/>
                <w:sz w:val="21"/>
                <w:szCs w:val="21"/>
                <w:highlight w:val="none"/>
              </w:rPr>
              <w:t xml:space="preserve"> 环保投资一览表</w:t>
            </w:r>
            <w:r>
              <w:rPr>
                <w:rFonts w:hint="eastAsia" w:ascii="宋体" w:hAnsi="宋体" w:eastAsia="宋体" w:cs="宋体"/>
                <w:sz w:val="21"/>
                <w:szCs w:val="21"/>
                <w:highlight w:val="none"/>
              </w:rPr>
              <w:t xml:space="preserve">  单位：万元</w:t>
            </w:r>
          </w:p>
          <w:bookmarkEnd w:id="30"/>
          <w:tbl>
            <w:tblPr>
              <w:tblStyle w:val="29"/>
              <w:tblW w:w="4998" w:type="pct"/>
              <w:tblInd w:w="1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8"/>
              <w:gridCol w:w="694"/>
              <w:gridCol w:w="1180"/>
              <w:gridCol w:w="4642"/>
              <w:gridCol w:w="965"/>
            </w:tblGrid>
            <w:tr w14:paraId="7D060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416" w:type="pct"/>
                  <w:tcBorders>
                    <w:tl2br w:val="nil"/>
                    <w:tr2bl w:val="nil"/>
                  </w:tcBorders>
                  <w:vAlign w:val="center"/>
                </w:tcPr>
                <w:p w14:paraId="3F14F17B">
                  <w:pPr>
                    <w:adjustRightInd w:val="0"/>
                    <w:snapToGrid w:val="0"/>
                    <w:jc w:val="center"/>
                    <w:rPr>
                      <w:bCs/>
                      <w:spacing w:val="10"/>
                      <w:szCs w:val="21"/>
                    </w:rPr>
                  </w:pPr>
                  <w:r>
                    <w:rPr>
                      <w:rFonts w:hint="eastAsia"/>
                      <w:bCs/>
                      <w:spacing w:val="10"/>
                      <w:szCs w:val="21"/>
                    </w:rPr>
                    <w:t>时段</w:t>
                  </w:r>
                </w:p>
              </w:tc>
              <w:tc>
                <w:tcPr>
                  <w:tcW w:w="425" w:type="pct"/>
                  <w:tcBorders>
                    <w:tl2br w:val="nil"/>
                    <w:tr2bl w:val="nil"/>
                  </w:tcBorders>
                  <w:vAlign w:val="center"/>
                </w:tcPr>
                <w:p w14:paraId="49D6FA0E">
                  <w:pPr>
                    <w:adjustRightInd w:val="0"/>
                    <w:snapToGrid w:val="0"/>
                    <w:jc w:val="center"/>
                    <w:rPr>
                      <w:bCs/>
                      <w:spacing w:val="10"/>
                      <w:szCs w:val="21"/>
                    </w:rPr>
                  </w:pPr>
                  <w:r>
                    <w:rPr>
                      <w:rFonts w:hint="eastAsia"/>
                      <w:bCs/>
                      <w:spacing w:val="10"/>
                      <w:szCs w:val="21"/>
                    </w:rPr>
                    <w:t>治理项目</w:t>
                  </w:r>
                </w:p>
              </w:tc>
              <w:tc>
                <w:tcPr>
                  <w:tcW w:w="723" w:type="pct"/>
                  <w:tcBorders>
                    <w:tl2br w:val="nil"/>
                    <w:tr2bl w:val="nil"/>
                  </w:tcBorders>
                  <w:vAlign w:val="center"/>
                </w:tcPr>
                <w:p w14:paraId="3FAF5271">
                  <w:pPr>
                    <w:adjustRightInd w:val="0"/>
                    <w:snapToGrid w:val="0"/>
                    <w:jc w:val="center"/>
                    <w:rPr>
                      <w:bCs/>
                      <w:spacing w:val="10"/>
                      <w:szCs w:val="21"/>
                    </w:rPr>
                  </w:pPr>
                  <w:r>
                    <w:rPr>
                      <w:rFonts w:hint="eastAsia"/>
                      <w:bCs/>
                      <w:spacing w:val="10"/>
                      <w:szCs w:val="21"/>
                    </w:rPr>
                    <w:t>治理对象</w:t>
                  </w:r>
                </w:p>
              </w:tc>
              <w:tc>
                <w:tcPr>
                  <w:tcW w:w="2843" w:type="pct"/>
                  <w:tcBorders>
                    <w:tl2br w:val="nil"/>
                    <w:tr2bl w:val="nil"/>
                  </w:tcBorders>
                  <w:vAlign w:val="center"/>
                </w:tcPr>
                <w:p w14:paraId="719AC63B">
                  <w:pPr>
                    <w:adjustRightInd w:val="0"/>
                    <w:snapToGrid w:val="0"/>
                    <w:jc w:val="center"/>
                    <w:rPr>
                      <w:bCs/>
                      <w:spacing w:val="10"/>
                      <w:szCs w:val="21"/>
                    </w:rPr>
                  </w:pPr>
                  <w:r>
                    <w:rPr>
                      <w:rFonts w:hint="eastAsia"/>
                      <w:bCs/>
                      <w:spacing w:val="10"/>
                      <w:szCs w:val="21"/>
                    </w:rPr>
                    <w:t>治理措施</w:t>
                  </w:r>
                </w:p>
              </w:tc>
              <w:tc>
                <w:tcPr>
                  <w:tcW w:w="591" w:type="pct"/>
                  <w:tcBorders>
                    <w:tl2br w:val="nil"/>
                    <w:tr2bl w:val="nil"/>
                  </w:tcBorders>
                  <w:vAlign w:val="center"/>
                </w:tcPr>
                <w:p w14:paraId="0FEF7281">
                  <w:pPr>
                    <w:adjustRightInd w:val="0"/>
                    <w:snapToGrid w:val="0"/>
                    <w:jc w:val="center"/>
                    <w:rPr>
                      <w:bCs/>
                      <w:spacing w:val="10"/>
                      <w:szCs w:val="21"/>
                    </w:rPr>
                  </w:pPr>
                  <w:r>
                    <w:rPr>
                      <w:rFonts w:hint="eastAsia"/>
                      <w:bCs/>
                      <w:spacing w:val="10"/>
                      <w:szCs w:val="21"/>
                    </w:rPr>
                    <w:t>投资</w:t>
                  </w:r>
                </w:p>
              </w:tc>
            </w:tr>
            <w:tr w14:paraId="1532B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6" w:type="pct"/>
                  <w:vMerge w:val="restart"/>
                  <w:tcBorders>
                    <w:tl2br w:val="nil"/>
                    <w:tr2bl w:val="nil"/>
                  </w:tcBorders>
                  <w:vAlign w:val="center"/>
                </w:tcPr>
                <w:p w14:paraId="743CF7D3">
                  <w:pPr>
                    <w:adjustRightInd w:val="0"/>
                    <w:snapToGrid w:val="0"/>
                    <w:jc w:val="center"/>
                    <w:rPr>
                      <w:bCs/>
                      <w:spacing w:val="10"/>
                      <w:szCs w:val="21"/>
                    </w:rPr>
                  </w:pPr>
                  <w:r>
                    <w:rPr>
                      <w:rFonts w:hint="eastAsia"/>
                      <w:bCs/>
                      <w:spacing w:val="10"/>
                      <w:szCs w:val="21"/>
                    </w:rPr>
                    <w:t>运营期</w:t>
                  </w:r>
                </w:p>
              </w:tc>
              <w:tc>
                <w:tcPr>
                  <w:tcW w:w="425" w:type="pct"/>
                  <w:vMerge w:val="restart"/>
                  <w:tcBorders>
                    <w:tl2br w:val="nil"/>
                    <w:tr2bl w:val="nil"/>
                  </w:tcBorders>
                  <w:vAlign w:val="center"/>
                </w:tcPr>
                <w:p w14:paraId="370395B1">
                  <w:pPr>
                    <w:adjustRightInd w:val="0"/>
                    <w:snapToGrid w:val="0"/>
                    <w:jc w:val="center"/>
                    <w:rPr>
                      <w:bCs/>
                      <w:spacing w:val="10"/>
                      <w:szCs w:val="21"/>
                    </w:rPr>
                  </w:pPr>
                  <w:r>
                    <w:rPr>
                      <w:rFonts w:hint="eastAsia"/>
                      <w:bCs/>
                      <w:spacing w:val="10"/>
                      <w:szCs w:val="21"/>
                    </w:rPr>
                    <w:t>废气</w:t>
                  </w:r>
                </w:p>
              </w:tc>
              <w:tc>
                <w:tcPr>
                  <w:tcW w:w="723" w:type="pct"/>
                  <w:tcBorders>
                    <w:tl2br w:val="nil"/>
                    <w:tr2bl w:val="nil"/>
                  </w:tcBorders>
                  <w:vAlign w:val="center"/>
                </w:tcPr>
                <w:p w14:paraId="3906DB86">
                  <w:pPr>
                    <w:jc w:val="center"/>
                  </w:pPr>
                  <w:r>
                    <w:rPr>
                      <w:rFonts w:hint="eastAsia"/>
                    </w:rPr>
                    <w:t>采剥粉尘</w:t>
                  </w:r>
                </w:p>
              </w:tc>
              <w:tc>
                <w:tcPr>
                  <w:tcW w:w="2843" w:type="pct"/>
                  <w:tcBorders>
                    <w:tl2br w:val="nil"/>
                    <w:tr2bl w:val="nil"/>
                  </w:tcBorders>
                  <w:vAlign w:val="center"/>
                </w:tcPr>
                <w:p w14:paraId="7365DF7F">
                  <w:pPr>
                    <w:jc w:val="both"/>
                  </w:pPr>
                  <w:r>
                    <w:rPr>
                      <w:rFonts w:hint="eastAsia"/>
                    </w:rPr>
                    <w:t>采用雾炮车对露天开采工作面进行喷雾洒水抑尘</w:t>
                  </w:r>
                </w:p>
              </w:tc>
              <w:tc>
                <w:tcPr>
                  <w:tcW w:w="591" w:type="pct"/>
                  <w:tcBorders>
                    <w:tl2br w:val="nil"/>
                    <w:tr2bl w:val="nil"/>
                  </w:tcBorders>
                  <w:vAlign w:val="center"/>
                </w:tcPr>
                <w:p w14:paraId="36C5AB8B">
                  <w:pPr>
                    <w:jc w:val="center"/>
                    <w:rPr>
                      <w:rFonts w:hint="default" w:eastAsia="宋体"/>
                      <w:lang w:val="en-US" w:eastAsia="zh-CN"/>
                    </w:rPr>
                  </w:pPr>
                  <w:r>
                    <w:rPr>
                      <w:rFonts w:hint="eastAsia"/>
                      <w:lang w:val="en-US" w:eastAsia="zh-CN"/>
                    </w:rPr>
                    <w:t>20</w:t>
                  </w:r>
                </w:p>
              </w:tc>
            </w:tr>
            <w:tr w14:paraId="41648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6" w:type="pct"/>
                  <w:vMerge w:val="continue"/>
                  <w:tcBorders>
                    <w:tl2br w:val="nil"/>
                    <w:tr2bl w:val="nil"/>
                  </w:tcBorders>
                  <w:vAlign w:val="center"/>
                </w:tcPr>
                <w:p w14:paraId="2824E490">
                  <w:pPr>
                    <w:adjustRightInd w:val="0"/>
                    <w:snapToGrid w:val="0"/>
                    <w:jc w:val="center"/>
                    <w:rPr>
                      <w:bCs/>
                      <w:spacing w:val="10"/>
                      <w:szCs w:val="21"/>
                    </w:rPr>
                  </w:pPr>
                </w:p>
              </w:tc>
              <w:tc>
                <w:tcPr>
                  <w:tcW w:w="425" w:type="pct"/>
                  <w:vMerge w:val="continue"/>
                  <w:tcBorders>
                    <w:tl2br w:val="nil"/>
                    <w:tr2bl w:val="nil"/>
                  </w:tcBorders>
                  <w:vAlign w:val="center"/>
                </w:tcPr>
                <w:p w14:paraId="33B2CFD6">
                  <w:pPr>
                    <w:adjustRightInd w:val="0"/>
                    <w:snapToGrid w:val="0"/>
                    <w:jc w:val="center"/>
                    <w:rPr>
                      <w:bCs/>
                      <w:spacing w:val="10"/>
                      <w:szCs w:val="21"/>
                    </w:rPr>
                  </w:pPr>
                </w:p>
              </w:tc>
              <w:tc>
                <w:tcPr>
                  <w:tcW w:w="723" w:type="pct"/>
                  <w:tcBorders>
                    <w:tl2br w:val="nil"/>
                    <w:tr2bl w:val="nil"/>
                  </w:tcBorders>
                  <w:vAlign w:val="center"/>
                </w:tcPr>
                <w:p w14:paraId="30D0DA66">
                  <w:pPr>
                    <w:jc w:val="center"/>
                  </w:pPr>
                  <w:r>
                    <w:rPr>
                      <w:rFonts w:hint="eastAsia"/>
                    </w:rPr>
                    <w:t>采装粉尘</w:t>
                  </w:r>
                </w:p>
              </w:tc>
              <w:tc>
                <w:tcPr>
                  <w:tcW w:w="2843" w:type="pct"/>
                  <w:tcBorders>
                    <w:tl2br w:val="nil"/>
                    <w:tr2bl w:val="nil"/>
                  </w:tcBorders>
                  <w:vAlign w:val="center"/>
                </w:tcPr>
                <w:p w14:paraId="0F380FBB">
                  <w:pPr>
                    <w:jc w:val="both"/>
                  </w:pPr>
                  <w:r>
                    <w:rPr>
                      <w:rFonts w:hint="eastAsia"/>
                    </w:rPr>
                    <w:t>采用雾炮机等进行喷雾抑尘</w:t>
                  </w:r>
                </w:p>
              </w:tc>
              <w:tc>
                <w:tcPr>
                  <w:tcW w:w="591" w:type="pct"/>
                  <w:tcBorders>
                    <w:tl2br w:val="nil"/>
                    <w:tr2bl w:val="nil"/>
                  </w:tcBorders>
                  <w:vAlign w:val="center"/>
                </w:tcPr>
                <w:p w14:paraId="042B4D88">
                  <w:pPr>
                    <w:jc w:val="center"/>
                    <w:rPr>
                      <w:rFonts w:hint="eastAsia" w:eastAsia="宋体"/>
                      <w:lang w:val="en-US" w:eastAsia="zh-CN"/>
                    </w:rPr>
                  </w:pPr>
                  <w:r>
                    <w:rPr>
                      <w:rFonts w:hint="eastAsia"/>
                      <w:lang w:val="en-US" w:eastAsia="zh-CN"/>
                    </w:rPr>
                    <w:t>1</w:t>
                  </w:r>
                </w:p>
              </w:tc>
            </w:tr>
            <w:tr w14:paraId="3C145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6" w:type="pct"/>
                  <w:vMerge w:val="continue"/>
                  <w:tcBorders>
                    <w:tl2br w:val="nil"/>
                    <w:tr2bl w:val="nil"/>
                  </w:tcBorders>
                  <w:vAlign w:val="center"/>
                </w:tcPr>
                <w:p w14:paraId="3A87E852">
                  <w:pPr>
                    <w:adjustRightInd w:val="0"/>
                    <w:snapToGrid w:val="0"/>
                    <w:jc w:val="center"/>
                    <w:rPr>
                      <w:bCs/>
                      <w:spacing w:val="10"/>
                      <w:szCs w:val="21"/>
                    </w:rPr>
                  </w:pPr>
                </w:p>
              </w:tc>
              <w:tc>
                <w:tcPr>
                  <w:tcW w:w="425" w:type="pct"/>
                  <w:vMerge w:val="continue"/>
                  <w:tcBorders>
                    <w:tl2br w:val="nil"/>
                    <w:tr2bl w:val="nil"/>
                  </w:tcBorders>
                  <w:vAlign w:val="center"/>
                </w:tcPr>
                <w:p w14:paraId="6092E07A">
                  <w:pPr>
                    <w:adjustRightInd w:val="0"/>
                    <w:snapToGrid w:val="0"/>
                    <w:jc w:val="center"/>
                    <w:rPr>
                      <w:bCs/>
                      <w:spacing w:val="10"/>
                      <w:szCs w:val="21"/>
                    </w:rPr>
                  </w:pPr>
                </w:p>
              </w:tc>
              <w:tc>
                <w:tcPr>
                  <w:tcW w:w="723" w:type="pct"/>
                  <w:tcBorders>
                    <w:tl2br w:val="nil"/>
                    <w:tr2bl w:val="nil"/>
                  </w:tcBorders>
                  <w:vAlign w:val="center"/>
                </w:tcPr>
                <w:p w14:paraId="427F33BE">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pPr>
                  <w:r>
                    <w:rPr>
                      <w:rFonts w:hint="eastAsia"/>
                    </w:rPr>
                    <w:t>排土场粉尘</w:t>
                  </w:r>
                </w:p>
              </w:tc>
              <w:tc>
                <w:tcPr>
                  <w:tcW w:w="2843" w:type="pct"/>
                  <w:tcBorders>
                    <w:tl2br w:val="nil"/>
                    <w:tr2bl w:val="nil"/>
                  </w:tcBorders>
                  <w:vAlign w:val="center"/>
                </w:tcPr>
                <w:p w14:paraId="7EA5951A">
                  <w:pPr>
                    <w:jc w:val="both"/>
                  </w:pPr>
                  <w:r>
                    <w:rPr>
                      <w:rFonts w:hint="eastAsia"/>
                    </w:rPr>
                    <w:t>采用雾炮机对作业区进行抑尘</w:t>
                  </w:r>
                </w:p>
              </w:tc>
              <w:tc>
                <w:tcPr>
                  <w:tcW w:w="591" w:type="pct"/>
                  <w:tcBorders>
                    <w:tl2br w:val="nil"/>
                    <w:tr2bl w:val="nil"/>
                  </w:tcBorders>
                  <w:vAlign w:val="center"/>
                </w:tcPr>
                <w:p w14:paraId="7C2426E2">
                  <w:pPr>
                    <w:jc w:val="center"/>
                    <w:rPr>
                      <w:rFonts w:hint="eastAsia" w:eastAsia="宋体"/>
                      <w:lang w:eastAsia="zh-CN"/>
                    </w:rPr>
                  </w:pPr>
                  <w:r>
                    <w:rPr>
                      <w:rFonts w:hint="eastAsia"/>
                      <w:lang w:val="en-US" w:eastAsia="zh-CN"/>
                    </w:rPr>
                    <w:t>1</w:t>
                  </w:r>
                </w:p>
              </w:tc>
            </w:tr>
            <w:tr w14:paraId="3595C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6" w:type="pct"/>
                  <w:vMerge w:val="continue"/>
                  <w:tcBorders>
                    <w:tl2br w:val="nil"/>
                    <w:tr2bl w:val="nil"/>
                  </w:tcBorders>
                  <w:vAlign w:val="center"/>
                </w:tcPr>
                <w:p w14:paraId="621A8A08">
                  <w:pPr>
                    <w:adjustRightInd w:val="0"/>
                    <w:snapToGrid w:val="0"/>
                    <w:jc w:val="center"/>
                    <w:rPr>
                      <w:bCs/>
                      <w:spacing w:val="10"/>
                      <w:szCs w:val="21"/>
                    </w:rPr>
                  </w:pPr>
                </w:p>
              </w:tc>
              <w:tc>
                <w:tcPr>
                  <w:tcW w:w="425" w:type="pct"/>
                  <w:vMerge w:val="continue"/>
                  <w:tcBorders>
                    <w:tl2br w:val="nil"/>
                    <w:tr2bl w:val="nil"/>
                  </w:tcBorders>
                  <w:vAlign w:val="center"/>
                </w:tcPr>
                <w:p w14:paraId="29050DB4">
                  <w:pPr>
                    <w:adjustRightInd w:val="0"/>
                    <w:snapToGrid w:val="0"/>
                    <w:jc w:val="center"/>
                    <w:rPr>
                      <w:bCs/>
                      <w:spacing w:val="10"/>
                      <w:szCs w:val="21"/>
                    </w:rPr>
                  </w:pPr>
                </w:p>
              </w:tc>
              <w:tc>
                <w:tcPr>
                  <w:tcW w:w="723" w:type="pct"/>
                  <w:tcBorders>
                    <w:tl2br w:val="nil"/>
                    <w:tr2bl w:val="nil"/>
                  </w:tcBorders>
                  <w:vAlign w:val="center"/>
                </w:tcPr>
                <w:p w14:paraId="23E08079">
                  <w:pPr>
                    <w:jc w:val="center"/>
                  </w:pPr>
                  <w:r>
                    <w:rPr>
                      <w:rFonts w:hint="eastAsia"/>
                    </w:rPr>
                    <w:t>切割粉尘</w:t>
                  </w:r>
                </w:p>
              </w:tc>
              <w:tc>
                <w:tcPr>
                  <w:tcW w:w="2843" w:type="pct"/>
                  <w:tcBorders>
                    <w:tl2br w:val="nil"/>
                    <w:tr2bl w:val="nil"/>
                  </w:tcBorders>
                  <w:vAlign w:val="center"/>
                </w:tcPr>
                <w:p w14:paraId="31745C2B">
                  <w:pPr>
                    <w:jc w:val="both"/>
                  </w:pPr>
                  <w:r>
                    <w:rPr>
                      <w:rFonts w:hint="eastAsia"/>
                    </w:rPr>
                    <w:t>采用雾炮机对作业区进行抑尘</w:t>
                  </w:r>
                </w:p>
              </w:tc>
              <w:tc>
                <w:tcPr>
                  <w:tcW w:w="591" w:type="pct"/>
                  <w:tcBorders>
                    <w:tl2br w:val="nil"/>
                    <w:tr2bl w:val="nil"/>
                  </w:tcBorders>
                  <w:vAlign w:val="center"/>
                </w:tcPr>
                <w:p w14:paraId="456BCE30">
                  <w:pPr>
                    <w:jc w:val="center"/>
                    <w:rPr>
                      <w:rFonts w:hint="eastAsia" w:eastAsia="宋体"/>
                      <w:lang w:eastAsia="zh-CN"/>
                    </w:rPr>
                  </w:pPr>
                  <w:r>
                    <w:rPr>
                      <w:rFonts w:hint="eastAsia"/>
                      <w:lang w:val="en-US" w:eastAsia="zh-CN"/>
                    </w:rPr>
                    <w:t>1</w:t>
                  </w:r>
                </w:p>
              </w:tc>
            </w:tr>
            <w:tr w14:paraId="541FD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6" w:type="pct"/>
                  <w:vMerge w:val="continue"/>
                  <w:tcBorders>
                    <w:tl2br w:val="nil"/>
                    <w:tr2bl w:val="nil"/>
                  </w:tcBorders>
                  <w:vAlign w:val="center"/>
                </w:tcPr>
                <w:p w14:paraId="301A7E97">
                  <w:pPr>
                    <w:adjustRightInd w:val="0"/>
                    <w:snapToGrid w:val="0"/>
                    <w:jc w:val="center"/>
                    <w:rPr>
                      <w:bCs/>
                      <w:spacing w:val="10"/>
                      <w:szCs w:val="21"/>
                    </w:rPr>
                  </w:pPr>
                </w:p>
              </w:tc>
              <w:tc>
                <w:tcPr>
                  <w:tcW w:w="425" w:type="pct"/>
                  <w:vMerge w:val="continue"/>
                  <w:tcBorders>
                    <w:tl2br w:val="nil"/>
                    <w:tr2bl w:val="nil"/>
                  </w:tcBorders>
                  <w:vAlign w:val="center"/>
                </w:tcPr>
                <w:p w14:paraId="5B2D1212">
                  <w:pPr>
                    <w:adjustRightInd w:val="0"/>
                    <w:snapToGrid w:val="0"/>
                    <w:jc w:val="center"/>
                    <w:rPr>
                      <w:bCs/>
                      <w:spacing w:val="10"/>
                      <w:szCs w:val="21"/>
                    </w:rPr>
                  </w:pPr>
                </w:p>
              </w:tc>
              <w:tc>
                <w:tcPr>
                  <w:tcW w:w="723" w:type="pct"/>
                  <w:tcBorders>
                    <w:tl2br w:val="nil"/>
                    <w:tr2bl w:val="nil"/>
                  </w:tcBorders>
                  <w:vAlign w:val="center"/>
                </w:tcPr>
                <w:p w14:paraId="126D30DB">
                  <w:pPr>
                    <w:jc w:val="center"/>
                  </w:pPr>
                  <w:r>
                    <w:rPr>
                      <w:rFonts w:hint="eastAsia"/>
                    </w:rPr>
                    <w:t>运输扬尘</w:t>
                  </w:r>
                </w:p>
              </w:tc>
              <w:tc>
                <w:tcPr>
                  <w:tcW w:w="2843" w:type="pct"/>
                  <w:tcBorders>
                    <w:tl2br w:val="nil"/>
                    <w:tr2bl w:val="nil"/>
                  </w:tcBorders>
                  <w:vAlign w:val="center"/>
                </w:tcPr>
                <w:p w14:paraId="1143C768">
                  <w:pPr>
                    <w:keepNext w:val="0"/>
                    <w:keepLines w:val="0"/>
                    <w:pageBreakBefore w:val="0"/>
                    <w:widowControl w:val="0"/>
                    <w:kinsoku/>
                    <w:wordWrap/>
                    <w:overflowPunct/>
                    <w:topLinePunct w:val="0"/>
                    <w:autoSpaceDE/>
                    <w:autoSpaceDN/>
                    <w:bidi w:val="0"/>
                    <w:adjustRightInd/>
                    <w:snapToGrid/>
                    <w:ind w:left="0" w:leftChars="0" w:right="0" w:rightChars="0"/>
                    <w:jc w:val="both"/>
                    <w:textAlignment w:val="auto"/>
                  </w:pPr>
                  <w:r>
                    <w:rPr>
                      <w:rFonts w:hint="eastAsia"/>
                    </w:rPr>
                    <w:t>严禁汽车超载，采用厢式密闭汽车运输；</w:t>
                  </w:r>
                  <w:r>
                    <w:rPr>
                      <w:rFonts w:hint="eastAsia"/>
                      <w:lang w:val="en-US" w:eastAsia="zh-CN"/>
                    </w:rPr>
                    <w:t>利用工业场地内现有</w:t>
                  </w:r>
                  <w:r>
                    <w:rPr>
                      <w:rFonts w:hint="eastAsia"/>
                    </w:rPr>
                    <w:t>洗车平台；同时配备洒水车、清扫车、雾炮车，每天上午、下午分别对运矿道路清扫、洒水抑尘至少1次</w:t>
                  </w:r>
                </w:p>
              </w:tc>
              <w:tc>
                <w:tcPr>
                  <w:tcW w:w="591" w:type="pct"/>
                  <w:tcBorders>
                    <w:tl2br w:val="nil"/>
                    <w:tr2bl w:val="nil"/>
                  </w:tcBorders>
                  <w:vAlign w:val="center"/>
                </w:tcPr>
                <w:p w14:paraId="22BA533E">
                  <w:pPr>
                    <w:jc w:val="center"/>
                    <w:rPr>
                      <w:rFonts w:hint="eastAsia" w:eastAsia="宋体"/>
                      <w:lang w:eastAsia="zh-CN"/>
                    </w:rPr>
                  </w:pPr>
                  <w:r>
                    <w:rPr>
                      <w:rFonts w:hint="eastAsia"/>
                      <w:lang w:val="en-US" w:eastAsia="zh-CN"/>
                    </w:rPr>
                    <w:t>2</w:t>
                  </w:r>
                </w:p>
              </w:tc>
            </w:tr>
            <w:tr w14:paraId="076A7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6" w:type="pct"/>
                  <w:vMerge w:val="continue"/>
                  <w:tcBorders>
                    <w:tl2br w:val="nil"/>
                    <w:tr2bl w:val="nil"/>
                  </w:tcBorders>
                  <w:vAlign w:val="center"/>
                </w:tcPr>
                <w:p w14:paraId="7272B667">
                  <w:pPr>
                    <w:adjustRightInd w:val="0"/>
                    <w:snapToGrid w:val="0"/>
                    <w:jc w:val="center"/>
                    <w:rPr>
                      <w:bCs/>
                      <w:spacing w:val="10"/>
                      <w:szCs w:val="21"/>
                    </w:rPr>
                  </w:pPr>
                </w:p>
              </w:tc>
              <w:tc>
                <w:tcPr>
                  <w:tcW w:w="425" w:type="pct"/>
                  <w:vMerge w:val="continue"/>
                  <w:tcBorders>
                    <w:tl2br w:val="nil"/>
                    <w:tr2bl w:val="nil"/>
                  </w:tcBorders>
                  <w:vAlign w:val="center"/>
                </w:tcPr>
                <w:p w14:paraId="6912F87C">
                  <w:pPr>
                    <w:adjustRightInd w:val="0"/>
                    <w:snapToGrid w:val="0"/>
                    <w:jc w:val="center"/>
                    <w:rPr>
                      <w:bCs/>
                      <w:spacing w:val="10"/>
                      <w:szCs w:val="21"/>
                    </w:rPr>
                  </w:pPr>
                </w:p>
              </w:tc>
              <w:tc>
                <w:tcPr>
                  <w:tcW w:w="723" w:type="pct"/>
                  <w:tcBorders>
                    <w:tl2br w:val="nil"/>
                    <w:tr2bl w:val="nil"/>
                  </w:tcBorders>
                  <w:vAlign w:val="center"/>
                </w:tcPr>
                <w:p w14:paraId="1AAAA07D">
                  <w:pPr>
                    <w:jc w:val="center"/>
                  </w:pPr>
                  <w:r>
                    <w:rPr>
                      <w:rFonts w:hint="eastAsia"/>
                    </w:rPr>
                    <w:t>清洁运输</w:t>
                  </w:r>
                </w:p>
              </w:tc>
              <w:tc>
                <w:tcPr>
                  <w:tcW w:w="2843" w:type="pct"/>
                  <w:tcBorders>
                    <w:tl2br w:val="nil"/>
                    <w:tr2bl w:val="nil"/>
                  </w:tcBorders>
                  <w:vAlign w:val="center"/>
                </w:tcPr>
                <w:p w14:paraId="23AA6B7A">
                  <w:pPr>
                    <w:keepNext w:val="0"/>
                    <w:keepLines w:val="0"/>
                    <w:pageBreakBefore w:val="0"/>
                    <w:widowControl w:val="0"/>
                    <w:kinsoku/>
                    <w:wordWrap/>
                    <w:overflowPunct/>
                    <w:topLinePunct w:val="0"/>
                    <w:autoSpaceDE/>
                    <w:autoSpaceDN/>
                    <w:bidi w:val="0"/>
                    <w:ind w:left="0" w:leftChars="0" w:right="0" w:rightChars="0"/>
                    <w:jc w:val="both"/>
                    <w:textAlignment w:val="auto"/>
                  </w:pPr>
                  <w:r>
                    <w:rPr>
                      <w:rFonts w:hint="eastAsia"/>
                    </w:rPr>
                    <w:t>矿石运输车辆全部采用新能源车辆</w:t>
                  </w:r>
                </w:p>
              </w:tc>
              <w:tc>
                <w:tcPr>
                  <w:tcW w:w="591" w:type="pct"/>
                  <w:tcBorders>
                    <w:tl2br w:val="nil"/>
                    <w:tr2bl w:val="nil"/>
                  </w:tcBorders>
                  <w:vAlign w:val="center"/>
                </w:tcPr>
                <w:p w14:paraId="08A5DD0A">
                  <w:pPr>
                    <w:jc w:val="center"/>
                  </w:pPr>
                  <w:r>
                    <w:rPr>
                      <w:rFonts w:hint="eastAsia"/>
                    </w:rPr>
                    <w:t>/</w:t>
                  </w:r>
                </w:p>
              </w:tc>
            </w:tr>
            <w:tr w14:paraId="1E2EC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6" w:type="pct"/>
                  <w:vMerge w:val="continue"/>
                  <w:tcBorders>
                    <w:tl2br w:val="nil"/>
                    <w:tr2bl w:val="nil"/>
                  </w:tcBorders>
                  <w:vAlign w:val="center"/>
                </w:tcPr>
                <w:p w14:paraId="0C2B732A">
                  <w:pPr>
                    <w:adjustRightInd w:val="0"/>
                    <w:snapToGrid w:val="0"/>
                    <w:jc w:val="center"/>
                    <w:rPr>
                      <w:bCs/>
                      <w:spacing w:val="10"/>
                      <w:szCs w:val="21"/>
                    </w:rPr>
                  </w:pPr>
                </w:p>
              </w:tc>
              <w:tc>
                <w:tcPr>
                  <w:tcW w:w="425" w:type="pct"/>
                  <w:tcBorders>
                    <w:tl2br w:val="nil"/>
                    <w:tr2bl w:val="nil"/>
                  </w:tcBorders>
                  <w:vAlign w:val="center"/>
                </w:tcPr>
                <w:p w14:paraId="3FE5DB2A">
                  <w:pPr>
                    <w:adjustRightInd w:val="0"/>
                    <w:snapToGrid w:val="0"/>
                    <w:jc w:val="center"/>
                    <w:rPr>
                      <w:bCs/>
                      <w:spacing w:val="10"/>
                      <w:szCs w:val="21"/>
                    </w:rPr>
                  </w:pPr>
                  <w:r>
                    <w:rPr>
                      <w:rFonts w:hint="eastAsia"/>
                      <w:bCs/>
                      <w:spacing w:val="10"/>
                      <w:szCs w:val="21"/>
                    </w:rPr>
                    <w:t>废水</w:t>
                  </w:r>
                </w:p>
              </w:tc>
              <w:tc>
                <w:tcPr>
                  <w:tcW w:w="723" w:type="pct"/>
                  <w:tcBorders>
                    <w:tl2br w:val="nil"/>
                    <w:tr2bl w:val="nil"/>
                  </w:tcBorders>
                  <w:vAlign w:val="center"/>
                </w:tcPr>
                <w:p w14:paraId="216731A0">
                  <w:pPr>
                    <w:adjustRightInd w:val="0"/>
                    <w:snapToGrid w:val="0"/>
                    <w:jc w:val="center"/>
                  </w:pPr>
                  <w:r>
                    <w:rPr>
                      <w:rFonts w:hint="eastAsia"/>
                    </w:rPr>
                    <w:t>生活污水</w:t>
                  </w:r>
                </w:p>
              </w:tc>
              <w:tc>
                <w:tcPr>
                  <w:tcW w:w="2843" w:type="pct"/>
                  <w:tcBorders>
                    <w:tl2br w:val="nil"/>
                    <w:tr2bl w:val="nil"/>
                  </w:tcBorders>
                  <w:vAlign w:val="center"/>
                </w:tcPr>
                <w:p w14:paraId="0EF3BAAF">
                  <w:pPr>
                    <w:keepNext w:val="0"/>
                    <w:keepLines w:val="0"/>
                    <w:pageBreakBefore w:val="0"/>
                    <w:widowControl w:val="0"/>
                    <w:kinsoku/>
                    <w:wordWrap/>
                    <w:overflowPunct/>
                    <w:topLinePunct w:val="0"/>
                    <w:autoSpaceDE/>
                    <w:autoSpaceDN/>
                    <w:bidi w:val="0"/>
                    <w:adjustRightInd w:val="0"/>
                    <w:snapToGrid w:val="0"/>
                    <w:ind w:left="0" w:leftChars="0" w:right="0" w:rightChars="0"/>
                    <w:jc w:val="both"/>
                    <w:textAlignment w:val="auto"/>
                  </w:pPr>
                  <w:r>
                    <w:rPr>
                      <w:rFonts w:hint="eastAsia"/>
                    </w:rPr>
                    <w:t>收集沉淀回用于矿区抑尘洒水</w:t>
                  </w:r>
                </w:p>
              </w:tc>
              <w:tc>
                <w:tcPr>
                  <w:tcW w:w="591" w:type="pct"/>
                  <w:tcBorders>
                    <w:tl2br w:val="nil"/>
                    <w:tr2bl w:val="nil"/>
                  </w:tcBorders>
                  <w:vAlign w:val="center"/>
                </w:tcPr>
                <w:p w14:paraId="64726EBC">
                  <w:pPr>
                    <w:adjustRightInd w:val="0"/>
                    <w:snapToGrid w:val="0"/>
                    <w:jc w:val="center"/>
                    <w:rPr>
                      <w:rFonts w:hint="eastAsia" w:eastAsia="宋体"/>
                      <w:bCs/>
                      <w:spacing w:val="10"/>
                      <w:szCs w:val="21"/>
                      <w:lang w:eastAsia="zh-CN"/>
                    </w:rPr>
                  </w:pPr>
                  <w:r>
                    <w:rPr>
                      <w:rFonts w:hint="eastAsia"/>
                      <w:bCs/>
                      <w:spacing w:val="10"/>
                      <w:szCs w:val="21"/>
                      <w:lang w:val="en-US" w:eastAsia="zh-CN"/>
                    </w:rPr>
                    <w:t>3</w:t>
                  </w:r>
                </w:p>
              </w:tc>
            </w:tr>
            <w:tr w14:paraId="3B6CC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6" w:type="pct"/>
                  <w:vMerge w:val="continue"/>
                  <w:tcBorders>
                    <w:tl2br w:val="nil"/>
                    <w:tr2bl w:val="nil"/>
                  </w:tcBorders>
                  <w:vAlign w:val="center"/>
                </w:tcPr>
                <w:p w14:paraId="120425F4">
                  <w:pPr>
                    <w:adjustRightInd w:val="0"/>
                    <w:snapToGrid w:val="0"/>
                    <w:jc w:val="center"/>
                    <w:rPr>
                      <w:bCs/>
                      <w:spacing w:val="10"/>
                      <w:szCs w:val="21"/>
                    </w:rPr>
                  </w:pPr>
                </w:p>
              </w:tc>
              <w:tc>
                <w:tcPr>
                  <w:tcW w:w="425" w:type="pct"/>
                  <w:vMerge w:val="restart"/>
                  <w:tcBorders>
                    <w:tl2br w:val="nil"/>
                    <w:tr2bl w:val="nil"/>
                  </w:tcBorders>
                  <w:vAlign w:val="center"/>
                </w:tcPr>
                <w:p w14:paraId="414504F6">
                  <w:pPr>
                    <w:adjustRightInd w:val="0"/>
                    <w:snapToGrid w:val="0"/>
                    <w:jc w:val="center"/>
                    <w:rPr>
                      <w:bCs/>
                      <w:spacing w:val="10"/>
                      <w:szCs w:val="21"/>
                    </w:rPr>
                  </w:pPr>
                  <w:r>
                    <w:rPr>
                      <w:rFonts w:hint="eastAsia"/>
                      <w:bCs/>
                      <w:spacing w:val="10"/>
                      <w:szCs w:val="21"/>
                    </w:rPr>
                    <w:t>噪声</w:t>
                  </w:r>
                </w:p>
              </w:tc>
              <w:tc>
                <w:tcPr>
                  <w:tcW w:w="723" w:type="pct"/>
                  <w:tcBorders>
                    <w:tl2br w:val="nil"/>
                    <w:tr2bl w:val="nil"/>
                  </w:tcBorders>
                  <w:vAlign w:val="center"/>
                </w:tcPr>
                <w:p w14:paraId="3210964D">
                  <w:pPr>
                    <w:jc w:val="center"/>
                  </w:pPr>
                  <w:r>
                    <w:rPr>
                      <w:rFonts w:hint="eastAsia"/>
                    </w:rPr>
                    <w:t>设备噪声</w:t>
                  </w:r>
                </w:p>
              </w:tc>
              <w:tc>
                <w:tcPr>
                  <w:tcW w:w="2843" w:type="pct"/>
                  <w:tcBorders>
                    <w:tl2br w:val="nil"/>
                    <w:tr2bl w:val="nil"/>
                  </w:tcBorders>
                  <w:vAlign w:val="center"/>
                </w:tcPr>
                <w:p w14:paraId="5AEFD3F5">
                  <w:pPr>
                    <w:keepNext w:val="0"/>
                    <w:keepLines w:val="0"/>
                    <w:pageBreakBefore w:val="0"/>
                    <w:widowControl w:val="0"/>
                    <w:kinsoku/>
                    <w:wordWrap/>
                    <w:overflowPunct/>
                    <w:topLinePunct w:val="0"/>
                    <w:autoSpaceDE/>
                    <w:autoSpaceDN/>
                    <w:bidi w:val="0"/>
                    <w:ind w:left="0" w:leftChars="0" w:right="0" w:rightChars="0"/>
                    <w:jc w:val="both"/>
                    <w:textAlignment w:val="auto"/>
                  </w:pPr>
                  <w:r>
                    <w:rPr>
                      <w:rFonts w:hint="eastAsia"/>
                    </w:rPr>
                    <w:t>采用低噪声设备；注意设备润滑；及时更换老化和性能减低的旧设备</w:t>
                  </w:r>
                </w:p>
              </w:tc>
              <w:tc>
                <w:tcPr>
                  <w:tcW w:w="591" w:type="pct"/>
                  <w:tcBorders>
                    <w:tl2br w:val="nil"/>
                    <w:tr2bl w:val="nil"/>
                  </w:tcBorders>
                  <w:vAlign w:val="center"/>
                </w:tcPr>
                <w:p w14:paraId="2B5CFFC6">
                  <w:pPr>
                    <w:adjustRightInd w:val="0"/>
                    <w:snapToGrid w:val="0"/>
                    <w:jc w:val="center"/>
                    <w:rPr>
                      <w:bCs/>
                      <w:spacing w:val="10"/>
                      <w:szCs w:val="21"/>
                    </w:rPr>
                  </w:pPr>
                  <w:r>
                    <w:rPr>
                      <w:rFonts w:hint="eastAsia"/>
                      <w:bCs/>
                      <w:spacing w:val="10"/>
                      <w:szCs w:val="21"/>
                    </w:rPr>
                    <w:t>/</w:t>
                  </w:r>
                </w:p>
              </w:tc>
            </w:tr>
            <w:tr w14:paraId="6B689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6" w:type="pct"/>
                  <w:vMerge w:val="continue"/>
                  <w:tcBorders>
                    <w:tl2br w:val="nil"/>
                    <w:tr2bl w:val="nil"/>
                  </w:tcBorders>
                  <w:vAlign w:val="center"/>
                </w:tcPr>
                <w:p w14:paraId="3DCE7771">
                  <w:pPr>
                    <w:adjustRightInd w:val="0"/>
                    <w:snapToGrid w:val="0"/>
                    <w:jc w:val="center"/>
                    <w:rPr>
                      <w:bCs/>
                      <w:spacing w:val="10"/>
                      <w:szCs w:val="21"/>
                    </w:rPr>
                  </w:pPr>
                </w:p>
              </w:tc>
              <w:tc>
                <w:tcPr>
                  <w:tcW w:w="425" w:type="pct"/>
                  <w:vMerge w:val="continue"/>
                  <w:tcBorders>
                    <w:tl2br w:val="nil"/>
                    <w:tr2bl w:val="nil"/>
                  </w:tcBorders>
                  <w:vAlign w:val="center"/>
                </w:tcPr>
                <w:p w14:paraId="161662CD">
                  <w:pPr>
                    <w:adjustRightInd w:val="0"/>
                    <w:snapToGrid w:val="0"/>
                    <w:jc w:val="center"/>
                    <w:rPr>
                      <w:bCs/>
                      <w:spacing w:val="10"/>
                      <w:szCs w:val="21"/>
                    </w:rPr>
                  </w:pPr>
                </w:p>
              </w:tc>
              <w:tc>
                <w:tcPr>
                  <w:tcW w:w="723" w:type="pct"/>
                  <w:tcBorders>
                    <w:tl2br w:val="nil"/>
                    <w:tr2bl w:val="nil"/>
                  </w:tcBorders>
                  <w:vAlign w:val="center"/>
                </w:tcPr>
                <w:p w14:paraId="10C93454">
                  <w:pPr>
                    <w:jc w:val="center"/>
                  </w:pPr>
                  <w:r>
                    <w:rPr>
                      <w:rFonts w:hint="eastAsia"/>
                    </w:rPr>
                    <w:t>交通噪声</w:t>
                  </w:r>
                </w:p>
              </w:tc>
              <w:tc>
                <w:tcPr>
                  <w:tcW w:w="2843" w:type="pct"/>
                  <w:tcBorders>
                    <w:tl2br w:val="nil"/>
                    <w:tr2bl w:val="nil"/>
                  </w:tcBorders>
                  <w:vAlign w:val="center"/>
                </w:tcPr>
                <w:p w14:paraId="28C443FE">
                  <w:pPr>
                    <w:keepNext w:val="0"/>
                    <w:keepLines w:val="0"/>
                    <w:pageBreakBefore w:val="0"/>
                    <w:widowControl w:val="0"/>
                    <w:kinsoku/>
                    <w:wordWrap/>
                    <w:overflowPunct/>
                    <w:topLinePunct w:val="0"/>
                    <w:autoSpaceDE/>
                    <w:autoSpaceDN/>
                    <w:bidi w:val="0"/>
                    <w:ind w:left="0" w:leftChars="0" w:right="0" w:rightChars="0"/>
                    <w:jc w:val="both"/>
                    <w:textAlignment w:val="auto"/>
                  </w:pPr>
                  <w:r>
                    <w:rPr>
                      <w:rFonts w:hint="eastAsia"/>
                    </w:rPr>
                    <w:t>优先选择低噪声设备，加强对运输车辆的维护；确保关键部件的良好运转</w:t>
                  </w:r>
                </w:p>
              </w:tc>
              <w:tc>
                <w:tcPr>
                  <w:tcW w:w="591" w:type="pct"/>
                  <w:tcBorders>
                    <w:tl2br w:val="nil"/>
                    <w:tr2bl w:val="nil"/>
                  </w:tcBorders>
                  <w:vAlign w:val="center"/>
                </w:tcPr>
                <w:p w14:paraId="3D4570DB">
                  <w:pPr>
                    <w:adjustRightInd w:val="0"/>
                    <w:snapToGrid w:val="0"/>
                    <w:jc w:val="center"/>
                    <w:rPr>
                      <w:bCs/>
                      <w:spacing w:val="10"/>
                      <w:szCs w:val="21"/>
                    </w:rPr>
                  </w:pPr>
                  <w:r>
                    <w:rPr>
                      <w:rFonts w:hint="eastAsia"/>
                      <w:bCs/>
                      <w:spacing w:val="10"/>
                      <w:szCs w:val="21"/>
                    </w:rPr>
                    <w:t>/</w:t>
                  </w:r>
                </w:p>
              </w:tc>
            </w:tr>
            <w:tr w14:paraId="0D8F4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6" w:type="pct"/>
                  <w:vMerge w:val="continue"/>
                  <w:tcBorders>
                    <w:tl2br w:val="nil"/>
                    <w:tr2bl w:val="nil"/>
                  </w:tcBorders>
                  <w:vAlign w:val="center"/>
                </w:tcPr>
                <w:p w14:paraId="4243C475">
                  <w:pPr>
                    <w:adjustRightInd w:val="0"/>
                    <w:snapToGrid w:val="0"/>
                    <w:jc w:val="center"/>
                    <w:rPr>
                      <w:bCs/>
                      <w:spacing w:val="10"/>
                      <w:szCs w:val="21"/>
                    </w:rPr>
                  </w:pPr>
                </w:p>
              </w:tc>
              <w:tc>
                <w:tcPr>
                  <w:tcW w:w="425" w:type="pct"/>
                  <w:vMerge w:val="restart"/>
                  <w:tcBorders>
                    <w:tl2br w:val="nil"/>
                    <w:tr2bl w:val="nil"/>
                  </w:tcBorders>
                  <w:vAlign w:val="center"/>
                </w:tcPr>
                <w:p w14:paraId="62B9218F">
                  <w:pPr>
                    <w:adjustRightInd w:val="0"/>
                    <w:snapToGrid w:val="0"/>
                    <w:jc w:val="center"/>
                    <w:rPr>
                      <w:bCs/>
                      <w:spacing w:val="10"/>
                      <w:szCs w:val="21"/>
                    </w:rPr>
                  </w:pPr>
                  <w:r>
                    <w:rPr>
                      <w:rFonts w:hint="eastAsia"/>
                      <w:bCs/>
                      <w:spacing w:val="10"/>
                      <w:szCs w:val="21"/>
                    </w:rPr>
                    <w:t>固废</w:t>
                  </w:r>
                </w:p>
              </w:tc>
              <w:tc>
                <w:tcPr>
                  <w:tcW w:w="723" w:type="pct"/>
                  <w:tcBorders>
                    <w:tl2br w:val="nil"/>
                    <w:tr2bl w:val="nil"/>
                  </w:tcBorders>
                  <w:vAlign w:val="center"/>
                </w:tcPr>
                <w:p w14:paraId="7D7B3DCD">
                  <w:pPr>
                    <w:jc w:val="center"/>
                  </w:pPr>
                  <w:r>
                    <w:rPr>
                      <w:rFonts w:hint="eastAsia"/>
                    </w:rPr>
                    <w:t>剥离物、筛出的废土</w:t>
                  </w:r>
                </w:p>
              </w:tc>
              <w:tc>
                <w:tcPr>
                  <w:tcW w:w="2843" w:type="pct"/>
                  <w:tcBorders>
                    <w:tl2br w:val="nil"/>
                    <w:tr2bl w:val="nil"/>
                  </w:tcBorders>
                  <w:vAlign w:val="center"/>
                </w:tcPr>
                <w:p w14:paraId="074C158D">
                  <w:pPr>
                    <w:keepNext w:val="0"/>
                    <w:keepLines w:val="0"/>
                    <w:pageBreakBefore w:val="0"/>
                    <w:widowControl w:val="0"/>
                    <w:kinsoku/>
                    <w:wordWrap/>
                    <w:overflowPunct/>
                    <w:topLinePunct w:val="0"/>
                    <w:autoSpaceDE/>
                    <w:autoSpaceDN/>
                    <w:bidi w:val="0"/>
                    <w:ind w:left="0" w:leftChars="0" w:right="0" w:rightChars="0"/>
                    <w:jc w:val="both"/>
                    <w:textAlignment w:val="auto"/>
                  </w:pPr>
                  <w:r>
                    <w:rPr>
                      <w:rFonts w:hint="eastAsia"/>
                    </w:rPr>
                    <w:t>规范堆存于排土场内，表土后期用于生态恢复</w:t>
                  </w:r>
                </w:p>
              </w:tc>
              <w:tc>
                <w:tcPr>
                  <w:tcW w:w="591" w:type="pct"/>
                  <w:tcBorders>
                    <w:tl2br w:val="nil"/>
                    <w:tr2bl w:val="nil"/>
                  </w:tcBorders>
                  <w:vAlign w:val="center"/>
                </w:tcPr>
                <w:p w14:paraId="415A410C">
                  <w:pPr>
                    <w:jc w:val="center"/>
                  </w:pPr>
                  <w:r>
                    <w:rPr>
                      <w:rFonts w:hint="eastAsia"/>
                    </w:rPr>
                    <w:t>/</w:t>
                  </w:r>
                </w:p>
              </w:tc>
            </w:tr>
            <w:tr w14:paraId="66061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6" w:type="pct"/>
                  <w:vMerge w:val="continue"/>
                  <w:tcBorders>
                    <w:tl2br w:val="nil"/>
                    <w:tr2bl w:val="nil"/>
                  </w:tcBorders>
                  <w:vAlign w:val="center"/>
                </w:tcPr>
                <w:p w14:paraId="0009B5DE">
                  <w:pPr>
                    <w:adjustRightInd w:val="0"/>
                    <w:snapToGrid w:val="0"/>
                    <w:jc w:val="center"/>
                    <w:rPr>
                      <w:bCs/>
                      <w:spacing w:val="10"/>
                      <w:szCs w:val="21"/>
                    </w:rPr>
                  </w:pPr>
                </w:p>
              </w:tc>
              <w:tc>
                <w:tcPr>
                  <w:tcW w:w="425" w:type="pct"/>
                  <w:vMerge w:val="continue"/>
                  <w:tcBorders>
                    <w:tl2br w:val="nil"/>
                    <w:tr2bl w:val="nil"/>
                  </w:tcBorders>
                  <w:vAlign w:val="center"/>
                </w:tcPr>
                <w:p w14:paraId="3CF16256">
                  <w:pPr>
                    <w:adjustRightInd w:val="0"/>
                    <w:snapToGrid w:val="0"/>
                    <w:jc w:val="center"/>
                    <w:rPr>
                      <w:bCs/>
                      <w:spacing w:val="10"/>
                      <w:szCs w:val="21"/>
                    </w:rPr>
                  </w:pPr>
                </w:p>
              </w:tc>
              <w:tc>
                <w:tcPr>
                  <w:tcW w:w="723" w:type="pct"/>
                  <w:tcBorders>
                    <w:tl2br w:val="nil"/>
                    <w:tr2bl w:val="nil"/>
                  </w:tcBorders>
                  <w:vAlign w:val="center"/>
                </w:tcPr>
                <w:p w14:paraId="12B135A3">
                  <w:pPr>
                    <w:jc w:val="center"/>
                  </w:pPr>
                  <w:r>
                    <w:rPr>
                      <w:rFonts w:hint="eastAsia"/>
                    </w:rPr>
                    <w:t>危险废物</w:t>
                  </w:r>
                </w:p>
              </w:tc>
              <w:tc>
                <w:tcPr>
                  <w:tcW w:w="2843" w:type="pct"/>
                  <w:tcBorders>
                    <w:tl2br w:val="nil"/>
                    <w:tr2bl w:val="nil"/>
                  </w:tcBorders>
                  <w:vAlign w:val="center"/>
                </w:tcPr>
                <w:p w14:paraId="62B04563">
                  <w:pPr>
                    <w:keepNext w:val="0"/>
                    <w:keepLines w:val="0"/>
                    <w:pageBreakBefore w:val="0"/>
                    <w:widowControl w:val="0"/>
                    <w:kinsoku/>
                    <w:wordWrap/>
                    <w:overflowPunct/>
                    <w:topLinePunct w:val="0"/>
                    <w:autoSpaceDE/>
                    <w:autoSpaceDN/>
                    <w:bidi w:val="0"/>
                    <w:ind w:left="0" w:leftChars="0" w:right="0" w:rightChars="0"/>
                    <w:jc w:val="both"/>
                    <w:textAlignment w:val="auto"/>
                  </w:pPr>
                  <w:r>
                    <w:rPr>
                      <w:rFonts w:hint="eastAsia"/>
                    </w:rPr>
                    <w:t>依托工业场地现有危废贮存点</w:t>
                  </w:r>
                </w:p>
              </w:tc>
              <w:tc>
                <w:tcPr>
                  <w:tcW w:w="591" w:type="pct"/>
                  <w:tcBorders>
                    <w:tl2br w:val="nil"/>
                    <w:tr2bl w:val="nil"/>
                  </w:tcBorders>
                  <w:vAlign w:val="center"/>
                </w:tcPr>
                <w:p w14:paraId="172ADD86">
                  <w:pPr>
                    <w:jc w:val="center"/>
                  </w:pPr>
                  <w:r>
                    <w:rPr>
                      <w:rFonts w:hint="eastAsia"/>
                    </w:rPr>
                    <w:t>/</w:t>
                  </w:r>
                </w:p>
              </w:tc>
            </w:tr>
            <w:tr w14:paraId="7C170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6" w:type="pct"/>
                  <w:vMerge w:val="continue"/>
                  <w:tcBorders>
                    <w:tl2br w:val="nil"/>
                    <w:tr2bl w:val="nil"/>
                  </w:tcBorders>
                  <w:vAlign w:val="center"/>
                </w:tcPr>
                <w:p w14:paraId="11CBE581">
                  <w:pPr>
                    <w:adjustRightInd w:val="0"/>
                    <w:snapToGrid w:val="0"/>
                    <w:jc w:val="center"/>
                    <w:rPr>
                      <w:bCs/>
                      <w:spacing w:val="10"/>
                      <w:szCs w:val="21"/>
                    </w:rPr>
                  </w:pPr>
                </w:p>
              </w:tc>
              <w:tc>
                <w:tcPr>
                  <w:tcW w:w="425" w:type="pct"/>
                  <w:vMerge w:val="continue"/>
                  <w:tcBorders>
                    <w:tl2br w:val="nil"/>
                    <w:tr2bl w:val="nil"/>
                  </w:tcBorders>
                  <w:vAlign w:val="center"/>
                </w:tcPr>
                <w:p w14:paraId="566CCAB2">
                  <w:pPr>
                    <w:adjustRightInd w:val="0"/>
                    <w:snapToGrid w:val="0"/>
                    <w:jc w:val="center"/>
                    <w:rPr>
                      <w:bCs/>
                      <w:spacing w:val="10"/>
                      <w:szCs w:val="21"/>
                    </w:rPr>
                  </w:pPr>
                </w:p>
              </w:tc>
              <w:tc>
                <w:tcPr>
                  <w:tcW w:w="723" w:type="pct"/>
                  <w:tcBorders>
                    <w:tl2br w:val="nil"/>
                    <w:tr2bl w:val="nil"/>
                  </w:tcBorders>
                  <w:vAlign w:val="center"/>
                </w:tcPr>
                <w:p w14:paraId="67F1D4C7">
                  <w:pPr>
                    <w:jc w:val="center"/>
                  </w:pPr>
                  <w:r>
                    <w:rPr>
                      <w:rFonts w:hint="eastAsia"/>
                    </w:rPr>
                    <w:t>生活垃圾</w:t>
                  </w:r>
                </w:p>
              </w:tc>
              <w:tc>
                <w:tcPr>
                  <w:tcW w:w="2843" w:type="pct"/>
                  <w:tcBorders>
                    <w:tl2br w:val="nil"/>
                    <w:tr2bl w:val="nil"/>
                  </w:tcBorders>
                  <w:vAlign w:val="center"/>
                </w:tcPr>
                <w:p w14:paraId="16586943">
                  <w:pPr>
                    <w:keepNext w:val="0"/>
                    <w:keepLines w:val="0"/>
                    <w:pageBreakBefore w:val="0"/>
                    <w:widowControl w:val="0"/>
                    <w:kinsoku/>
                    <w:wordWrap/>
                    <w:overflowPunct/>
                    <w:topLinePunct w:val="0"/>
                    <w:autoSpaceDE/>
                    <w:autoSpaceDN/>
                    <w:bidi w:val="0"/>
                    <w:ind w:left="0" w:leftChars="0" w:right="0" w:rightChars="0"/>
                    <w:jc w:val="both"/>
                    <w:textAlignment w:val="auto"/>
                  </w:pPr>
                  <w:r>
                    <w:rPr>
                      <w:rFonts w:hint="eastAsia"/>
                    </w:rPr>
                    <w:t>厂内设垃圾桶若干，收集后送至当地环卫部门指定地点</w:t>
                  </w:r>
                </w:p>
              </w:tc>
              <w:tc>
                <w:tcPr>
                  <w:tcW w:w="591" w:type="pct"/>
                  <w:tcBorders>
                    <w:tl2br w:val="nil"/>
                    <w:tr2bl w:val="nil"/>
                  </w:tcBorders>
                  <w:vAlign w:val="center"/>
                </w:tcPr>
                <w:p w14:paraId="6B713D7C">
                  <w:pPr>
                    <w:jc w:val="center"/>
                  </w:pPr>
                  <w:r>
                    <w:rPr>
                      <w:rFonts w:hint="eastAsia"/>
                    </w:rPr>
                    <w:t>/</w:t>
                  </w:r>
                </w:p>
              </w:tc>
            </w:tr>
            <w:tr w14:paraId="5BD81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6" w:type="pct"/>
                  <w:vMerge w:val="continue"/>
                  <w:tcBorders>
                    <w:tl2br w:val="nil"/>
                    <w:tr2bl w:val="nil"/>
                  </w:tcBorders>
                  <w:vAlign w:val="center"/>
                </w:tcPr>
                <w:p w14:paraId="40297F2B">
                  <w:pPr>
                    <w:adjustRightInd w:val="0"/>
                    <w:snapToGrid w:val="0"/>
                    <w:jc w:val="center"/>
                    <w:rPr>
                      <w:bCs/>
                      <w:spacing w:val="10"/>
                      <w:szCs w:val="21"/>
                    </w:rPr>
                  </w:pPr>
                </w:p>
              </w:tc>
              <w:tc>
                <w:tcPr>
                  <w:tcW w:w="425" w:type="pct"/>
                  <w:vMerge w:val="restart"/>
                  <w:tcBorders>
                    <w:tl2br w:val="nil"/>
                    <w:tr2bl w:val="nil"/>
                  </w:tcBorders>
                  <w:vAlign w:val="center"/>
                </w:tcPr>
                <w:p w14:paraId="1B80ACFD">
                  <w:pPr>
                    <w:adjustRightInd w:val="0"/>
                    <w:snapToGrid w:val="0"/>
                    <w:jc w:val="center"/>
                    <w:rPr>
                      <w:bCs/>
                      <w:spacing w:val="10"/>
                      <w:szCs w:val="21"/>
                    </w:rPr>
                  </w:pPr>
                  <w:r>
                    <w:rPr>
                      <w:rFonts w:hint="eastAsia"/>
                      <w:bCs/>
                      <w:spacing w:val="10"/>
                      <w:szCs w:val="21"/>
                    </w:rPr>
                    <w:t>生态</w:t>
                  </w:r>
                </w:p>
              </w:tc>
              <w:tc>
                <w:tcPr>
                  <w:tcW w:w="723" w:type="pct"/>
                  <w:tcBorders>
                    <w:tl2br w:val="nil"/>
                    <w:tr2bl w:val="nil"/>
                  </w:tcBorders>
                  <w:vAlign w:val="center"/>
                </w:tcPr>
                <w:p w14:paraId="7E6B2D70">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eastAsia" w:eastAsia="宋体"/>
                      <w:lang w:val="en-US" w:eastAsia="zh-CN"/>
                    </w:rPr>
                  </w:pPr>
                  <w:r>
                    <w:rPr>
                      <w:rFonts w:hint="eastAsia"/>
                      <w:lang w:val="en-US" w:eastAsia="zh-CN"/>
                    </w:rPr>
                    <w:t>办公生活区</w:t>
                  </w:r>
                </w:p>
              </w:tc>
              <w:tc>
                <w:tcPr>
                  <w:tcW w:w="2843" w:type="pct"/>
                  <w:tcBorders>
                    <w:tl2br w:val="nil"/>
                    <w:tr2bl w:val="nil"/>
                  </w:tcBorders>
                  <w:vAlign w:val="center"/>
                </w:tcPr>
                <w:p w14:paraId="295CD6B0">
                  <w:pPr>
                    <w:keepNext w:val="0"/>
                    <w:keepLines w:val="0"/>
                    <w:pageBreakBefore w:val="0"/>
                    <w:widowControl w:val="0"/>
                    <w:kinsoku/>
                    <w:wordWrap/>
                    <w:overflowPunct/>
                    <w:topLinePunct w:val="0"/>
                    <w:autoSpaceDE/>
                    <w:autoSpaceDN/>
                    <w:bidi w:val="0"/>
                    <w:ind w:left="0" w:leftChars="0" w:right="0" w:rightChars="0"/>
                    <w:jc w:val="both"/>
                    <w:textAlignment w:val="auto"/>
                    <w:rPr>
                      <w:highlight w:val="red"/>
                    </w:rPr>
                  </w:pPr>
                  <w:r>
                    <w:rPr>
                      <w:rFonts w:hint="eastAsia"/>
                      <w:highlight w:val="none"/>
                    </w:rPr>
                    <w:t>总绿化面积600m</w:t>
                  </w:r>
                  <w:r>
                    <w:rPr>
                      <w:rFonts w:hint="eastAsia"/>
                      <w:highlight w:val="none"/>
                      <w:vertAlign w:val="superscript"/>
                    </w:rPr>
                    <w:t>2</w:t>
                  </w:r>
                  <w:r>
                    <w:rPr>
                      <w:rFonts w:hint="eastAsia"/>
                      <w:highlight w:val="none"/>
                    </w:rPr>
                    <w:t>，共计需种植垂柳300株、丁香100株、连翘100株、榆叶梅100株、播撒黑麦草0.03hm</w:t>
                  </w:r>
                  <w:r>
                    <w:rPr>
                      <w:rFonts w:hint="eastAsia"/>
                      <w:highlight w:val="none"/>
                      <w:vertAlign w:val="superscript"/>
                    </w:rPr>
                    <w:t>2</w:t>
                  </w:r>
                  <w:r>
                    <w:rPr>
                      <w:rFonts w:hint="eastAsia"/>
                      <w:highlight w:val="none"/>
                    </w:rPr>
                    <w:t>、白三叶0.02hm</w:t>
                  </w:r>
                  <w:r>
                    <w:rPr>
                      <w:rFonts w:hint="eastAsia"/>
                      <w:highlight w:val="none"/>
                      <w:vertAlign w:val="superscript"/>
                    </w:rPr>
                    <w:t>2</w:t>
                  </w:r>
                  <w:r>
                    <w:rPr>
                      <w:rFonts w:hint="eastAsia"/>
                      <w:highlight w:val="none"/>
                    </w:rPr>
                    <w:t>、八宝景天0.01hm</w:t>
                  </w:r>
                  <w:r>
                    <w:rPr>
                      <w:rFonts w:hint="eastAsia"/>
                      <w:highlight w:val="none"/>
                      <w:vertAlign w:val="superscript"/>
                    </w:rPr>
                    <w:t>2</w:t>
                  </w:r>
                  <w:r>
                    <w:rPr>
                      <w:rFonts w:hint="eastAsia"/>
                      <w:highlight w:val="none"/>
                    </w:rPr>
                    <w:t>。</w:t>
                  </w:r>
                </w:p>
              </w:tc>
              <w:tc>
                <w:tcPr>
                  <w:tcW w:w="591" w:type="pct"/>
                  <w:vMerge w:val="restart"/>
                  <w:tcBorders>
                    <w:tl2br w:val="nil"/>
                    <w:tr2bl w:val="nil"/>
                  </w:tcBorders>
                  <w:vAlign w:val="center"/>
                </w:tcPr>
                <w:p w14:paraId="0C88CCA3">
                  <w:pPr>
                    <w:adjustRightInd w:val="0"/>
                    <w:snapToGrid w:val="0"/>
                    <w:spacing w:line="280" w:lineRule="exact"/>
                    <w:jc w:val="center"/>
                    <w:rPr>
                      <w:bCs/>
                      <w:spacing w:val="10"/>
                      <w:szCs w:val="21"/>
                    </w:rPr>
                  </w:pPr>
                  <w:r>
                    <w:rPr>
                      <w:rFonts w:hint="eastAsia"/>
                      <w:bCs/>
                      <w:spacing w:val="10"/>
                      <w:szCs w:val="21"/>
                      <w:lang w:val="en-US" w:eastAsia="zh-CN"/>
                    </w:rPr>
                    <w:t>5</w:t>
                  </w:r>
                  <w:r>
                    <w:rPr>
                      <w:rFonts w:hint="eastAsia"/>
                      <w:bCs/>
                      <w:spacing w:val="10"/>
                      <w:szCs w:val="21"/>
                    </w:rPr>
                    <w:t>0</w:t>
                  </w:r>
                </w:p>
              </w:tc>
            </w:tr>
            <w:tr w14:paraId="6C085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6" w:type="pct"/>
                  <w:vMerge w:val="continue"/>
                  <w:tcBorders>
                    <w:tl2br w:val="nil"/>
                    <w:tr2bl w:val="nil"/>
                  </w:tcBorders>
                  <w:vAlign w:val="center"/>
                </w:tcPr>
                <w:p w14:paraId="39638CB1">
                  <w:pPr>
                    <w:adjustRightInd w:val="0"/>
                    <w:snapToGrid w:val="0"/>
                    <w:jc w:val="center"/>
                    <w:rPr>
                      <w:bCs/>
                      <w:spacing w:val="10"/>
                      <w:szCs w:val="21"/>
                    </w:rPr>
                  </w:pPr>
                  <w:bookmarkStart w:id="31" w:name="_Hlk215383656"/>
                </w:p>
              </w:tc>
              <w:tc>
                <w:tcPr>
                  <w:tcW w:w="425" w:type="pct"/>
                  <w:vMerge w:val="continue"/>
                  <w:tcBorders>
                    <w:tl2br w:val="nil"/>
                    <w:tr2bl w:val="nil"/>
                  </w:tcBorders>
                  <w:vAlign w:val="center"/>
                </w:tcPr>
                <w:p w14:paraId="17FEB698">
                  <w:pPr>
                    <w:adjustRightInd w:val="0"/>
                    <w:snapToGrid w:val="0"/>
                    <w:jc w:val="center"/>
                    <w:rPr>
                      <w:rFonts w:hint="eastAsia"/>
                      <w:bCs/>
                      <w:spacing w:val="10"/>
                      <w:szCs w:val="21"/>
                    </w:rPr>
                  </w:pPr>
                </w:p>
              </w:tc>
              <w:tc>
                <w:tcPr>
                  <w:tcW w:w="1180" w:type="dxa"/>
                  <w:tcBorders>
                    <w:tl2br w:val="nil"/>
                    <w:tr2bl w:val="nil"/>
                  </w:tcBorders>
                  <w:vAlign w:val="center"/>
                </w:tcPr>
                <w:p w14:paraId="615DCAD3">
                  <w:pPr>
                    <w:jc w:val="center"/>
                    <w:rPr>
                      <w:rFonts w:hint="eastAsia"/>
                      <w:szCs w:val="21"/>
                    </w:rPr>
                  </w:pPr>
                  <w:r>
                    <w:rPr>
                      <w:rFonts w:hint="eastAsia"/>
                      <w:szCs w:val="21"/>
                    </w:rPr>
                    <w:t>运矿道路</w:t>
                  </w:r>
                </w:p>
              </w:tc>
              <w:tc>
                <w:tcPr>
                  <w:tcW w:w="4642" w:type="dxa"/>
                  <w:tcBorders>
                    <w:tl2br w:val="nil"/>
                    <w:tr2bl w:val="nil"/>
                  </w:tcBorders>
                  <w:vAlign w:val="center"/>
                </w:tcPr>
                <w:p w14:paraId="79ED734A">
                  <w:pPr>
                    <w:keepNext w:val="0"/>
                    <w:keepLines w:val="0"/>
                    <w:pageBreakBefore w:val="0"/>
                    <w:widowControl w:val="0"/>
                    <w:kinsoku/>
                    <w:wordWrap/>
                    <w:overflowPunct/>
                    <w:topLinePunct w:val="0"/>
                    <w:autoSpaceDE/>
                    <w:autoSpaceDN/>
                    <w:bidi w:val="0"/>
                    <w:ind w:left="0" w:leftChars="0" w:right="0" w:rightChars="0"/>
                    <w:jc w:val="both"/>
                    <w:textAlignment w:val="auto"/>
                    <w:rPr>
                      <w:rFonts w:hint="eastAsia"/>
                      <w:szCs w:val="21"/>
                      <w:lang w:val="en-US" w:eastAsia="zh-CN"/>
                    </w:rPr>
                  </w:pPr>
                  <w:r>
                    <w:rPr>
                      <w:rFonts w:hint="eastAsia"/>
                      <w:szCs w:val="21"/>
                      <w:lang w:val="en-US" w:eastAsia="zh-CN"/>
                    </w:rPr>
                    <w:t>运矿</w:t>
                  </w:r>
                  <w:r>
                    <w:rPr>
                      <w:rFonts w:hint="eastAsia"/>
                      <w:szCs w:val="21"/>
                    </w:rPr>
                    <w:t>道路两侧种植行道树，树种选择新疆杨，间距3米</w:t>
                  </w:r>
                  <w:r>
                    <w:rPr>
                      <w:rFonts w:hint="eastAsia"/>
                      <w:szCs w:val="21"/>
                      <w:lang w:eastAsia="zh-CN"/>
                    </w:rPr>
                    <w:t>，</w:t>
                  </w:r>
                  <w:r>
                    <w:rPr>
                      <w:rFonts w:hint="eastAsia"/>
                      <w:szCs w:val="21"/>
                      <w:lang w:val="en-US" w:eastAsia="zh-CN"/>
                    </w:rPr>
                    <w:t>共种植新疆杨2274株。</w:t>
                  </w:r>
                </w:p>
              </w:tc>
              <w:tc>
                <w:tcPr>
                  <w:tcW w:w="591" w:type="pct"/>
                  <w:vMerge w:val="continue"/>
                  <w:tcBorders>
                    <w:tl2br w:val="nil"/>
                    <w:tr2bl w:val="nil"/>
                  </w:tcBorders>
                  <w:vAlign w:val="center"/>
                </w:tcPr>
                <w:p w14:paraId="6068C343">
                  <w:pPr>
                    <w:adjustRightInd w:val="0"/>
                    <w:snapToGrid w:val="0"/>
                    <w:spacing w:line="280" w:lineRule="exact"/>
                    <w:jc w:val="center"/>
                    <w:rPr>
                      <w:rFonts w:hint="eastAsia"/>
                      <w:bCs/>
                      <w:spacing w:val="10"/>
                      <w:szCs w:val="21"/>
                      <w:lang w:val="en-US" w:eastAsia="zh-CN"/>
                    </w:rPr>
                  </w:pPr>
                </w:p>
              </w:tc>
            </w:tr>
            <w:tr w14:paraId="090D7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6" w:type="pct"/>
                  <w:vMerge w:val="continue"/>
                  <w:tcBorders>
                    <w:tl2br w:val="nil"/>
                    <w:tr2bl w:val="nil"/>
                  </w:tcBorders>
                  <w:vAlign w:val="center"/>
                </w:tcPr>
                <w:p w14:paraId="70B04792">
                  <w:pPr>
                    <w:ind w:left="-105" w:leftChars="-50" w:right="-105" w:rightChars="-50"/>
                    <w:jc w:val="center"/>
                  </w:pPr>
                </w:p>
              </w:tc>
              <w:tc>
                <w:tcPr>
                  <w:tcW w:w="425" w:type="pct"/>
                  <w:vMerge w:val="continue"/>
                  <w:tcBorders>
                    <w:tl2br w:val="nil"/>
                    <w:tr2bl w:val="nil"/>
                  </w:tcBorders>
                  <w:vAlign w:val="center"/>
                </w:tcPr>
                <w:p w14:paraId="1DA3E3C7">
                  <w:pPr>
                    <w:ind w:left="-105" w:leftChars="-50" w:right="-105" w:rightChars="-50"/>
                    <w:jc w:val="center"/>
                  </w:pPr>
                </w:p>
              </w:tc>
              <w:tc>
                <w:tcPr>
                  <w:tcW w:w="723" w:type="pct"/>
                  <w:tcBorders>
                    <w:tl2br w:val="nil"/>
                    <w:tr2bl w:val="nil"/>
                  </w:tcBorders>
                  <w:vAlign w:val="center"/>
                </w:tcPr>
                <w:p w14:paraId="66A5F414">
                  <w:pPr>
                    <w:ind w:left="-105" w:leftChars="-50" w:right="-105" w:rightChars="-50"/>
                    <w:jc w:val="center"/>
                    <w:rPr>
                      <w:szCs w:val="21"/>
                    </w:rPr>
                  </w:pPr>
                  <w:r>
                    <w:rPr>
                      <w:rFonts w:hint="eastAsia"/>
                      <w:szCs w:val="21"/>
                    </w:rPr>
                    <w:t>已采区</w:t>
                  </w:r>
                </w:p>
              </w:tc>
              <w:tc>
                <w:tcPr>
                  <w:tcW w:w="2843" w:type="pct"/>
                  <w:tcBorders>
                    <w:tl2br w:val="nil"/>
                    <w:tr2bl w:val="nil"/>
                  </w:tcBorders>
                  <w:vAlign w:val="center"/>
                </w:tcPr>
                <w:p w14:paraId="4C513A7B">
                  <w:pPr>
                    <w:keepNext w:val="0"/>
                    <w:keepLines w:val="0"/>
                    <w:pageBreakBefore w:val="0"/>
                    <w:widowControl w:val="0"/>
                    <w:kinsoku/>
                    <w:wordWrap/>
                    <w:overflowPunct/>
                    <w:topLinePunct w:val="0"/>
                    <w:autoSpaceDE/>
                    <w:autoSpaceDN/>
                    <w:bidi w:val="0"/>
                    <w:ind w:left="0" w:leftChars="0" w:right="0" w:rightChars="0"/>
                    <w:jc w:val="both"/>
                    <w:textAlignment w:val="auto"/>
                    <w:rPr>
                      <w:szCs w:val="21"/>
                    </w:rPr>
                  </w:pPr>
                  <w:r>
                    <w:rPr>
                      <w:rFonts w:hint="eastAsia"/>
                      <w:szCs w:val="21"/>
                    </w:rPr>
                    <w:t>矿界外已</w:t>
                  </w:r>
                  <w:r>
                    <w:rPr>
                      <w:rFonts w:hint="eastAsia"/>
                      <w:szCs w:val="21"/>
                      <w:lang w:val="en-US" w:eastAsia="zh-CN"/>
                    </w:rPr>
                    <w:t>采</w:t>
                  </w:r>
                  <w:r>
                    <w:rPr>
                      <w:rFonts w:hint="eastAsia"/>
                      <w:szCs w:val="21"/>
                    </w:rPr>
                    <w:t>区面积</w:t>
                  </w:r>
                  <w:r>
                    <w:rPr>
                      <w:szCs w:val="21"/>
                    </w:rPr>
                    <w:t>9.</w:t>
                  </w:r>
                  <w:r>
                    <w:rPr>
                      <w:rFonts w:hint="eastAsia"/>
                      <w:szCs w:val="21"/>
                      <w:lang w:val="en-US" w:eastAsia="zh-CN"/>
                    </w:rPr>
                    <w:t>3020</w:t>
                  </w:r>
                  <w:r>
                    <w:rPr>
                      <w:rFonts w:hint="eastAsia"/>
                      <w:szCs w:val="21"/>
                    </w:rPr>
                    <w:t>hm</w:t>
                  </w:r>
                  <w:r>
                    <w:rPr>
                      <w:rFonts w:hint="eastAsia"/>
                      <w:szCs w:val="21"/>
                      <w:vertAlign w:val="superscript"/>
                    </w:rPr>
                    <w:t>2</w:t>
                  </w:r>
                  <w:r>
                    <w:rPr>
                      <w:rFonts w:hint="eastAsia"/>
                      <w:szCs w:val="21"/>
                    </w:rPr>
                    <w:t>，复垦为灌木林地。</w:t>
                  </w:r>
                </w:p>
              </w:tc>
              <w:tc>
                <w:tcPr>
                  <w:tcW w:w="591" w:type="pct"/>
                  <w:vMerge w:val="continue"/>
                  <w:tcBorders>
                    <w:tl2br w:val="nil"/>
                    <w:tr2bl w:val="nil"/>
                  </w:tcBorders>
                  <w:vAlign w:val="center"/>
                </w:tcPr>
                <w:p w14:paraId="6EA4DC6D">
                  <w:pPr>
                    <w:ind w:left="-105" w:leftChars="-50" w:right="-105" w:rightChars="-50"/>
                    <w:jc w:val="center"/>
                    <w:rPr>
                      <w:szCs w:val="21"/>
                    </w:rPr>
                  </w:pPr>
                </w:p>
              </w:tc>
            </w:tr>
            <w:tr w14:paraId="20013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6" w:type="pct"/>
                  <w:vMerge w:val="continue"/>
                  <w:tcBorders>
                    <w:tl2br w:val="nil"/>
                    <w:tr2bl w:val="nil"/>
                  </w:tcBorders>
                  <w:vAlign w:val="center"/>
                </w:tcPr>
                <w:p w14:paraId="53319FAB">
                  <w:pPr>
                    <w:ind w:left="-105" w:leftChars="-50" w:right="-105" w:rightChars="-50"/>
                    <w:jc w:val="center"/>
                  </w:pPr>
                </w:p>
              </w:tc>
              <w:tc>
                <w:tcPr>
                  <w:tcW w:w="425" w:type="pct"/>
                  <w:vMerge w:val="continue"/>
                  <w:tcBorders>
                    <w:tl2br w:val="nil"/>
                    <w:tr2bl w:val="nil"/>
                  </w:tcBorders>
                  <w:vAlign w:val="center"/>
                </w:tcPr>
                <w:p w14:paraId="3C9D8BF2">
                  <w:pPr>
                    <w:ind w:left="-105" w:leftChars="-50" w:right="-105" w:rightChars="-50"/>
                    <w:jc w:val="center"/>
                  </w:pPr>
                </w:p>
              </w:tc>
              <w:tc>
                <w:tcPr>
                  <w:tcW w:w="723" w:type="pct"/>
                  <w:tcBorders>
                    <w:tl2br w:val="nil"/>
                    <w:tr2bl w:val="nil"/>
                  </w:tcBorders>
                  <w:vAlign w:val="center"/>
                </w:tcPr>
                <w:p w14:paraId="6DF8B3E6">
                  <w:pPr>
                    <w:ind w:left="-105" w:leftChars="-50" w:right="-105" w:rightChars="-50"/>
                    <w:jc w:val="center"/>
                    <w:rPr>
                      <w:rFonts w:hint="eastAsia"/>
                      <w:szCs w:val="21"/>
                    </w:rPr>
                  </w:pPr>
                  <w:r>
                    <w:rPr>
                      <w:rFonts w:hint="eastAsia"/>
                      <w:szCs w:val="21"/>
                    </w:rPr>
                    <w:t>排土场已形成平台及边坡</w:t>
                  </w:r>
                </w:p>
              </w:tc>
              <w:tc>
                <w:tcPr>
                  <w:tcW w:w="2843" w:type="pct"/>
                  <w:tcBorders>
                    <w:tl2br w:val="nil"/>
                    <w:tr2bl w:val="nil"/>
                  </w:tcBorders>
                  <w:vAlign w:val="center"/>
                </w:tcPr>
                <w:p w14:paraId="61151498">
                  <w:pPr>
                    <w:keepNext w:val="0"/>
                    <w:keepLines w:val="0"/>
                    <w:pageBreakBefore w:val="0"/>
                    <w:widowControl w:val="0"/>
                    <w:kinsoku/>
                    <w:wordWrap/>
                    <w:overflowPunct/>
                    <w:topLinePunct w:val="0"/>
                    <w:autoSpaceDE/>
                    <w:autoSpaceDN/>
                    <w:bidi w:val="0"/>
                    <w:ind w:left="0" w:leftChars="0" w:right="0" w:rightChars="0"/>
                    <w:jc w:val="both"/>
                    <w:textAlignment w:val="auto"/>
                    <w:rPr>
                      <w:rFonts w:hint="eastAsia" w:eastAsia="宋体"/>
                      <w:szCs w:val="21"/>
                      <w:lang w:eastAsia="zh-CN"/>
                    </w:rPr>
                  </w:pPr>
                  <w:r>
                    <w:rPr>
                      <w:rFonts w:hint="eastAsia"/>
                      <w:szCs w:val="21"/>
                    </w:rPr>
                    <w:t>恢复总面积1.3976hm</w:t>
                  </w:r>
                  <w:r>
                    <w:rPr>
                      <w:rFonts w:hint="eastAsia"/>
                      <w:szCs w:val="21"/>
                      <w:vertAlign w:val="superscript"/>
                    </w:rPr>
                    <w:t>2</w:t>
                  </w:r>
                  <w:r>
                    <w:rPr>
                      <w:rFonts w:hint="eastAsia"/>
                      <w:szCs w:val="21"/>
                    </w:rPr>
                    <w:t>，排土平台恢复面积0.26hm</w:t>
                  </w:r>
                  <w:r>
                    <w:rPr>
                      <w:rFonts w:hint="eastAsia"/>
                      <w:szCs w:val="21"/>
                      <w:vertAlign w:val="superscript"/>
                    </w:rPr>
                    <w:t>2</w:t>
                  </w:r>
                  <w:r>
                    <w:rPr>
                      <w:rFonts w:hint="eastAsia"/>
                      <w:szCs w:val="21"/>
                    </w:rPr>
                    <w:t>，边坡恢复面积1.1376hm</w:t>
                  </w:r>
                  <w:r>
                    <w:rPr>
                      <w:rFonts w:hint="eastAsia"/>
                      <w:szCs w:val="21"/>
                      <w:vertAlign w:val="superscript"/>
                    </w:rPr>
                    <w:t>2</w:t>
                  </w:r>
                  <w:r>
                    <w:rPr>
                      <w:rFonts w:hint="eastAsia"/>
                      <w:szCs w:val="21"/>
                      <w:lang w:eastAsia="zh-CN"/>
                    </w:rPr>
                    <w:t>，排土平台复垦为乔木林地，边坡复垦为灌木林地</w:t>
                  </w:r>
                </w:p>
              </w:tc>
              <w:tc>
                <w:tcPr>
                  <w:tcW w:w="591" w:type="pct"/>
                  <w:vMerge w:val="continue"/>
                  <w:tcBorders>
                    <w:tl2br w:val="nil"/>
                    <w:tr2bl w:val="nil"/>
                  </w:tcBorders>
                  <w:vAlign w:val="center"/>
                </w:tcPr>
                <w:p w14:paraId="30F37C59">
                  <w:pPr>
                    <w:ind w:left="-105" w:leftChars="-50" w:right="-105" w:rightChars="-50"/>
                    <w:jc w:val="center"/>
                    <w:rPr>
                      <w:szCs w:val="21"/>
                    </w:rPr>
                  </w:pPr>
                </w:p>
              </w:tc>
            </w:tr>
            <w:bookmarkEnd w:id="31"/>
            <w:tr w14:paraId="72FB9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6" w:type="pct"/>
                  <w:vMerge w:val="restart"/>
                  <w:tcBorders>
                    <w:tl2br w:val="nil"/>
                    <w:tr2bl w:val="nil"/>
                  </w:tcBorders>
                  <w:vAlign w:val="center"/>
                </w:tcPr>
                <w:p w14:paraId="280B924C">
                  <w:pPr>
                    <w:adjustRightInd w:val="0"/>
                    <w:snapToGrid w:val="0"/>
                    <w:spacing w:line="280" w:lineRule="exact"/>
                    <w:jc w:val="center"/>
                    <w:rPr>
                      <w:bCs/>
                      <w:spacing w:val="10"/>
                      <w:szCs w:val="21"/>
                    </w:rPr>
                  </w:pPr>
                  <w:r>
                    <w:rPr>
                      <w:rFonts w:hint="eastAsia"/>
                      <w:bCs/>
                      <w:spacing w:val="10"/>
                      <w:szCs w:val="21"/>
                    </w:rPr>
                    <w:t>服务期满</w:t>
                  </w:r>
                </w:p>
              </w:tc>
              <w:tc>
                <w:tcPr>
                  <w:tcW w:w="425" w:type="pct"/>
                  <w:vMerge w:val="restart"/>
                  <w:tcBorders>
                    <w:tl2br w:val="nil"/>
                    <w:tr2bl w:val="nil"/>
                  </w:tcBorders>
                  <w:vAlign w:val="center"/>
                </w:tcPr>
                <w:p w14:paraId="2B33DDC3">
                  <w:pPr>
                    <w:adjustRightInd w:val="0"/>
                    <w:snapToGrid w:val="0"/>
                    <w:spacing w:line="280" w:lineRule="exact"/>
                    <w:jc w:val="center"/>
                    <w:rPr>
                      <w:bCs/>
                      <w:spacing w:val="10"/>
                      <w:szCs w:val="21"/>
                    </w:rPr>
                  </w:pPr>
                  <w:r>
                    <w:rPr>
                      <w:rFonts w:hint="eastAsia"/>
                      <w:bCs/>
                      <w:spacing w:val="10"/>
                      <w:szCs w:val="21"/>
                    </w:rPr>
                    <w:t>生态</w:t>
                  </w:r>
                </w:p>
              </w:tc>
              <w:tc>
                <w:tcPr>
                  <w:tcW w:w="723" w:type="pct"/>
                  <w:tcBorders>
                    <w:tl2br w:val="nil"/>
                    <w:tr2bl w:val="nil"/>
                  </w:tcBorders>
                  <w:vAlign w:val="center"/>
                </w:tcPr>
                <w:p w14:paraId="24E9227D">
                  <w:pPr>
                    <w:jc w:val="center"/>
                  </w:pPr>
                  <w:r>
                    <w:rPr>
                      <w:rFonts w:hint="eastAsia"/>
                      <w:szCs w:val="21"/>
                    </w:rPr>
                    <w:t>露天采场</w:t>
                  </w:r>
                </w:p>
              </w:tc>
              <w:tc>
                <w:tcPr>
                  <w:tcW w:w="2843" w:type="pct"/>
                  <w:tcBorders>
                    <w:tl2br w:val="nil"/>
                    <w:tr2bl w:val="nil"/>
                  </w:tcBorders>
                  <w:vAlign w:val="center"/>
                </w:tcPr>
                <w:p w14:paraId="5E8B5B91">
                  <w:pPr>
                    <w:keepNext w:val="0"/>
                    <w:keepLines w:val="0"/>
                    <w:pageBreakBefore w:val="0"/>
                    <w:widowControl w:val="0"/>
                    <w:kinsoku/>
                    <w:wordWrap/>
                    <w:overflowPunct/>
                    <w:topLinePunct w:val="0"/>
                    <w:autoSpaceDE/>
                    <w:autoSpaceDN/>
                    <w:bidi w:val="0"/>
                    <w:ind w:left="0" w:leftChars="0" w:right="0" w:rightChars="0"/>
                    <w:jc w:val="both"/>
                    <w:textAlignment w:val="auto"/>
                  </w:pPr>
                  <w:r>
                    <w:rPr>
                      <w:rFonts w:hint="eastAsia"/>
                      <w:szCs w:val="21"/>
                    </w:rPr>
                    <w:t>生态恢复面积共计</w:t>
                  </w:r>
                  <w:r>
                    <w:rPr>
                      <w:szCs w:val="21"/>
                    </w:rPr>
                    <w:t>16.1157</w:t>
                  </w:r>
                  <w:r>
                    <w:rPr>
                      <w:rFonts w:hint="eastAsia"/>
                      <w:szCs w:val="21"/>
                    </w:rPr>
                    <w:t>hm</w:t>
                  </w:r>
                  <w:r>
                    <w:rPr>
                      <w:rFonts w:hint="eastAsia"/>
                      <w:szCs w:val="21"/>
                      <w:vertAlign w:val="superscript"/>
                    </w:rPr>
                    <w:t>2</w:t>
                  </w:r>
                  <w:r>
                    <w:rPr>
                      <w:rFonts w:hint="eastAsia"/>
                      <w:szCs w:val="21"/>
                    </w:rPr>
                    <w:t>，其中</w:t>
                  </w:r>
                  <w:r>
                    <w:rPr>
                      <w:kern w:val="0"/>
                      <w:szCs w:val="21"/>
                      <w:lang w:bidi="ar"/>
                    </w:rPr>
                    <w:t>底平台3.7869</w:t>
                  </w:r>
                  <w:r>
                    <w:rPr>
                      <w:rFonts w:hint="eastAsia"/>
                      <w:szCs w:val="21"/>
                    </w:rPr>
                    <w:t>hm</w:t>
                  </w:r>
                  <w:r>
                    <w:rPr>
                      <w:rFonts w:hint="eastAsia"/>
                      <w:szCs w:val="21"/>
                      <w:vertAlign w:val="superscript"/>
                    </w:rPr>
                    <w:t>2</w:t>
                  </w:r>
                  <w:r>
                    <w:rPr>
                      <w:rFonts w:hint="eastAsia"/>
                      <w:szCs w:val="21"/>
                    </w:rPr>
                    <w:t>，复垦为乔木林地。台阶平台</w:t>
                  </w:r>
                  <w:r>
                    <w:rPr>
                      <w:szCs w:val="21"/>
                    </w:rPr>
                    <w:t>5.9282</w:t>
                  </w:r>
                  <w:r>
                    <w:rPr>
                      <w:rFonts w:hint="eastAsia"/>
                      <w:szCs w:val="21"/>
                    </w:rPr>
                    <w:t>hm</w:t>
                  </w:r>
                  <w:r>
                    <w:rPr>
                      <w:rFonts w:hint="eastAsia"/>
                      <w:szCs w:val="21"/>
                      <w:vertAlign w:val="superscript"/>
                    </w:rPr>
                    <w:t>2</w:t>
                  </w:r>
                  <w:r>
                    <w:rPr>
                      <w:rFonts w:hint="eastAsia"/>
                      <w:szCs w:val="21"/>
                    </w:rPr>
                    <w:t>，复垦为灌木林地。边坡</w:t>
                  </w:r>
                  <w:r>
                    <w:rPr>
                      <w:kern w:val="0"/>
                      <w:szCs w:val="21"/>
                      <w:lang w:bidi="ar"/>
                    </w:rPr>
                    <w:t>6.4006</w:t>
                  </w:r>
                  <w:r>
                    <w:rPr>
                      <w:rFonts w:hint="eastAsia"/>
                      <w:szCs w:val="21"/>
                    </w:rPr>
                    <w:t>hm</w:t>
                  </w:r>
                  <w:r>
                    <w:rPr>
                      <w:rFonts w:hint="eastAsia"/>
                      <w:szCs w:val="21"/>
                      <w:vertAlign w:val="superscript"/>
                    </w:rPr>
                    <w:t>2</w:t>
                  </w:r>
                  <w:r>
                    <w:rPr>
                      <w:rFonts w:hint="eastAsia"/>
                      <w:szCs w:val="21"/>
                    </w:rPr>
                    <w:t>，种植爬山虎</w:t>
                  </w:r>
                </w:p>
              </w:tc>
              <w:tc>
                <w:tcPr>
                  <w:tcW w:w="591" w:type="pct"/>
                  <w:vMerge w:val="restart"/>
                  <w:tcBorders>
                    <w:tl2br w:val="nil"/>
                    <w:tr2bl w:val="nil"/>
                  </w:tcBorders>
                  <w:vAlign w:val="center"/>
                </w:tcPr>
                <w:p w14:paraId="0A2A5693">
                  <w:pPr>
                    <w:adjustRightInd w:val="0"/>
                    <w:snapToGrid w:val="0"/>
                    <w:spacing w:line="280" w:lineRule="exact"/>
                    <w:jc w:val="center"/>
                    <w:rPr>
                      <w:bCs/>
                      <w:spacing w:val="10"/>
                      <w:szCs w:val="21"/>
                    </w:rPr>
                  </w:pPr>
                  <w:r>
                    <w:rPr>
                      <w:rFonts w:hint="eastAsia"/>
                      <w:bCs/>
                      <w:spacing w:val="10"/>
                      <w:szCs w:val="21"/>
                      <w:lang w:val="en-US" w:eastAsia="zh-CN"/>
                    </w:rPr>
                    <w:t>10</w:t>
                  </w:r>
                  <w:r>
                    <w:rPr>
                      <w:bCs/>
                      <w:spacing w:val="10"/>
                      <w:szCs w:val="21"/>
                    </w:rPr>
                    <w:t>0</w:t>
                  </w:r>
                </w:p>
              </w:tc>
            </w:tr>
            <w:tr w14:paraId="11EB3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6" w:type="pct"/>
                  <w:vMerge w:val="continue"/>
                  <w:tcBorders>
                    <w:tl2br w:val="nil"/>
                    <w:tr2bl w:val="nil"/>
                  </w:tcBorders>
                  <w:vAlign w:val="center"/>
                </w:tcPr>
                <w:p w14:paraId="05CFC6C7">
                  <w:pPr>
                    <w:adjustRightInd w:val="0"/>
                    <w:snapToGrid w:val="0"/>
                    <w:jc w:val="center"/>
                    <w:rPr>
                      <w:bCs/>
                      <w:spacing w:val="10"/>
                      <w:szCs w:val="21"/>
                    </w:rPr>
                  </w:pPr>
                </w:p>
              </w:tc>
              <w:tc>
                <w:tcPr>
                  <w:tcW w:w="425" w:type="pct"/>
                  <w:vMerge w:val="continue"/>
                  <w:tcBorders>
                    <w:tl2br w:val="nil"/>
                    <w:tr2bl w:val="nil"/>
                  </w:tcBorders>
                  <w:vAlign w:val="center"/>
                </w:tcPr>
                <w:p w14:paraId="5E4BE09A">
                  <w:pPr>
                    <w:adjustRightInd w:val="0"/>
                    <w:snapToGrid w:val="0"/>
                    <w:jc w:val="center"/>
                    <w:rPr>
                      <w:bCs/>
                      <w:spacing w:val="10"/>
                      <w:szCs w:val="21"/>
                    </w:rPr>
                  </w:pPr>
                </w:p>
              </w:tc>
              <w:tc>
                <w:tcPr>
                  <w:tcW w:w="723" w:type="pct"/>
                  <w:tcBorders>
                    <w:tl2br w:val="nil"/>
                    <w:tr2bl w:val="nil"/>
                  </w:tcBorders>
                  <w:vAlign w:val="center"/>
                </w:tcPr>
                <w:p w14:paraId="40E143D6">
                  <w:pPr>
                    <w:jc w:val="center"/>
                  </w:pPr>
                  <w:r>
                    <w:rPr>
                      <w:rFonts w:hint="eastAsia"/>
                      <w:szCs w:val="21"/>
                    </w:rPr>
                    <w:t>排土场</w:t>
                  </w:r>
                </w:p>
              </w:tc>
              <w:tc>
                <w:tcPr>
                  <w:tcW w:w="2843" w:type="pct"/>
                  <w:tcBorders>
                    <w:tl2br w:val="nil"/>
                    <w:tr2bl w:val="nil"/>
                  </w:tcBorders>
                  <w:vAlign w:val="center"/>
                </w:tcPr>
                <w:p w14:paraId="132A3F6E">
                  <w:pPr>
                    <w:keepNext w:val="0"/>
                    <w:keepLines w:val="0"/>
                    <w:pageBreakBefore w:val="0"/>
                    <w:widowControl w:val="0"/>
                    <w:kinsoku/>
                    <w:wordWrap/>
                    <w:overflowPunct/>
                    <w:topLinePunct w:val="0"/>
                    <w:autoSpaceDE/>
                    <w:autoSpaceDN/>
                    <w:bidi w:val="0"/>
                    <w:ind w:left="0" w:leftChars="0" w:right="0" w:rightChars="0"/>
                    <w:jc w:val="both"/>
                    <w:textAlignment w:val="auto"/>
                  </w:pPr>
                  <w:r>
                    <w:rPr>
                      <w:rFonts w:hint="eastAsia"/>
                      <w:szCs w:val="21"/>
                      <w:highlight w:val="none"/>
                    </w:rPr>
                    <w:t>生态恢复面积共计4.5619hm</w:t>
                  </w:r>
                  <w:r>
                    <w:rPr>
                      <w:rFonts w:hint="eastAsia"/>
                      <w:szCs w:val="21"/>
                      <w:highlight w:val="none"/>
                      <w:vertAlign w:val="superscript"/>
                    </w:rPr>
                    <w:t>2</w:t>
                  </w:r>
                  <w:r>
                    <w:rPr>
                      <w:rFonts w:hint="eastAsia"/>
                      <w:szCs w:val="21"/>
                      <w:highlight w:val="none"/>
                    </w:rPr>
                    <w:t>，其中</w:t>
                  </w:r>
                  <w:r>
                    <w:rPr>
                      <w:kern w:val="0"/>
                      <w:szCs w:val="21"/>
                      <w:highlight w:val="none"/>
                      <w:lang w:bidi="ar"/>
                    </w:rPr>
                    <w:t>平台</w:t>
                  </w:r>
                  <w:r>
                    <w:rPr>
                      <w:rFonts w:hint="eastAsia"/>
                      <w:kern w:val="0"/>
                      <w:szCs w:val="21"/>
                      <w:highlight w:val="none"/>
                      <w:lang w:bidi="ar"/>
                    </w:rPr>
                    <w:t>2.2720</w:t>
                  </w:r>
                  <w:r>
                    <w:rPr>
                      <w:rFonts w:hint="eastAsia"/>
                      <w:szCs w:val="21"/>
                      <w:highlight w:val="none"/>
                    </w:rPr>
                    <w:t>hm</w:t>
                  </w:r>
                  <w:r>
                    <w:rPr>
                      <w:rFonts w:hint="eastAsia"/>
                      <w:szCs w:val="21"/>
                      <w:highlight w:val="none"/>
                      <w:vertAlign w:val="superscript"/>
                    </w:rPr>
                    <w:t>2</w:t>
                  </w:r>
                  <w:r>
                    <w:rPr>
                      <w:rFonts w:hint="eastAsia"/>
                      <w:szCs w:val="21"/>
                      <w:highlight w:val="none"/>
                    </w:rPr>
                    <w:t>，复垦为乔木林地。边坡2.2899hm</w:t>
                  </w:r>
                  <w:r>
                    <w:rPr>
                      <w:rFonts w:hint="eastAsia"/>
                      <w:szCs w:val="21"/>
                      <w:highlight w:val="none"/>
                      <w:vertAlign w:val="superscript"/>
                    </w:rPr>
                    <w:t>2</w:t>
                  </w:r>
                  <w:r>
                    <w:rPr>
                      <w:rFonts w:hint="eastAsia"/>
                      <w:szCs w:val="21"/>
                      <w:highlight w:val="none"/>
                    </w:rPr>
                    <w:t>，复垦为灌木林地。</w:t>
                  </w:r>
                </w:p>
              </w:tc>
              <w:tc>
                <w:tcPr>
                  <w:tcW w:w="591" w:type="pct"/>
                  <w:vMerge w:val="continue"/>
                  <w:tcBorders>
                    <w:tl2br w:val="nil"/>
                    <w:tr2bl w:val="nil"/>
                  </w:tcBorders>
                  <w:vAlign w:val="center"/>
                </w:tcPr>
                <w:p w14:paraId="1560FA06">
                  <w:pPr>
                    <w:adjustRightInd w:val="0"/>
                    <w:snapToGrid w:val="0"/>
                    <w:spacing w:line="280" w:lineRule="exact"/>
                    <w:jc w:val="center"/>
                    <w:rPr>
                      <w:bCs/>
                      <w:spacing w:val="10"/>
                      <w:szCs w:val="21"/>
                    </w:rPr>
                  </w:pPr>
                </w:p>
              </w:tc>
            </w:tr>
            <w:tr w14:paraId="77A17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6" w:type="pct"/>
                  <w:vMerge w:val="continue"/>
                  <w:tcBorders>
                    <w:tl2br w:val="nil"/>
                    <w:tr2bl w:val="nil"/>
                  </w:tcBorders>
                  <w:vAlign w:val="center"/>
                </w:tcPr>
                <w:p w14:paraId="61DA08E6">
                  <w:pPr>
                    <w:adjustRightInd w:val="0"/>
                    <w:snapToGrid w:val="0"/>
                    <w:jc w:val="center"/>
                    <w:rPr>
                      <w:bCs/>
                      <w:spacing w:val="10"/>
                      <w:szCs w:val="21"/>
                    </w:rPr>
                  </w:pPr>
                </w:p>
              </w:tc>
              <w:tc>
                <w:tcPr>
                  <w:tcW w:w="425" w:type="pct"/>
                  <w:vMerge w:val="continue"/>
                  <w:tcBorders>
                    <w:tl2br w:val="nil"/>
                    <w:tr2bl w:val="nil"/>
                  </w:tcBorders>
                  <w:vAlign w:val="center"/>
                </w:tcPr>
                <w:p w14:paraId="3388A90D">
                  <w:pPr>
                    <w:adjustRightInd w:val="0"/>
                    <w:snapToGrid w:val="0"/>
                    <w:jc w:val="center"/>
                    <w:rPr>
                      <w:bCs/>
                      <w:spacing w:val="10"/>
                      <w:szCs w:val="21"/>
                    </w:rPr>
                  </w:pPr>
                </w:p>
              </w:tc>
              <w:tc>
                <w:tcPr>
                  <w:tcW w:w="723" w:type="pct"/>
                  <w:tcBorders>
                    <w:tl2br w:val="nil"/>
                    <w:tr2bl w:val="nil"/>
                  </w:tcBorders>
                  <w:vAlign w:val="center"/>
                </w:tcPr>
                <w:p w14:paraId="0EAA1065">
                  <w:pPr>
                    <w:jc w:val="center"/>
                  </w:pPr>
                  <w:r>
                    <w:rPr>
                      <w:rFonts w:hint="eastAsia"/>
                    </w:rPr>
                    <w:t>办公室区</w:t>
                  </w:r>
                </w:p>
              </w:tc>
              <w:tc>
                <w:tcPr>
                  <w:tcW w:w="2843" w:type="pct"/>
                  <w:tcBorders>
                    <w:tl2br w:val="nil"/>
                    <w:tr2bl w:val="nil"/>
                  </w:tcBorders>
                  <w:vAlign w:val="center"/>
                </w:tcPr>
                <w:p w14:paraId="261FBD35">
                  <w:pPr>
                    <w:keepNext w:val="0"/>
                    <w:keepLines w:val="0"/>
                    <w:pageBreakBefore w:val="0"/>
                    <w:widowControl w:val="0"/>
                    <w:kinsoku/>
                    <w:wordWrap/>
                    <w:overflowPunct/>
                    <w:topLinePunct w:val="0"/>
                    <w:autoSpaceDE/>
                    <w:autoSpaceDN/>
                    <w:bidi w:val="0"/>
                    <w:ind w:left="0" w:leftChars="0" w:right="0" w:rightChars="0"/>
                    <w:jc w:val="both"/>
                    <w:textAlignment w:val="auto"/>
                    <w:rPr>
                      <w:szCs w:val="21"/>
                    </w:rPr>
                  </w:pPr>
                  <w:r>
                    <w:rPr>
                      <w:rFonts w:hint="eastAsia"/>
                      <w:szCs w:val="21"/>
                    </w:rPr>
                    <w:t>办公室区面积</w:t>
                  </w:r>
                  <w:r>
                    <w:rPr>
                      <w:szCs w:val="21"/>
                    </w:rPr>
                    <w:t>0.2962</w:t>
                  </w:r>
                  <w:r>
                    <w:rPr>
                      <w:rFonts w:hint="eastAsia"/>
                      <w:szCs w:val="21"/>
                    </w:rPr>
                    <w:t>hm</w:t>
                  </w:r>
                  <w:r>
                    <w:rPr>
                      <w:rFonts w:hint="eastAsia"/>
                      <w:szCs w:val="21"/>
                      <w:vertAlign w:val="superscript"/>
                    </w:rPr>
                    <w:t>2</w:t>
                  </w:r>
                  <w:r>
                    <w:rPr>
                      <w:rFonts w:hint="eastAsia"/>
                      <w:szCs w:val="21"/>
                    </w:rPr>
                    <w:t>，复垦为乔木林地。</w:t>
                  </w:r>
                </w:p>
              </w:tc>
              <w:tc>
                <w:tcPr>
                  <w:tcW w:w="591" w:type="pct"/>
                  <w:vMerge w:val="continue"/>
                  <w:tcBorders>
                    <w:tl2br w:val="nil"/>
                    <w:tr2bl w:val="nil"/>
                  </w:tcBorders>
                  <w:vAlign w:val="center"/>
                </w:tcPr>
                <w:p w14:paraId="03967CB3">
                  <w:pPr>
                    <w:adjustRightInd w:val="0"/>
                    <w:snapToGrid w:val="0"/>
                    <w:spacing w:line="280" w:lineRule="exact"/>
                    <w:jc w:val="center"/>
                    <w:rPr>
                      <w:bCs/>
                      <w:spacing w:val="10"/>
                      <w:szCs w:val="21"/>
                    </w:rPr>
                  </w:pPr>
                </w:p>
              </w:tc>
            </w:tr>
            <w:tr w14:paraId="2A169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08" w:type="pct"/>
                  <w:gridSpan w:val="4"/>
                  <w:tcBorders>
                    <w:tl2br w:val="nil"/>
                    <w:tr2bl w:val="nil"/>
                  </w:tcBorders>
                  <w:vAlign w:val="center"/>
                </w:tcPr>
                <w:p w14:paraId="763FCFAE">
                  <w:pPr>
                    <w:adjustRightInd w:val="0"/>
                    <w:snapToGrid w:val="0"/>
                    <w:jc w:val="center"/>
                    <w:rPr>
                      <w:bCs/>
                      <w:spacing w:val="10"/>
                      <w:szCs w:val="21"/>
                    </w:rPr>
                  </w:pPr>
                  <w:r>
                    <w:rPr>
                      <w:rFonts w:hint="eastAsia"/>
                      <w:bCs/>
                      <w:spacing w:val="10"/>
                      <w:szCs w:val="21"/>
                    </w:rPr>
                    <w:t>合计</w:t>
                  </w:r>
                </w:p>
              </w:tc>
              <w:tc>
                <w:tcPr>
                  <w:tcW w:w="591" w:type="pct"/>
                  <w:tcBorders>
                    <w:tl2br w:val="nil"/>
                    <w:tr2bl w:val="nil"/>
                  </w:tcBorders>
                  <w:vAlign w:val="center"/>
                </w:tcPr>
                <w:p w14:paraId="5055DA48">
                  <w:pPr>
                    <w:adjustRightInd w:val="0"/>
                    <w:snapToGrid w:val="0"/>
                    <w:jc w:val="center"/>
                    <w:rPr>
                      <w:rFonts w:hint="default" w:eastAsia="宋体"/>
                      <w:bCs/>
                      <w:spacing w:val="10"/>
                      <w:szCs w:val="21"/>
                      <w:lang w:val="en-US" w:eastAsia="zh-CN"/>
                    </w:rPr>
                  </w:pPr>
                  <w:r>
                    <w:rPr>
                      <w:bCs/>
                      <w:spacing w:val="10"/>
                      <w:szCs w:val="21"/>
                    </w:rPr>
                    <w:t>1</w:t>
                  </w:r>
                  <w:r>
                    <w:rPr>
                      <w:rFonts w:hint="eastAsia"/>
                      <w:bCs/>
                      <w:spacing w:val="10"/>
                      <w:szCs w:val="21"/>
                      <w:lang w:val="en-US" w:eastAsia="zh-CN"/>
                    </w:rPr>
                    <w:t>78</w:t>
                  </w:r>
                </w:p>
              </w:tc>
            </w:tr>
          </w:tbl>
          <w:p w14:paraId="130A6B88"/>
          <w:p w14:paraId="657CB28A">
            <w:pPr>
              <w:pStyle w:val="2"/>
            </w:pPr>
          </w:p>
        </w:tc>
      </w:tr>
    </w:tbl>
    <w:p w14:paraId="1B693E0A">
      <w:pPr>
        <w:pStyle w:val="2"/>
      </w:pPr>
    </w:p>
    <w:p w14:paraId="2226DC51">
      <w:pPr>
        <w:pStyle w:val="3"/>
        <w:sectPr>
          <w:pgSz w:w="11907" w:h="16840"/>
          <w:pgMar w:top="1440" w:right="1797" w:bottom="1440" w:left="1797" w:header="851" w:footer="1077" w:gutter="0"/>
          <w:cols w:space="720" w:num="1"/>
          <w:docGrid w:linePitch="312" w:charSpace="0"/>
        </w:sectPr>
      </w:pPr>
    </w:p>
    <w:p w14:paraId="06616FFC">
      <w:pPr>
        <w:pStyle w:val="21"/>
        <w:jc w:val="center"/>
        <w:outlineLvl w:val="0"/>
        <w:rPr>
          <w:rFonts w:ascii="黑体" w:hAnsi="黑体" w:eastAsia="黑体"/>
          <w:snapToGrid w:val="0"/>
          <w:sz w:val="30"/>
          <w:szCs w:val="30"/>
        </w:rPr>
      </w:pPr>
      <w:r>
        <w:rPr>
          <w:rFonts w:hint="eastAsia" w:ascii="黑体" w:hAnsi="黑体" w:eastAsia="黑体"/>
          <w:snapToGrid w:val="0"/>
          <w:sz w:val="30"/>
          <w:szCs w:val="30"/>
        </w:rPr>
        <w:t>六、生态环境保护措施监督检查清单</w:t>
      </w:r>
    </w:p>
    <w:tbl>
      <w:tblPr>
        <w:tblStyle w:val="29"/>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46"/>
        <w:gridCol w:w="663"/>
        <w:gridCol w:w="2147"/>
        <w:gridCol w:w="1788"/>
        <w:gridCol w:w="2031"/>
        <w:gridCol w:w="1346"/>
      </w:tblGrid>
      <w:tr w14:paraId="18BECC6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09" w:type="pct"/>
            <w:gridSpan w:val="2"/>
            <w:vMerge w:val="restart"/>
            <w:tcBorders>
              <w:tl2br w:val="single" w:color="auto" w:sz="4" w:space="0"/>
            </w:tcBorders>
          </w:tcPr>
          <w:p w14:paraId="04D92421">
            <w:pPr>
              <w:pStyle w:val="21"/>
              <w:adjustRightInd w:val="0"/>
              <w:snapToGrid w:val="0"/>
              <w:spacing w:before="0" w:beforeAutospacing="0" w:after="0" w:afterAutospacing="0" w:line="280" w:lineRule="exact"/>
              <w:jc w:val="right"/>
              <w:outlineLvl w:val="0"/>
              <w:rPr>
                <w:rFonts w:ascii="Times New Roman" w:hAnsi="Times New Roman" w:eastAsia="黑体"/>
                <w:kern w:val="2"/>
                <w:sz w:val="21"/>
                <w:szCs w:val="21"/>
              </w:rPr>
            </w:pPr>
            <w:r>
              <w:rPr>
                <w:rFonts w:ascii="Times New Roman" w:hAnsi="Times New Roman" w:eastAsia="黑体"/>
                <w:kern w:val="2"/>
                <w:sz w:val="21"/>
                <w:szCs w:val="21"/>
              </w:rPr>
              <w:t xml:space="preserve">                       内容</w:t>
            </w:r>
          </w:p>
          <w:p w14:paraId="05698B2E">
            <w:pPr>
              <w:pStyle w:val="21"/>
              <w:adjustRightInd w:val="0"/>
              <w:snapToGrid w:val="0"/>
              <w:spacing w:before="0" w:beforeAutospacing="0" w:after="0" w:afterAutospacing="0" w:line="280" w:lineRule="exact"/>
              <w:outlineLvl w:val="0"/>
              <w:rPr>
                <w:rFonts w:ascii="Times New Roman" w:hAnsi="Times New Roman" w:eastAsia="黑体"/>
                <w:kern w:val="2"/>
                <w:sz w:val="21"/>
                <w:szCs w:val="21"/>
              </w:rPr>
            </w:pPr>
            <w:r>
              <w:rPr>
                <w:rFonts w:ascii="Times New Roman" w:hAnsi="Times New Roman" w:eastAsia="黑体"/>
                <w:kern w:val="2"/>
                <w:sz w:val="21"/>
                <w:szCs w:val="21"/>
              </w:rPr>
              <w:t>要素</w:t>
            </w:r>
          </w:p>
        </w:tc>
        <w:tc>
          <w:tcPr>
            <w:tcW w:w="2309" w:type="pct"/>
            <w:gridSpan w:val="2"/>
            <w:vAlign w:val="center"/>
          </w:tcPr>
          <w:p w14:paraId="0C6F40BD">
            <w:pPr>
              <w:pStyle w:val="21"/>
              <w:adjustRightInd w:val="0"/>
              <w:snapToGrid w:val="0"/>
              <w:spacing w:before="0" w:beforeAutospacing="0" w:after="0" w:afterAutospacing="0" w:line="280" w:lineRule="exact"/>
              <w:jc w:val="center"/>
              <w:outlineLvl w:val="0"/>
              <w:rPr>
                <w:rFonts w:ascii="Times New Roman" w:hAnsi="Times New Roman" w:eastAsia="黑体"/>
                <w:kern w:val="2"/>
                <w:sz w:val="21"/>
                <w:szCs w:val="21"/>
              </w:rPr>
            </w:pPr>
            <w:r>
              <w:rPr>
                <w:rFonts w:ascii="Times New Roman" w:hAnsi="Times New Roman" w:eastAsia="黑体"/>
                <w:kern w:val="2"/>
                <w:sz w:val="21"/>
                <w:szCs w:val="21"/>
              </w:rPr>
              <w:t>施工期</w:t>
            </w:r>
          </w:p>
        </w:tc>
        <w:tc>
          <w:tcPr>
            <w:tcW w:w="1982" w:type="pct"/>
            <w:gridSpan w:val="2"/>
            <w:vAlign w:val="center"/>
          </w:tcPr>
          <w:p w14:paraId="003EA7D1">
            <w:pPr>
              <w:pStyle w:val="21"/>
              <w:adjustRightInd w:val="0"/>
              <w:snapToGrid w:val="0"/>
              <w:spacing w:before="0" w:beforeAutospacing="0" w:after="0" w:afterAutospacing="0" w:line="280" w:lineRule="exact"/>
              <w:jc w:val="center"/>
              <w:outlineLvl w:val="0"/>
              <w:rPr>
                <w:rFonts w:ascii="Times New Roman" w:hAnsi="Times New Roman" w:eastAsia="黑体"/>
                <w:kern w:val="2"/>
                <w:sz w:val="21"/>
                <w:szCs w:val="21"/>
              </w:rPr>
            </w:pPr>
            <w:r>
              <w:rPr>
                <w:rFonts w:ascii="Times New Roman" w:hAnsi="Times New Roman" w:eastAsia="黑体"/>
                <w:kern w:val="2"/>
                <w:sz w:val="21"/>
                <w:szCs w:val="21"/>
              </w:rPr>
              <w:t>运营期</w:t>
            </w:r>
          </w:p>
        </w:tc>
      </w:tr>
      <w:tr w14:paraId="6FDA226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09" w:type="pct"/>
            <w:gridSpan w:val="2"/>
            <w:vMerge w:val="continue"/>
          </w:tcPr>
          <w:p w14:paraId="4EC5ED5C">
            <w:pPr>
              <w:pStyle w:val="21"/>
              <w:adjustRightInd w:val="0"/>
              <w:snapToGrid w:val="0"/>
              <w:spacing w:before="0" w:beforeAutospacing="0" w:after="0" w:afterAutospacing="0" w:line="280" w:lineRule="exact"/>
              <w:ind w:firstLine="840"/>
              <w:jc w:val="center"/>
              <w:outlineLvl w:val="0"/>
              <w:rPr>
                <w:rFonts w:ascii="Times New Roman" w:hAnsi="Times New Roman" w:eastAsia="黑体"/>
                <w:kern w:val="2"/>
                <w:sz w:val="21"/>
                <w:szCs w:val="21"/>
              </w:rPr>
            </w:pPr>
          </w:p>
        </w:tc>
        <w:tc>
          <w:tcPr>
            <w:tcW w:w="1260" w:type="pct"/>
            <w:vAlign w:val="center"/>
          </w:tcPr>
          <w:p w14:paraId="5C0B7306">
            <w:pPr>
              <w:pStyle w:val="21"/>
              <w:adjustRightInd w:val="0"/>
              <w:snapToGrid w:val="0"/>
              <w:spacing w:before="0" w:beforeAutospacing="0" w:after="0" w:afterAutospacing="0" w:line="280" w:lineRule="exact"/>
              <w:jc w:val="center"/>
              <w:outlineLvl w:val="0"/>
              <w:rPr>
                <w:rFonts w:ascii="Times New Roman" w:hAnsi="Times New Roman" w:eastAsia="黑体"/>
                <w:kern w:val="2"/>
                <w:sz w:val="21"/>
                <w:szCs w:val="21"/>
              </w:rPr>
            </w:pPr>
            <w:r>
              <w:rPr>
                <w:rFonts w:ascii="Times New Roman" w:hAnsi="Times New Roman" w:eastAsia="黑体"/>
                <w:kern w:val="2"/>
                <w:sz w:val="21"/>
                <w:szCs w:val="21"/>
              </w:rPr>
              <w:t>环境保护措施</w:t>
            </w:r>
          </w:p>
        </w:tc>
        <w:tc>
          <w:tcPr>
            <w:tcW w:w="1049" w:type="pct"/>
            <w:vAlign w:val="center"/>
          </w:tcPr>
          <w:p w14:paraId="181EF18A">
            <w:pPr>
              <w:pStyle w:val="21"/>
              <w:adjustRightInd w:val="0"/>
              <w:snapToGrid w:val="0"/>
              <w:spacing w:before="0" w:beforeAutospacing="0" w:after="0" w:afterAutospacing="0" w:line="280" w:lineRule="exact"/>
              <w:jc w:val="center"/>
              <w:outlineLvl w:val="0"/>
              <w:rPr>
                <w:rFonts w:ascii="Times New Roman" w:hAnsi="Times New Roman" w:eastAsia="黑体"/>
                <w:kern w:val="2"/>
                <w:sz w:val="21"/>
                <w:szCs w:val="21"/>
              </w:rPr>
            </w:pPr>
            <w:r>
              <w:rPr>
                <w:rFonts w:ascii="Times New Roman" w:hAnsi="Times New Roman" w:eastAsia="黑体"/>
                <w:kern w:val="2"/>
                <w:sz w:val="21"/>
                <w:szCs w:val="21"/>
              </w:rPr>
              <w:t>验收要求</w:t>
            </w:r>
          </w:p>
        </w:tc>
        <w:tc>
          <w:tcPr>
            <w:tcW w:w="1192" w:type="pct"/>
            <w:vAlign w:val="center"/>
          </w:tcPr>
          <w:p w14:paraId="217A1D32">
            <w:pPr>
              <w:pStyle w:val="21"/>
              <w:adjustRightInd w:val="0"/>
              <w:snapToGrid w:val="0"/>
              <w:spacing w:before="0" w:beforeAutospacing="0" w:after="0" w:afterAutospacing="0" w:line="280" w:lineRule="exact"/>
              <w:jc w:val="center"/>
              <w:outlineLvl w:val="0"/>
              <w:rPr>
                <w:rFonts w:ascii="Times New Roman" w:hAnsi="Times New Roman" w:eastAsia="黑体"/>
                <w:kern w:val="2"/>
                <w:sz w:val="21"/>
                <w:szCs w:val="21"/>
              </w:rPr>
            </w:pPr>
            <w:r>
              <w:rPr>
                <w:rFonts w:ascii="Times New Roman" w:hAnsi="Times New Roman" w:eastAsia="黑体"/>
                <w:kern w:val="2"/>
                <w:sz w:val="21"/>
                <w:szCs w:val="21"/>
              </w:rPr>
              <w:t>环境保护措施</w:t>
            </w:r>
          </w:p>
        </w:tc>
        <w:tc>
          <w:tcPr>
            <w:tcW w:w="790" w:type="pct"/>
            <w:vAlign w:val="center"/>
          </w:tcPr>
          <w:p w14:paraId="41E03D4C">
            <w:pPr>
              <w:pStyle w:val="21"/>
              <w:adjustRightInd w:val="0"/>
              <w:snapToGrid w:val="0"/>
              <w:spacing w:before="0" w:beforeAutospacing="0" w:after="0" w:afterAutospacing="0" w:line="280" w:lineRule="exact"/>
              <w:jc w:val="center"/>
              <w:outlineLvl w:val="0"/>
              <w:rPr>
                <w:rFonts w:ascii="Times New Roman" w:hAnsi="Times New Roman" w:eastAsia="黑体"/>
                <w:kern w:val="2"/>
                <w:sz w:val="21"/>
                <w:szCs w:val="21"/>
              </w:rPr>
            </w:pPr>
            <w:r>
              <w:rPr>
                <w:rFonts w:ascii="Times New Roman" w:hAnsi="Times New Roman" w:eastAsia="黑体"/>
                <w:kern w:val="2"/>
                <w:sz w:val="21"/>
                <w:szCs w:val="21"/>
              </w:rPr>
              <w:t>验收要求</w:t>
            </w:r>
          </w:p>
        </w:tc>
      </w:tr>
      <w:tr w14:paraId="65C046F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60" w:hRule="atLeast"/>
          <w:jc w:val="center"/>
        </w:trPr>
        <w:tc>
          <w:tcPr>
            <w:tcW w:w="320" w:type="pct"/>
            <w:vMerge w:val="restart"/>
            <w:vAlign w:val="center"/>
          </w:tcPr>
          <w:p w14:paraId="6CB22BB8">
            <w:pPr>
              <w:adjustRightInd w:val="0"/>
              <w:snapToGrid w:val="0"/>
              <w:spacing w:line="280" w:lineRule="exact"/>
              <w:jc w:val="center"/>
              <w:rPr>
                <w:szCs w:val="21"/>
              </w:rPr>
            </w:pPr>
            <w:r>
              <w:rPr>
                <w:szCs w:val="21"/>
              </w:rPr>
              <w:t>陆生生态</w:t>
            </w:r>
          </w:p>
        </w:tc>
        <w:tc>
          <w:tcPr>
            <w:tcW w:w="389" w:type="pct"/>
            <w:vAlign w:val="center"/>
          </w:tcPr>
          <w:p w14:paraId="09FDD716">
            <w:pPr>
              <w:adjustRightInd w:val="0"/>
              <w:snapToGrid w:val="0"/>
              <w:spacing w:line="280" w:lineRule="exact"/>
              <w:jc w:val="center"/>
              <w:rPr>
                <w:szCs w:val="21"/>
              </w:rPr>
            </w:pPr>
            <w:r>
              <w:rPr>
                <w:rFonts w:hint="eastAsia"/>
                <w:szCs w:val="21"/>
              </w:rPr>
              <w:t>临时施工区</w:t>
            </w:r>
          </w:p>
        </w:tc>
        <w:tc>
          <w:tcPr>
            <w:tcW w:w="1260" w:type="pct"/>
            <w:vAlign w:val="center"/>
          </w:tcPr>
          <w:p w14:paraId="1424C59A">
            <w:pPr>
              <w:widowControl/>
              <w:jc w:val="left"/>
              <w:rPr>
                <w:szCs w:val="21"/>
              </w:rPr>
            </w:pPr>
            <w:r>
              <w:rPr>
                <w:szCs w:val="21"/>
              </w:rPr>
              <w:t>合理措施施工过程中产生的废土、废石、尽量减少开挖土方量，及时进行生态恢复</w:t>
            </w:r>
          </w:p>
        </w:tc>
        <w:tc>
          <w:tcPr>
            <w:tcW w:w="1049" w:type="pct"/>
            <w:vMerge w:val="restart"/>
            <w:vAlign w:val="center"/>
          </w:tcPr>
          <w:p w14:paraId="586D4C4C">
            <w:pPr>
              <w:adjustRightInd w:val="0"/>
              <w:snapToGrid w:val="0"/>
              <w:spacing w:line="280" w:lineRule="exact"/>
              <w:jc w:val="center"/>
              <w:rPr>
                <w:szCs w:val="21"/>
              </w:rPr>
            </w:pPr>
            <w:r>
              <w:rPr>
                <w:szCs w:val="21"/>
              </w:rPr>
              <w:t>验收依据《建设项目竣工环境保护验收技术规范生态影响类》（HJ T 394-2007）</w:t>
            </w:r>
            <w:r>
              <w:rPr>
                <w:rFonts w:hint="eastAsia"/>
                <w:szCs w:val="21"/>
              </w:rPr>
              <w:t>进行</w:t>
            </w:r>
          </w:p>
        </w:tc>
        <w:tc>
          <w:tcPr>
            <w:tcW w:w="1192" w:type="pct"/>
            <w:vAlign w:val="center"/>
          </w:tcPr>
          <w:p w14:paraId="0B2CEA2E">
            <w:pPr>
              <w:adjustRightInd w:val="0"/>
              <w:snapToGrid w:val="0"/>
              <w:spacing w:line="280" w:lineRule="exact"/>
              <w:jc w:val="center"/>
              <w:rPr>
                <w:szCs w:val="21"/>
              </w:rPr>
            </w:pPr>
            <w:r>
              <w:rPr>
                <w:rFonts w:hint="eastAsia"/>
                <w:szCs w:val="21"/>
              </w:rPr>
              <w:t>/</w:t>
            </w:r>
          </w:p>
        </w:tc>
        <w:tc>
          <w:tcPr>
            <w:tcW w:w="790" w:type="pct"/>
            <w:vMerge w:val="restart"/>
            <w:vAlign w:val="center"/>
          </w:tcPr>
          <w:p w14:paraId="289161F9">
            <w:pPr>
              <w:adjustRightInd w:val="0"/>
              <w:snapToGrid w:val="0"/>
              <w:spacing w:line="280" w:lineRule="exact"/>
              <w:jc w:val="center"/>
              <w:rPr>
                <w:szCs w:val="21"/>
              </w:rPr>
            </w:pPr>
            <w:r>
              <w:rPr>
                <w:szCs w:val="21"/>
              </w:rPr>
              <w:t>验收依据《建设项目竣工环境保护验收技术规范生态影响类》（HJ T 394-2007）</w:t>
            </w:r>
            <w:r>
              <w:rPr>
                <w:rFonts w:hint="eastAsia"/>
                <w:szCs w:val="21"/>
              </w:rPr>
              <w:t>进行</w:t>
            </w:r>
          </w:p>
        </w:tc>
      </w:tr>
      <w:tr w14:paraId="6ED363F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04" w:hRule="atLeast"/>
          <w:jc w:val="center"/>
        </w:trPr>
        <w:tc>
          <w:tcPr>
            <w:tcW w:w="320" w:type="pct"/>
            <w:vMerge w:val="continue"/>
            <w:vAlign w:val="center"/>
          </w:tcPr>
          <w:p w14:paraId="7C0FE693">
            <w:pPr>
              <w:adjustRightInd w:val="0"/>
              <w:snapToGrid w:val="0"/>
              <w:spacing w:line="280" w:lineRule="exact"/>
              <w:jc w:val="center"/>
              <w:rPr>
                <w:szCs w:val="21"/>
              </w:rPr>
            </w:pPr>
          </w:p>
        </w:tc>
        <w:tc>
          <w:tcPr>
            <w:tcW w:w="389" w:type="pct"/>
            <w:vAlign w:val="center"/>
          </w:tcPr>
          <w:p w14:paraId="27FBB5E5">
            <w:pPr>
              <w:adjustRightInd w:val="0"/>
              <w:snapToGrid w:val="0"/>
              <w:spacing w:line="280" w:lineRule="exact"/>
              <w:jc w:val="center"/>
              <w:rPr>
                <w:szCs w:val="21"/>
              </w:rPr>
            </w:pPr>
            <w:r>
              <w:rPr>
                <w:rFonts w:hint="eastAsia"/>
                <w:szCs w:val="21"/>
              </w:rPr>
              <w:t>采矿区</w:t>
            </w:r>
          </w:p>
        </w:tc>
        <w:tc>
          <w:tcPr>
            <w:tcW w:w="1260" w:type="pct"/>
            <w:vAlign w:val="center"/>
          </w:tcPr>
          <w:p w14:paraId="155C5E3A">
            <w:pPr>
              <w:widowControl/>
              <w:jc w:val="center"/>
              <w:rPr>
                <w:szCs w:val="21"/>
              </w:rPr>
            </w:pPr>
            <w:r>
              <w:rPr>
                <w:rFonts w:hint="eastAsia"/>
                <w:szCs w:val="21"/>
              </w:rPr>
              <w:t>/</w:t>
            </w:r>
          </w:p>
        </w:tc>
        <w:tc>
          <w:tcPr>
            <w:tcW w:w="1049" w:type="pct"/>
            <w:vMerge w:val="continue"/>
            <w:vAlign w:val="center"/>
          </w:tcPr>
          <w:p w14:paraId="53FA011B">
            <w:pPr>
              <w:adjustRightInd w:val="0"/>
              <w:snapToGrid w:val="0"/>
              <w:spacing w:line="280" w:lineRule="exact"/>
              <w:jc w:val="center"/>
              <w:rPr>
                <w:szCs w:val="21"/>
              </w:rPr>
            </w:pPr>
          </w:p>
        </w:tc>
        <w:tc>
          <w:tcPr>
            <w:tcW w:w="1192" w:type="pct"/>
            <w:vAlign w:val="center"/>
          </w:tcPr>
          <w:p w14:paraId="104A94B8">
            <w:pPr>
              <w:pStyle w:val="2"/>
              <w:ind w:left="0" w:leftChars="0"/>
              <w:jc w:val="center"/>
            </w:pPr>
            <w:r>
              <w:rPr>
                <w:kern w:val="0"/>
                <w:szCs w:val="21"/>
                <w:lang w:bidi="ar"/>
              </w:rPr>
              <w:t>底平台</w:t>
            </w:r>
            <w:r>
              <w:rPr>
                <w:rFonts w:hint="eastAsia"/>
                <w:color w:val="000000"/>
                <w:szCs w:val="21"/>
              </w:rPr>
              <w:t>复垦为乔木林地，台阶平台复垦为灌木林地，边坡播种爬山虎</w:t>
            </w:r>
          </w:p>
        </w:tc>
        <w:tc>
          <w:tcPr>
            <w:tcW w:w="790" w:type="pct"/>
            <w:vMerge w:val="continue"/>
            <w:vAlign w:val="center"/>
          </w:tcPr>
          <w:p w14:paraId="5ABF384C">
            <w:pPr>
              <w:adjustRightInd w:val="0"/>
              <w:snapToGrid w:val="0"/>
              <w:spacing w:line="280" w:lineRule="exact"/>
              <w:jc w:val="center"/>
              <w:rPr>
                <w:szCs w:val="21"/>
              </w:rPr>
            </w:pPr>
          </w:p>
        </w:tc>
      </w:tr>
      <w:tr w14:paraId="2A2C3BD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61" w:hRule="atLeast"/>
          <w:jc w:val="center"/>
        </w:trPr>
        <w:tc>
          <w:tcPr>
            <w:tcW w:w="320" w:type="pct"/>
            <w:vMerge w:val="continue"/>
            <w:vAlign w:val="center"/>
          </w:tcPr>
          <w:p w14:paraId="3810D44F">
            <w:pPr>
              <w:adjustRightInd w:val="0"/>
              <w:snapToGrid w:val="0"/>
              <w:spacing w:line="280" w:lineRule="exact"/>
              <w:jc w:val="center"/>
              <w:rPr>
                <w:szCs w:val="21"/>
              </w:rPr>
            </w:pPr>
          </w:p>
        </w:tc>
        <w:tc>
          <w:tcPr>
            <w:tcW w:w="389" w:type="pct"/>
            <w:vAlign w:val="center"/>
          </w:tcPr>
          <w:p w14:paraId="6B217D12">
            <w:pPr>
              <w:adjustRightInd w:val="0"/>
              <w:snapToGrid w:val="0"/>
              <w:spacing w:line="280" w:lineRule="exact"/>
              <w:jc w:val="center"/>
              <w:rPr>
                <w:szCs w:val="21"/>
              </w:rPr>
            </w:pPr>
            <w:r>
              <w:rPr>
                <w:rFonts w:hint="eastAsia"/>
                <w:szCs w:val="21"/>
              </w:rPr>
              <w:t>排土场</w:t>
            </w:r>
          </w:p>
        </w:tc>
        <w:tc>
          <w:tcPr>
            <w:tcW w:w="1260" w:type="pct"/>
            <w:vAlign w:val="center"/>
          </w:tcPr>
          <w:p w14:paraId="0D0B2091">
            <w:pPr>
              <w:widowControl/>
              <w:spacing w:line="280" w:lineRule="exact"/>
              <w:jc w:val="center"/>
              <w:rPr>
                <w:kern w:val="0"/>
                <w:szCs w:val="21"/>
                <w:lang w:bidi="ar"/>
              </w:rPr>
            </w:pPr>
            <w:r>
              <w:rPr>
                <w:rFonts w:hint="eastAsia"/>
                <w:kern w:val="0"/>
                <w:szCs w:val="21"/>
                <w:lang w:bidi="ar"/>
              </w:rPr>
              <w:t>/</w:t>
            </w:r>
          </w:p>
        </w:tc>
        <w:tc>
          <w:tcPr>
            <w:tcW w:w="1049" w:type="pct"/>
            <w:vMerge w:val="continue"/>
            <w:vAlign w:val="center"/>
          </w:tcPr>
          <w:p w14:paraId="54586078">
            <w:pPr>
              <w:adjustRightInd w:val="0"/>
              <w:snapToGrid w:val="0"/>
              <w:spacing w:line="280" w:lineRule="exact"/>
              <w:jc w:val="center"/>
              <w:rPr>
                <w:kern w:val="0"/>
                <w:szCs w:val="21"/>
                <w:lang w:bidi="ar"/>
              </w:rPr>
            </w:pPr>
          </w:p>
        </w:tc>
        <w:tc>
          <w:tcPr>
            <w:tcW w:w="1192" w:type="pct"/>
            <w:vAlign w:val="center"/>
          </w:tcPr>
          <w:p w14:paraId="0040A321">
            <w:pPr>
              <w:adjustRightInd w:val="0"/>
              <w:snapToGrid w:val="0"/>
              <w:spacing w:line="280" w:lineRule="exact"/>
              <w:jc w:val="center"/>
              <w:rPr>
                <w:szCs w:val="21"/>
              </w:rPr>
            </w:pPr>
            <w:r>
              <w:rPr>
                <w:rFonts w:hint="eastAsia"/>
                <w:color w:val="000000"/>
                <w:szCs w:val="21"/>
              </w:rPr>
              <w:t>平台复垦为乔木林地，边坡复垦为灌木林地</w:t>
            </w:r>
          </w:p>
        </w:tc>
        <w:tc>
          <w:tcPr>
            <w:tcW w:w="790" w:type="pct"/>
            <w:vMerge w:val="continue"/>
            <w:vAlign w:val="center"/>
          </w:tcPr>
          <w:p w14:paraId="66BF2202">
            <w:pPr>
              <w:adjustRightInd w:val="0"/>
              <w:snapToGrid w:val="0"/>
              <w:spacing w:line="280" w:lineRule="exact"/>
              <w:jc w:val="center"/>
              <w:rPr>
                <w:szCs w:val="21"/>
              </w:rPr>
            </w:pPr>
          </w:p>
        </w:tc>
      </w:tr>
      <w:tr w14:paraId="56E577D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13" w:hRule="atLeast"/>
          <w:jc w:val="center"/>
        </w:trPr>
        <w:tc>
          <w:tcPr>
            <w:tcW w:w="320" w:type="pct"/>
            <w:vMerge w:val="continue"/>
            <w:vAlign w:val="center"/>
          </w:tcPr>
          <w:p w14:paraId="4FC07CC0">
            <w:pPr>
              <w:adjustRightInd w:val="0"/>
              <w:snapToGrid w:val="0"/>
              <w:spacing w:line="280" w:lineRule="exact"/>
              <w:jc w:val="center"/>
              <w:rPr>
                <w:szCs w:val="21"/>
              </w:rPr>
            </w:pPr>
          </w:p>
        </w:tc>
        <w:tc>
          <w:tcPr>
            <w:tcW w:w="389" w:type="pct"/>
            <w:vAlign w:val="center"/>
          </w:tcPr>
          <w:p w14:paraId="72F26521">
            <w:pPr>
              <w:adjustRightInd w:val="0"/>
              <w:snapToGrid w:val="0"/>
              <w:spacing w:line="280" w:lineRule="exact"/>
              <w:jc w:val="center"/>
              <w:rPr>
                <w:szCs w:val="21"/>
              </w:rPr>
            </w:pPr>
            <w:r>
              <w:rPr>
                <w:rFonts w:hint="eastAsia"/>
                <w:szCs w:val="21"/>
              </w:rPr>
              <w:t>办公生活区</w:t>
            </w:r>
          </w:p>
        </w:tc>
        <w:tc>
          <w:tcPr>
            <w:tcW w:w="1260" w:type="pct"/>
            <w:vAlign w:val="center"/>
          </w:tcPr>
          <w:p w14:paraId="06E337D0">
            <w:pPr>
              <w:widowControl/>
              <w:spacing w:line="280" w:lineRule="exact"/>
              <w:jc w:val="center"/>
              <w:rPr>
                <w:kern w:val="0"/>
                <w:szCs w:val="21"/>
                <w:lang w:bidi="ar"/>
              </w:rPr>
            </w:pPr>
            <w:r>
              <w:rPr>
                <w:rFonts w:hint="eastAsia"/>
                <w:kern w:val="0"/>
                <w:szCs w:val="21"/>
                <w:lang w:bidi="ar"/>
              </w:rPr>
              <w:t>/</w:t>
            </w:r>
          </w:p>
        </w:tc>
        <w:tc>
          <w:tcPr>
            <w:tcW w:w="1049" w:type="pct"/>
            <w:vMerge w:val="continue"/>
            <w:vAlign w:val="center"/>
          </w:tcPr>
          <w:p w14:paraId="41CDC967">
            <w:pPr>
              <w:adjustRightInd w:val="0"/>
              <w:snapToGrid w:val="0"/>
              <w:spacing w:line="280" w:lineRule="exact"/>
              <w:jc w:val="center"/>
              <w:rPr>
                <w:kern w:val="0"/>
                <w:szCs w:val="21"/>
                <w:lang w:bidi="ar"/>
              </w:rPr>
            </w:pPr>
          </w:p>
        </w:tc>
        <w:tc>
          <w:tcPr>
            <w:tcW w:w="1192" w:type="pct"/>
            <w:vAlign w:val="center"/>
          </w:tcPr>
          <w:p w14:paraId="7E89298B">
            <w:pPr>
              <w:adjustRightInd w:val="0"/>
              <w:snapToGrid w:val="0"/>
              <w:spacing w:line="280" w:lineRule="exact"/>
              <w:jc w:val="center"/>
              <w:rPr>
                <w:color w:val="000000"/>
                <w:szCs w:val="21"/>
              </w:rPr>
            </w:pPr>
            <w:r>
              <w:rPr>
                <w:rFonts w:hint="eastAsia"/>
                <w:color w:val="000000"/>
                <w:szCs w:val="21"/>
              </w:rPr>
              <w:t>复垦为乔木林地</w:t>
            </w:r>
          </w:p>
        </w:tc>
        <w:tc>
          <w:tcPr>
            <w:tcW w:w="790" w:type="pct"/>
            <w:vMerge w:val="continue"/>
            <w:vAlign w:val="center"/>
          </w:tcPr>
          <w:p w14:paraId="3A0C9C6D">
            <w:pPr>
              <w:adjustRightInd w:val="0"/>
              <w:snapToGrid w:val="0"/>
              <w:spacing w:line="280" w:lineRule="exact"/>
              <w:jc w:val="center"/>
              <w:rPr>
                <w:szCs w:val="21"/>
              </w:rPr>
            </w:pPr>
          </w:p>
        </w:tc>
      </w:tr>
      <w:tr w14:paraId="0B13FDA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27" w:hRule="atLeast"/>
          <w:jc w:val="center"/>
        </w:trPr>
        <w:tc>
          <w:tcPr>
            <w:tcW w:w="320" w:type="pct"/>
            <w:vMerge w:val="continue"/>
            <w:vAlign w:val="center"/>
          </w:tcPr>
          <w:p w14:paraId="597D46CD">
            <w:pPr>
              <w:adjustRightInd w:val="0"/>
              <w:snapToGrid w:val="0"/>
              <w:spacing w:line="280" w:lineRule="exact"/>
              <w:jc w:val="center"/>
              <w:rPr>
                <w:szCs w:val="21"/>
              </w:rPr>
            </w:pPr>
          </w:p>
        </w:tc>
        <w:tc>
          <w:tcPr>
            <w:tcW w:w="389" w:type="pct"/>
            <w:vAlign w:val="center"/>
          </w:tcPr>
          <w:p w14:paraId="35EA411E">
            <w:pPr>
              <w:adjustRightInd w:val="0"/>
              <w:snapToGrid w:val="0"/>
              <w:spacing w:line="280" w:lineRule="exact"/>
              <w:jc w:val="center"/>
              <w:rPr>
                <w:szCs w:val="21"/>
              </w:rPr>
            </w:pPr>
            <w:r>
              <w:rPr>
                <w:rFonts w:hint="eastAsia"/>
                <w:szCs w:val="21"/>
              </w:rPr>
              <w:t>运矿道路</w:t>
            </w:r>
          </w:p>
        </w:tc>
        <w:tc>
          <w:tcPr>
            <w:tcW w:w="1260" w:type="pct"/>
            <w:vAlign w:val="center"/>
          </w:tcPr>
          <w:p w14:paraId="52BC5CD3">
            <w:pPr>
              <w:widowControl/>
              <w:spacing w:line="280" w:lineRule="exact"/>
              <w:jc w:val="center"/>
              <w:rPr>
                <w:kern w:val="0"/>
                <w:szCs w:val="21"/>
                <w:lang w:bidi="ar"/>
              </w:rPr>
            </w:pPr>
            <w:r>
              <w:rPr>
                <w:rFonts w:hint="eastAsia"/>
                <w:kern w:val="0"/>
                <w:szCs w:val="21"/>
                <w:lang w:bidi="ar"/>
              </w:rPr>
              <w:t>/</w:t>
            </w:r>
          </w:p>
        </w:tc>
        <w:tc>
          <w:tcPr>
            <w:tcW w:w="1049" w:type="pct"/>
            <w:vMerge w:val="continue"/>
            <w:vAlign w:val="center"/>
          </w:tcPr>
          <w:p w14:paraId="3E8EAF85">
            <w:pPr>
              <w:adjustRightInd w:val="0"/>
              <w:snapToGrid w:val="0"/>
              <w:spacing w:line="280" w:lineRule="exact"/>
              <w:jc w:val="center"/>
              <w:rPr>
                <w:kern w:val="0"/>
                <w:szCs w:val="21"/>
                <w:lang w:bidi="ar"/>
              </w:rPr>
            </w:pPr>
          </w:p>
        </w:tc>
        <w:tc>
          <w:tcPr>
            <w:tcW w:w="1192" w:type="pct"/>
            <w:vAlign w:val="center"/>
          </w:tcPr>
          <w:p w14:paraId="2250433C">
            <w:pPr>
              <w:adjustRightInd w:val="0"/>
              <w:snapToGrid w:val="0"/>
              <w:spacing w:line="280" w:lineRule="exact"/>
              <w:jc w:val="center"/>
              <w:rPr>
                <w:szCs w:val="21"/>
              </w:rPr>
            </w:pPr>
            <w:r>
              <w:rPr>
                <w:rFonts w:hint="eastAsia"/>
                <w:szCs w:val="21"/>
              </w:rPr>
              <w:t>道路两侧种植</w:t>
            </w:r>
            <w:r>
              <w:t>新疆杨</w:t>
            </w:r>
          </w:p>
        </w:tc>
        <w:tc>
          <w:tcPr>
            <w:tcW w:w="790" w:type="pct"/>
            <w:vMerge w:val="continue"/>
            <w:vAlign w:val="center"/>
          </w:tcPr>
          <w:p w14:paraId="6CAE397A">
            <w:pPr>
              <w:adjustRightInd w:val="0"/>
              <w:snapToGrid w:val="0"/>
              <w:spacing w:line="280" w:lineRule="exact"/>
              <w:jc w:val="center"/>
              <w:rPr>
                <w:szCs w:val="21"/>
              </w:rPr>
            </w:pPr>
          </w:p>
        </w:tc>
      </w:tr>
      <w:tr w14:paraId="25E8419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10" w:hRule="atLeast"/>
          <w:jc w:val="center"/>
        </w:trPr>
        <w:tc>
          <w:tcPr>
            <w:tcW w:w="320" w:type="pct"/>
            <w:vMerge w:val="continue"/>
            <w:vAlign w:val="center"/>
          </w:tcPr>
          <w:p w14:paraId="010327CE">
            <w:pPr>
              <w:adjustRightInd w:val="0"/>
              <w:snapToGrid w:val="0"/>
              <w:spacing w:line="280" w:lineRule="exact"/>
              <w:jc w:val="center"/>
              <w:rPr>
                <w:szCs w:val="21"/>
              </w:rPr>
            </w:pPr>
          </w:p>
        </w:tc>
        <w:tc>
          <w:tcPr>
            <w:tcW w:w="389" w:type="pct"/>
            <w:vAlign w:val="center"/>
          </w:tcPr>
          <w:p w14:paraId="0BD1FF51">
            <w:pPr>
              <w:adjustRightInd w:val="0"/>
              <w:snapToGrid w:val="0"/>
              <w:spacing w:line="280" w:lineRule="exact"/>
              <w:jc w:val="center"/>
              <w:rPr>
                <w:szCs w:val="21"/>
              </w:rPr>
            </w:pPr>
            <w:r>
              <w:rPr>
                <w:rFonts w:hint="eastAsia"/>
                <w:szCs w:val="21"/>
              </w:rPr>
              <w:t>陆生植物</w:t>
            </w:r>
          </w:p>
        </w:tc>
        <w:tc>
          <w:tcPr>
            <w:tcW w:w="1260" w:type="pct"/>
            <w:vAlign w:val="center"/>
          </w:tcPr>
          <w:p w14:paraId="3B25FACC">
            <w:pPr>
              <w:widowControl/>
              <w:spacing w:line="280" w:lineRule="exact"/>
              <w:jc w:val="left"/>
              <w:rPr>
                <w:kern w:val="0"/>
                <w:szCs w:val="21"/>
                <w:lang w:bidi="ar"/>
              </w:rPr>
            </w:pPr>
            <w:r>
              <w:rPr>
                <w:rFonts w:hint="eastAsia"/>
                <w:kern w:val="0"/>
                <w:szCs w:val="21"/>
                <w:lang w:bidi="ar"/>
              </w:rPr>
              <w:t>合理划定施工范围；优化工程施工时序；利用已有资源；临时加强防范有害生物入侵</w:t>
            </w:r>
          </w:p>
        </w:tc>
        <w:tc>
          <w:tcPr>
            <w:tcW w:w="1049" w:type="pct"/>
            <w:vAlign w:val="center"/>
          </w:tcPr>
          <w:p w14:paraId="51EE2350">
            <w:pPr>
              <w:adjustRightInd w:val="0"/>
              <w:snapToGrid w:val="0"/>
              <w:spacing w:line="280" w:lineRule="exact"/>
              <w:jc w:val="center"/>
              <w:rPr>
                <w:kern w:val="0"/>
                <w:szCs w:val="21"/>
                <w:lang w:bidi="ar"/>
              </w:rPr>
            </w:pPr>
            <w:r>
              <w:rPr>
                <w:rFonts w:hint="eastAsia"/>
                <w:kern w:val="0"/>
                <w:szCs w:val="21"/>
                <w:lang w:bidi="ar"/>
              </w:rPr>
              <w:t>/</w:t>
            </w:r>
          </w:p>
        </w:tc>
        <w:tc>
          <w:tcPr>
            <w:tcW w:w="1192" w:type="pct"/>
            <w:vAlign w:val="center"/>
          </w:tcPr>
          <w:p w14:paraId="32FC2C7B">
            <w:pPr>
              <w:adjustRightInd w:val="0"/>
              <w:snapToGrid w:val="0"/>
              <w:spacing w:line="280" w:lineRule="exact"/>
              <w:jc w:val="center"/>
            </w:pPr>
            <w:r>
              <w:rPr>
                <w:rFonts w:hint="eastAsia"/>
              </w:rPr>
              <w:t>坚守矿界开采；对于临时占地，施工完成后及时进行土地复垦和植被恢复；对施工过程中破坏的乔木、灌木，进行原地补充或异地补充</w:t>
            </w:r>
          </w:p>
        </w:tc>
        <w:tc>
          <w:tcPr>
            <w:tcW w:w="790" w:type="pct"/>
            <w:vAlign w:val="center"/>
          </w:tcPr>
          <w:p w14:paraId="1E8ED8EA">
            <w:pPr>
              <w:adjustRightInd w:val="0"/>
              <w:snapToGrid w:val="0"/>
              <w:spacing w:line="280" w:lineRule="exact"/>
              <w:jc w:val="center"/>
              <w:rPr>
                <w:szCs w:val="21"/>
              </w:rPr>
            </w:pPr>
            <w:r>
              <w:rPr>
                <w:rFonts w:hint="eastAsia"/>
                <w:szCs w:val="21"/>
              </w:rPr>
              <w:t>/</w:t>
            </w:r>
          </w:p>
        </w:tc>
      </w:tr>
      <w:tr w14:paraId="32F5CC6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10" w:hRule="atLeast"/>
          <w:jc w:val="center"/>
        </w:trPr>
        <w:tc>
          <w:tcPr>
            <w:tcW w:w="320" w:type="pct"/>
            <w:vMerge w:val="continue"/>
            <w:vAlign w:val="center"/>
          </w:tcPr>
          <w:p w14:paraId="5D5D9E4A">
            <w:pPr>
              <w:adjustRightInd w:val="0"/>
              <w:snapToGrid w:val="0"/>
              <w:spacing w:line="280" w:lineRule="exact"/>
              <w:jc w:val="center"/>
              <w:rPr>
                <w:szCs w:val="21"/>
              </w:rPr>
            </w:pPr>
          </w:p>
        </w:tc>
        <w:tc>
          <w:tcPr>
            <w:tcW w:w="389" w:type="pct"/>
            <w:vAlign w:val="center"/>
          </w:tcPr>
          <w:p w14:paraId="179ABCA6">
            <w:pPr>
              <w:adjustRightInd w:val="0"/>
              <w:snapToGrid w:val="0"/>
              <w:spacing w:line="280" w:lineRule="exact"/>
              <w:jc w:val="center"/>
              <w:rPr>
                <w:szCs w:val="21"/>
              </w:rPr>
            </w:pPr>
            <w:r>
              <w:rPr>
                <w:rFonts w:hint="eastAsia"/>
                <w:szCs w:val="21"/>
              </w:rPr>
              <w:t>陆生动物</w:t>
            </w:r>
          </w:p>
        </w:tc>
        <w:tc>
          <w:tcPr>
            <w:tcW w:w="1260" w:type="pct"/>
            <w:vAlign w:val="center"/>
          </w:tcPr>
          <w:p w14:paraId="309D6E60">
            <w:pPr>
              <w:widowControl/>
              <w:spacing w:line="280" w:lineRule="exact"/>
              <w:jc w:val="left"/>
              <w:rPr>
                <w:kern w:val="0"/>
                <w:szCs w:val="21"/>
                <w:lang w:bidi="ar"/>
              </w:rPr>
            </w:pPr>
            <w:r>
              <w:rPr>
                <w:rFonts w:hint="eastAsia"/>
                <w:kern w:val="0"/>
                <w:szCs w:val="21"/>
                <w:lang w:bidi="ar"/>
              </w:rPr>
              <w:t>合理划定施工范围；加强对施工人员宣传培训；优化施工路线；及时进行植被恢复</w:t>
            </w:r>
          </w:p>
        </w:tc>
        <w:tc>
          <w:tcPr>
            <w:tcW w:w="1049" w:type="pct"/>
            <w:vAlign w:val="center"/>
          </w:tcPr>
          <w:p w14:paraId="72FA0E28">
            <w:pPr>
              <w:adjustRightInd w:val="0"/>
              <w:snapToGrid w:val="0"/>
              <w:spacing w:line="280" w:lineRule="exact"/>
              <w:jc w:val="center"/>
              <w:rPr>
                <w:kern w:val="0"/>
                <w:szCs w:val="21"/>
                <w:lang w:bidi="ar"/>
              </w:rPr>
            </w:pPr>
            <w:r>
              <w:rPr>
                <w:rFonts w:hint="eastAsia"/>
                <w:kern w:val="0"/>
                <w:szCs w:val="21"/>
                <w:lang w:bidi="ar"/>
              </w:rPr>
              <w:t>/</w:t>
            </w:r>
          </w:p>
        </w:tc>
        <w:tc>
          <w:tcPr>
            <w:tcW w:w="1192" w:type="pct"/>
            <w:vAlign w:val="center"/>
          </w:tcPr>
          <w:p w14:paraId="1B57CC9B">
            <w:pPr>
              <w:adjustRightInd w:val="0"/>
              <w:snapToGrid w:val="0"/>
              <w:spacing w:line="280" w:lineRule="exact"/>
              <w:jc w:val="center"/>
            </w:pPr>
            <w:r>
              <w:rPr>
                <w:rFonts w:hint="eastAsia"/>
                <w:kern w:val="0"/>
                <w:szCs w:val="21"/>
                <w:lang w:bidi="ar"/>
              </w:rPr>
              <w:t>合理划定施工范围；加强对施工人员宣传培训；优化施工路线；及时进行植被恢复</w:t>
            </w:r>
          </w:p>
        </w:tc>
        <w:tc>
          <w:tcPr>
            <w:tcW w:w="790" w:type="pct"/>
            <w:vAlign w:val="center"/>
          </w:tcPr>
          <w:p w14:paraId="13FF9C68">
            <w:pPr>
              <w:adjustRightInd w:val="0"/>
              <w:snapToGrid w:val="0"/>
              <w:spacing w:line="280" w:lineRule="exact"/>
              <w:jc w:val="center"/>
              <w:rPr>
                <w:szCs w:val="21"/>
              </w:rPr>
            </w:pPr>
            <w:r>
              <w:rPr>
                <w:rFonts w:hint="eastAsia"/>
                <w:szCs w:val="21"/>
              </w:rPr>
              <w:t>/</w:t>
            </w:r>
          </w:p>
        </w:tc>
      </w:tr>
      <w:tr w14:paraId="3A416F1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72" w:hRule="atLeast"/>
          <w:jc w:val="center"/>
        </w:trPr>
        <w:tc>
          <w:tcPr>
            <w:tcW w:w="709" w:type="pct"/>
            <w:gridSpan w:val="2"/>
            <w:vAlign w:val="center"/>
          </w:tcPr>
          <w:p w14:paraId="6C37D6D5">
            <w:pPr>
              <w:adjustRightInd w:val="0"/>
              <w:snapToGrid w:val="0"/>
              <w:spacing w:line="280" w:lineRule="exact"/>
              <w:jc w:val="center"/>
              <w:rPr>
                <w:szCs w:val="21"/>
              </w:rPr>
            </w:pPr>
            <w:r>
              <w:rPr>
                <w:szCs w:val="21"/>
              </w:rPr>
              <w:t>水生生态</w:t>
            </w:r>
          </w:p>
        </w:tc>
        <w:tc>
          <w:tcPr>
            <w:tcW w:w="1260" w:type="pct"/>
            <w:vAlign w:val="center"/>
          </w:tcPr>
          <w:p w14:paraId="5E4A3073">
            <w:pPr>
              <w:widowControl/>
              <w:spacing w:line="280" w:lineRule="exact"/>
              <w:jc w:val="center"/>
              <w:rPr>
                <w:kern w:val="0"/>
                <w:szCs w:val="21"/>
                <w:lang w:bidi="ar"/>
              </w:rPr>
            </w:pPr>
            <w:r>
              <w:rPr>
                <w:rFonts w:hint="eastAsia"/>
                <w:kern w:val="0"/>
                <w:szCs w:val="21"/>
                <w:lang w:bidi="ar"/>
              </w:rPr>
              <w:t>/</w:t>
            </w:r>
          </w:p>
        </w:tc>
        <w:tc>
          <w:tcPr>
            <w:tcW w:w="1049" w:type="pct"/>
            <w:vAlign w:val="center"/>
          </w:tcPr>
          <w:p w14:paraId="57F7BA75">
            <w:pPr>
              <w:adjustRightInd w:val="0"/>
              <w:snapToGrid w:val="0"/>
              <w:spacing w:line="280" w:lineRule="exact"/>
              <w:jc w:val="center"/>
              <w:rPr>
                <w:szCs w:val="21"/>
              </w:rPr>
            </w:pPr>
            <w:r>
              <w:rPr>
                <w:szCs w:val="21"/>
              </w:rPr>
              <w:t>/</w:t>
            </w:r>
          </w:p>
        </w:tc>
        <w:tc>
          <w:tcPr>
            <w:tcW w:w="1192" w:type="pct"/>
            <w:vAlign w:val="center"/>
          </w:tcPr>
          <w:p w14:paraId="65B3FD22">
            <w:pPr>
              <w:adjustRightInd w:val="0"/>
              <w:snapToGrid w:val="0"/>
              <w:spacing w:line="280" w:lineRule="exact"/>
              <w:jc w:val="center"/>
              <w:rPr>
                <w:szCs w:val="21"/>
              </w:rPr>
            </w:pPr>
            <w:r>
              <w:rPr>
                <w:szCs w:val="21"/>
              </w:rPr>
              <w:t>/</w:t>
            </w:r>
          </w:p>
        </w:tc>
        <w:tc>
          <w:tcPr>
            <w:tcW w:w="790" w:type="pct"/>
            <w:vAlign w:val="center"/>
          </w:tcPr>
          <w:p w14:paraId="27FC1A9E">
            <w:pPr>
              <w:adjustRightInd w:val="0"/>
              <w:snapToGrid w:val="0"/>
              <w:spacing w:line="280" w:lineRule="exact"/>
              <w:jc w:val="center"/>
              <w:rPr>
                <w:szCs w:val="21"/>
              </w:rPr>
            </w:pPr>
            <w:r>
              <w:rPr>
                <w:szCs w:val="21"/>
              </w:rPr>
              <w:t>/</w:t>
            </w:r>
          </w:p>
        </w:tc>
      </w:tr>
      <w:tr w14:paraId="257FF85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63" w:hRule="atLeast"/>
          <w:jc w:val="center"/>
        </w:trPr>
        <w:tc>
          <w:tcPr>
            <w:tcW w:w="709" w:type="pct"/>
            <w:gridSpan w:val="2"/>
            <w:vMerge w:val="restart"/>
            <w:vAlign w:val="center"/>
          </w:tcPr>
          <w:p w14:paraId="62DE1070">
            <w:pPr>
              <w:adjustRightInd w:val="0"/>
              <w:snapToGrid w:val="0"/>
              <w:spacing w:line="280" w:lineRule="exact"/>
              <w:jc w:val="center"/>
              <w:rPr>
                <w:szCs w:val="21"/>
              </w:rPr>
            </w:pPr>
            <w:r>
              <w:rPr>
                <w:szCs w:val="21"/>
              </w:rPr>
              <w:t>地表水</w:t>
            </w:r>
          </w:p>
          <w:p w14:paraId="2C261D0C">
            <w:pPr>
              <w:adjustRightInd w:val="0"/>
              <w:snapToGrid w:val="0"/>
              <w:spacing w:line="280" w:lineRule="exact"/>
              <w:jc w:val="center"/>
              <w:rPr>
                <w:szCs w:val="21"/>
              </w:rPr>
            </w:pPr>
            <w:r>
              <w:rPr>
                <w:szCs w:val="21"/>
              </w:rPr>
              <w:t>环境</w:t>
            </w:r>
          </w:p>
        </w:tc>
        <w:tc>
          <w:tcPr>
            <w:tcW w:w="1260" w:type="pct"/>
            <w:vAlign w:val="center"/>
          </w:tcPr>
          <w:p w14:paraId="2367BED5">
            <w:pPr>
              <w:widowControl/>
              <w:spacing w:line="280" w:lineRule="exact"/>
              <w:jc w:val="center"/>
              <w:rPr>
                <w:kern w:val="0"/>
                <w:szCs w:val="21"/>
                <w:lang w:bidi="ar"/>
              </w:rPr>
            </w:pPr>
            <w:r>
              <w:rPr>
                <w:rFonts w:hint="eastAsia"/>
                <w:kern w:val="0"/>
                <w:szCs w:val="21"/>
                <w:lang w:bidi="ar"/>
              </w:rPr>
              <w:t>施工废水：</w:t>
            </w:r>
            <w:r>
              <w:rPr>
                <w:kern w:val="0"/>
                <w:szCs w:val="21"/>
                <w:lang w:bidi="ar"/>
              </w:rPr>
              <w:t>施工废水经沉淀处理后回用于场地洒水降尘，不外排</w:t>
            </w:r>
          </w:p>
        </w:tc>
        <w:tc>
          <w:tcPr>
            <w:tcW w:w="1049" w:type="pct"/>
            <w:vAlign w:val="center"/>
          </w:tcPr>
          <w:p w14:paraId="60787E5D">
            <w:pPr>
              <w:widowControl/>
              <w:spacing w:line="280" w:lineRule="exact"/>
              <w:jc w:val="center"/>
              <w:rPr>
                <w:kern w:val="0"/>
                <w:szCs w:val="21"/>
                <w:lang w:bidi="ar"/>
              </w:rPr>
            </w:pPr>
            <w:r>
              <w:rPr>
                <w:kern w:val="0"/>
                <w:szCs w:val="21"/>
                <w:lang w:bidi="ar"/>
              </w:rPr>
              <w:t>废水不外排</w:t>
            </w:r>
          </w:p>
        </w:tc>
        <w:tc>
          <w:tcPr>
            <w:tcW w:w="1192" w:type="pct"/>
            <w:vAlign w:val="center"/>
          </w:tcPr>
          <w:p w14:paraId="39E29F2E">
            <w:pPr>
              <w:widowControl/>
              <w:spacing w:line="280" w:lineRule="exact"/>
              <w:jc w:val="center"/>
              <w:rPr>
                <w:kern w:val="0"/>
                <w:szCs w:val="21"/>
                <w:lang w:bidi="ar"/>
              </w:rPr>
            </w:pPr>
            <w:r>
              <w:rPr>
                <w:rFonts w:hint="eastAsia"/>
                <w:szCs w:val="21"/>
              </w:rPr>
              <w:t>生活污水排入化粪池，定期清掏</w:t>
            </w:r>
          </w:p>
        </w:tc>
        <w:tc>
          <w:tcPr>
            <w:tcW w:w="790" w:type="pct"/>
            <w:vAlign w:val="center"/>
          </w:tcPr>
          <w:p w14:paraId="2CECD83D">
            <w:pPr>
              <w:adjustRightInd w:val="0"/>
              <w:snapToGrid w:val="0"/>
              <w:spacing w:line="280" w:lineRule="exact"/>
              <w:jc w:val="center"/>
              <w:rPr>
                <w:szCs w:val="21"/>
              </w:rPr>
            </w:pPr>
            <w:r>
              <w:rPr>
                <w:rFonts w:hint="eastAsia"/>
                <w:szCs w:val="21"/>
              </w:rPr>
              <w:t>不外排</w:t>
            </w:r>
          </w:p>
        </w:tc>
      </w:tr>
      <w:tr w14:paraId="3D8761D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72" w:hRule="atLeast"/>
          <w:jc w:val="center"/>
        </w:trPr>
        <w:tc>
          <w:tcPr>
            <w:tcW w:w="709" w:type="pct"/>
            <w:gridSpan w:val="2"/>
            <w:vMerge w:val="continue"/>
            <w:vAlign w:val="center"/>
          </w:tcPr>
          <w:p w14:paraId="782CE693">
            <w:pPr>
              <w:adjustRightInd w:val="0"/>
              <w:snapToGrid w:val="0"/>
              <w:spacing w:line="280" w:lineRule="exact"/>
              <w:jc w:val="center"/>
              <w:rPr>
                <w:szCs w:val="21"/>
              </w:rPr>
            </w:pPr>
          </w:p>
        </w:tc>
        <w:tc>
          <w:tcPr>
            <w:tcW w:w="1260" w:type="pct"/>
            <w:vAlign w:val="center"/>
          </w:tcPr>
          <w:p w14:paraId="403FADCE">
            <w:pPr>
              <w:widowControl/>
              <w:spacing w:line="280" w:lineRule="exact"/>
              <w:jc w:val="center"/>
              <w:rPr>
                <w:kern w:val="0"/>
                <w:szCs w:val="21"/>
                <w:lang w:bidi="ar"/>
              </w:rPr>
            </w:pPr>
            <w:r>
              <w:rPr>
                <w:rFonts w:hint="eastAsia"/>
                <w:kern w:val="0"/>
                <w:szCs w:val="21"/>
                <w:lang w:bidi="ar"/>
              </w:rPr>
              <w:t>施工生活污水：</w:t>
            </w:r>
            <w:r>
              <w:rPr>
                <w:kern w:val="0"/>
                <w:szCs w:val="21"/>
                <w:lang w:bidi="ar"/>
              </w:rPr>
              <w:t>施工生活污水</w:t>
            </w:r>
            <w:r>
              <w:rPr>
                <w:rFonts w:hint="eastAsia"/>
                <w:kern w:val="0"/>
                <w:szCs w:val="21"/>
                <w:lang w:bidi="ar"/>
              </w:rPr>
              <w:t>进入旱厕，定期清掏</w:t>
            </w:r>
          </w:p>
        </w:tc>
        <w:tc>
          <w:tcPr>
            <w:tcW w:w="1049" w:type="pct"/>
            <w:vAlign w:val="center"/>
          </w:tcPr>
          <w:p w14:paraId="37606A40">
            <w:pPr>
              <w:widowControl/>
              <w:spacing w:line="280" w:lineRule="exact"/>
              <w:jc w:val="center"/>
              <w:rPr>
                <w:kern w:val="0"/>
                <w:szCs w:val="21"/>
                <w:lang w:bidi="ar"/>
              </w:rPr>
            </w:pPr>
            <w:r>
              <w:rPr>
                <w:kern w:val="0"/>
                <w:szCs w:val="21"/>
                <w:lang w:bidi="ar"/>
              </w:rPr>
              <w:t>废水不外排</w:t>
            </w:r>
          </w:p>
        </w:tc>
        <w:tc>
          <w:tcPr>
            <w:tcW w:w="1192" w:type="pct"/>
            <w:vAlign w:val="center"/>
          </w:tcPr>
          <w:p w14:paraId="0DB8A113">
            <w:pPr>
              <w:widowControl/>
              <w:spacing w:line="280" w:lineRule="exact"/>
              <w:jc w:val="center"/>
              <w:rPr>
                <w:kern w:val="0"/>
                <w:szCs w:val="21"/>
                <w:lang w:bidi="ar"/>
              </w:rPr>
            </w:pPr>
            <w:r>
              <w:rPr>
                <w:rFonts w:hint="eastAsia"/>
              </w:rPr>
              <w:t>/</w:t>
            </w:r>
          </w:p>
        </w:tc>
        <w:tc>
          <w:tcPr>
            <w:tcW w:w="790" w:type="pct"/>
            <w:vAlign w:val="center"/>
          </w:tcPr>
          <w:p w14:paraId="4CE27EA2">
            <w:pPr>
              <w:adjustRightInd w:val="0"/>
              <w:snapToGrid w:val="0"/>
              <w:spacing w:line="280" w:lineRule="exact"/>
              <w:jc w:val="center"/>
              <w:rPr>
                <w:szCs w:val="21"/>
              </w:rPr>
            </w:pPr>
            <w:r>
              <w:rPr>
                <w:rFonts w:hint="eastAsia"/>
              </w:rPr>
              <w:t>/</w:t>
            </w:r>
          </w:p>
        </w:tc>
      </w:tr>
      <w:tr w14:paraId="0A8A081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02" w:hRule="atLeast"/>
          <w:jc w:val="center"/>
        </w:trPr>
        <w:tc>
          <w:tcPr>
            <w:tcW w:w="709" w:type="pct"/>
            <w:gridSpan w:val="2"/>
            <w:vAlign w:val="center"/>
          </w:tcPr>
          <w:p w14:paraId="346190D1">
            <w:pPr>
              <w:adjustRightInd w:val="0"/>
              <w:snapToGrid w:val="0"/>
              <w:spacing w:line="280" w:lineRule="exact"/>
              <w:jc w:val="center"/>
              <w:rPr>
                <w:szCs w:val="21"/>
              </w:rPr>
            </w:pPr>
            <w:r>
              <w:rPr>
                <w:szCs w:val="21"/>
              </w:rPr>
              <w:t>地下水及土壤环境</w:t>
            </w:r>
          </w:p>
        </w:tc>
        <w:tc>
          <w:tcPr>
            <w:tcW w:w="1260" w:type="pct"/>
            <w:vAlign w:val="center"/>
          </w:tcPr>
          <w:p w14:paraId="1633438F">
            <w:pPr>
              <w:widowControl/>
              <w:spacing w:line="280" w:lineRule="exact"/>
              <w:jc w:val="center"/>
              <w:rPr>
                <w:kern w:val="0"/>
                <w:szCs w:val="21"/>
                <w:lang w:bidi="ar"/>
              </w:rPr>
            </w:pPr>
            <w:r>
              <w:rPr>
                <w:rFonts w:hint="eastAsia"/>
                <w:szCs w:val="21"/>
              </w:rPr>
              <w:t>/</w:t>
            </w:r>
          </w:p>
        </w:tc>
        <w:tc>
          <w:tcPr>
            <w:tcW w:w="1049" w:type="pct"/>
            <w:vAlign w:val="center"/>
          </w:tcPr>
          <w:p w14:paraId="7F885903">
            <w:pPr>
              <w:adjustRightInd w:val="0"/>
              <w:snapToGrid w:val="0"/>
              <w:spacing w:line="280" w:lineRule="exact"/>
              <w:jc w:val="center"/>
              <w:rPr>
                <w:szCs w:val="21"/>
              </w:rPr>
            </w:pPr>
            <w:r>
              <w:rPr>
                <w:szCs w:val="21"/>
              </w:rPr>
              <w:t>/</w:t>
            </w:r>
          </w:p>
        </w:tc>
        <w:tc>
          <w:tcPr>
            <w:tcW w:w="1192" w:type="pct"/>
            <w:vAlign w:val="center"/>
          </w:tcPr>
          <w:p w14:paraId="33C4DEDC">
            <w:pPr>
              <w:adjustRightInd w:val="0"/>
              <w:snapToGrid w:val="0"/>
              <w:spacing w:line="280" w:lineRule="exact"/>
              <w:jc w:val="center"/>
              <w:rPr>
                <w:szCs w:val="21"/>
              </w:rPr>
            </w:pPr>
            <w:r>
              <w:rPr>
                <w:rFonts w:hint="eastAsia"/>
                <w:szCs w:val="21"/>
              </w:rPr>
              <w:t>运矿道路、办公生活区为简单防渗区</w:t>
            </w:r>
          </w:p>
        </w:tc>
        <w:tc>
          <w:tcPr>
            <w:tcW w:w="790" w:type="pct"/>
            <w:vAlign w:val="center"/>
          </w:tcPr>
          <w:p w14:paraId="238A7BBA">
            <w:pPr>
              <w:adjustRightInd w:val="0"/>
              <w:snapToGrid w:val="0"/>
              <w:spacing w:line="280" w:lineRule="exact"/>
              <w:jc w:val="center"/>
              <w:rPr>
                <w:szCs w:val="21"/>
              </w:rPr>
            </w:pPr>
            <w:r>
              <w:rPr>
                <w:szCs w:val="21"/>
              </w:rPr>
              <w:t>《危险废物贮存污染控制标准》（GB18597-2023）</w:t>
            </w:r>
          </w:p>
        </w:tc>
      </w:tr>
      <w:tr w14:paraId="53927B4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83" w:hRule="atLeast"/>
          <w:jc w:val="center"/>
        </w:trPr>
        <w:tc>
          <w:tcPr>
            <w:tcW w:w="709" w:type="pct"/>
            <w:gridSpan w:val="2"/>
            <w:vAlign w:val="center"/>
          </w:tcPr>
          <w:p w14:paraId="32B18516">
            <w:pPr>
              <w:adjustRightInd w:val="0"/>
              <w:snapToGrid w:val="0"/>
              <w:spacing w:line="280" w:lineRule="exact"/>
              <w:jc w:val="center"/>
              <w:rPr>
                <w:szCs w:val="21"/>
              </w:rPr>
            </w:pPr>
            <w:r>
              <w:rPr>
                <w:szCs w:val="21"/>
              </w:rPr>
              <w:t>声环境</w:t>
            </w:r>
          </w:p>
        </w:tc>
        <w:tc>
          <w:tcPr>
            <w:tcW w:w="1260" w:type="pct"/>
            <w:vAlign w:val="center"/>
          </w:tcPr>
          <w:p w14:paraId="365F0E0F">
            <w:pPr>
              <w:widowControl/>
              <w:spacing w:line="280" w:lineRule="exact"/>
              <w:jc w:val="center"/>
              <w:rPr>
                <w:kern w:val="0"/>
                <w:szCs w:val="21"/>
                <w:lang w:bidi="ar"/>
              </w:rPr>
            </w:pPr>
            <w:r>
              <w:rPr>
                <w:kern w:val="0"/>
                <w:szCs w:val="21"/>
                <w:lang w:bidi="ar"/>
              </w:rPr>
              <w:t>合理安排布局，制定施工计划，禁止夜间施工，加强施工管理，必要时采取临时降噪措施</w:t>
            </w:r>
          </w:p>
        </w:tc>
        <w:tc>
          <w:tcPr>
            <w:tcW w:w="1049" w:type="pct"/>
            <w:vAlign w:val="center"/>
          </w:tcPr>
          <w:p w14:paraId="69AB5DA2">
            <w:pPr>
              <w:adjustRightInd w:val="0"/>
              <w:snapToGrid w:val="0"/>
              <w:spacing w:line="280" w:lineRule="exact"/>
              <w:ind w:left="-105" w:leftChars="-50" w:right="-105" w:rightChars="-50"/>
              <w:jc w:val="center"/>
              <w:rPr>
                <w:szCs w:val="21"/>
              </w:rPr>
            </w:pPr>
            <w:r>
              <w:rPr>
                <w:szCs w:val="21"/>
              </w:rPr>
              <w:t>《建筑施工噪声</w:t>
            </w:r>
          </w:p>
          <w:p w14:paraId="2A2AB532">
            <w:pPr>
              <w:adjustRightInd w:val="0"/>
              <w:snapToGrid w:val="0"/>
              <w:spacing w:line="280" w:lineRule="exact"/>
              <w:ind w:left="-105" w:leftChars="-50" w:right="-105" w:rightChars="-50"/>
              <w:jc w:val="center"/>
              <w:rPr>
                <w:szCs w:val="21"/>
              </w:rPr>
            </w:pPr>
            <w:r>
              <w:rPr>
                <w:szCs w:val="21"/>
              </w:rPr>
              <w:t>排放标准》（GB12523-20</w:t>
            </w:r>
            <w:r>
              <w:rPr>
                <w:rFonts w:hint="eastAsia"/>
                <w:szCs w:val="21"/>
                <w:lang w:val="en-US" w:eastAsia="zh-CN"/>
              </w:rPr>
              <w:t>25</w:t>
            </w:r>
            <w:r>
              <w:rPr>
                <w:szCs w:val="21"/>
              </w:rPr>
              <w:t>）</w:t>
            </w:r>
          </w:p>
        </w:tc>
        <w:tc>
          <w:tcPr>
            <w:tcW w:w="1192" w:type="pct"/>
            <w:vAlign w:val="center"/>
          </w:tcPr>
          <w:p w14:paraId="76F697B8">
            <w:pPr>
              <w:adjustRightInd w:val="0"/>
              <w:snapToGrid w:val="0"/>
              <w:spacing w:line="280" w:lineRule="exact"/>
              <w:jc w:val="center"/>
              <w:rPr>
                <w:szCs w:val="21"/>
              </w:rPr>
            </w:pPr>
            <w:r>
              <w:rPr>
                <w:rFonts w:hint="eastAsia"/>
              </w:rPr>
              <w:t>用低噪声设备；注意设备润滑；及时更换老化和性能降低的旧设备</w:t>
            </w:r>
          </w:p>
        </w:tc>
        <w:tc>
          <w:tcPr>
            <w:tcW w:w="790" w:type="pct"/>
            <w:vAlign w:val="center"/>
          </w:tcPr>
          <w:p w14:paraId="1409756C">
            <w:pPr>
              <w:adjustRightInd w:val="0"/>
              <w:snapToGrid w:val="0"/>
              <w:spacing w:line="280" w:lineRule="exact"/>
              <w:jc w:val="center"/>
              <w:rPr>
                <w:szCs w:val="21"/>
              </w:rPr>
            </w:pPr>
            <w:r>
              <w:rPr>
                <w:szCs w:val="21"/>
              </w:rPr>
              <w:t>《工业企业厂界环境噪声排放标准》（GB12348-2008）</w:t>
            </w:r>
          </w:p>
        </w:tc>
      </w:tr>
      <w:tr w14:paraId="4DDF62F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90" w:hRule="atLeast"/>
          <w:jc w:val="center"/>
        </w:trPr>
        <w:tc>
          <w:tcPr>
            <w:tcW w:w="709" w:type="pct"/>
            <w:gridSpan w:val="2"/>
            <w:vMerge w:val="restart"/>
            <w:vAlign w:val="center"/>
          </w:tcPr>
          <w:p w14:paraId="173FCD0F">
            <w:pPr>
              <w:adjustRightInd w:val="0"/>
              <w:snapToGrid w:val="0"/>
              <w:spacing w:line="280" w:lineRule="exact"/>
              <w:jc w:val="center"/>
              <w:rPr>
                <w:szCs w:val="21"/>
              </w:rPr>
            </w:pPr>
            <w:r>
              <w:rPr>
                <w:szCs w:val="21"/>
              </w:rPr>
              <w:t>大气环境</w:t>
            </w:r>
          </w:p>
        </w:tc>
        <w:tc>
          <w:tcPr>
            <w:tcW w:w="1260" w:type="pct"/>
            <w:vAlign w:val="center"/>
          </w:tcPr>
          <w:p w14:paraId="2831C2EA">
            <w:pPr>
              <w:widowControl/>
              <w:spacing w:line="280" w:lineRule="exact"/>
              <w:jc w:val="center"/>
              <w:rPr>
                <w:kern w:val="0"/>
                <w:szCs w:val="21"/>
                <w:lang w:bidi="ar"/>
              </w:rPr>
            </w:pPr>
            <w:r>
              <w:rPr>
                <w:kern w:val="0"/>
                <w:szCs w:val="21"/>
                <w:lang w:bidi="ar"/>
              </w:rPr>
              <w:t>施工扬尘：施工工地周边100%围挡；物料堆放100%覆盖，出入车辆100%冲洗，施工现场地面100%硬化，土石开挖100%湿法作业，渣土车辆100%密闭运输</w:t>
            </w:r>
          </w:p>
        </w:tc>
        <w:tc>
          <w:tcPr>
            <w:tcW w:w="1049" w:type="pct"/>
            <w:vAlign w:val="center"/>
          </w:tcPr>
          <w:p w14:paraId="6D31DD5B">
            <w:pPr>
              <w:widowControl/>
              <w:spacing w:line="280" w:lineRule="exact"/>
              <w:jc w:val="center"/>
              <w:rPr>
                <w:szCs w:val="21"/>
              </w:rPr>
            </w:pPr>
            <w:r>
              <w:rPr>
                <w:szCs w:val="21"/>
              </w:rPr>
              <w:t>严格管控，防治扬尘污染</w:t>
            </w:r>
          </w:p>
        </w:tc>
        <w:tc>
          <w:tcPr>
            <w:tcW w:w="1192" w:type="pct"/>
            <w:shd w:val="clear" w:color="auto" w:fill="auto"/>
            <w:vAlign w:val="center"/>
          </w:tcPr>
          <w:p w14:paraId="30832BDA">
            <w:pPr>
              <w:jc w:val="center"/>
            </w:pPr>
            <w:r>
              <w:rPr>
                <w:rFonts w:hint="eastAsia"/>
              </w:rPr>
              <w:t>采剥粉尘：勤于洒水抑尘，有效控制产尘量，减少扬尘的散布面积</w:t>
            </w:r>
          </w:p>
        </w:tc>
        <w:tc>
          <w:tcPr>
            <w:tcW w:w="790" w:type="pct"/>
            <w:vMerge w:val="restart"/>
            <w:vAlign w:val="center"/>
          </w:tcPr>
          <w:p w14:paraId="6F9CD6A9">
            <w:pPr>
              <w:adjustRightInd w:val="0"/>
              <w:snapToGrid w:val="0"/>
              <w:spacing w:line="280" w:lineRule="exact"/>
              <w:jc w:val="center"/>
              <w:rPr>
                <w:szCs w:val="21"/>
              </w:rPr>
            </w:pPr>
            <w:r>
              <w:rPr>
                <w:rFonts w:hint="eastAsia"/>
                <w:szCs w:val="21"/>
              </w:rPr>
              <w:t>《</w:t>
            </w:r>
            <w:r>
              <w:rPr>
                <w:szCs w:val="21"/>
              </w:rPr>
              <w:t>关于在全市工业企业开展大气污染防治千企千策服务企业</w:t>
            </w:r>
            <w:r>
              <w:rPr>
                <w:rFonts w:hint="eastAsia"/>
                <w:szCs w:val="21"/>
              </w:rPr>
              <w:t>“春风”</w:t>
            </w:r>
            <w:r>
              <w:rPr>
                <w:szCs w:val="21"/>
              </w:rPr>
              <w:t>行动的通知》</w:t>
            </w:r>
            <w:r>
              <w:rPr>
                <w:rFonts w:hint="eastAsia"/>
                <w:szCs w:val="21"/>
              </w:rPr>
              <w:t>（阳大气办〔2019〕16号）</w:t>
            </w:r>
          </w:p>
        </w:tc>
      </w:tr>
      <w:tr w14:paraId="34C5853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20" w:hRule="atLeast"/>
          <w:jc w:val="center"/>
        </w:trPr>
        <w:tc>
          <w:tcPr>
            <w:tcW w:w="709" w:type="pct"/>
            <w:gridSpan w:val="2"/>
            <w:vMerge w:val="continue"/>
            <w:vAlign w:val="center"/>
          </w:tcPr>
          <w:p w14:paraId="1C0352AB">
            <w:pPr>
              <w:adjustRightInd w:val="0"/>
              <w:snapToGrid w:val="0"/>
              <w:spacing w:line="280" w:lineRule="exact"/>
              <w:jc w:val="center"/>
              <w:rPr>
                <w:szCs w:val="21"/>
              </w:rPr>
            </w:pPr>
          </w:p>
        </w:tc>
        <w:tc>
          <w:tcPr>
            <w:tcW w:w="1260" w:type="pct"/>
            <w:vAlign w:val="center"/>
          </w:tcPr>
          <w:p w14:paraId="4EEDBA9E">
            <w:pPr>
              <w:widowControl/>
              <w:spacing w:line="280" w:lineRule="exact"/>
              <w:jc w:val="center"/>
              <w:rPr>
                <w:kern w:val="0"/>
                <w:szCs w:val="21"/>
                <w:lang w:bidi="ar"/>
              </w:rPr>
            </w:pPr>
            <w:r>
              <w:rPr>
                <w:kern w:val="0"/>
                <w:szCs w:val="21"/>
                <w:lang w:bidi="ar"/>
              </w:rPr>
              <w:t>运输扬尘：</w:t>
            </w:r>
            <w:r>
              <w:rPr>
                <w:rFonts w:hint="eastAsia"/>
                <w:szCs w:val="21"/>
              </w:rPr>
              <w:t>严禁超载；限速行驶；进出施工场地车身及轮胎进行冲洗；加强线路管理；使用符合要求的运输车辆</w:t>
            </w:r>
          </w:p>
        </w:tc>
        <w:tc>
          <w:tcPr>
            <w:tcW w:w="1049" w:type="pct"/>
            <w:vAlign w:val="center"/>
          </w:tcPr>
          <w:p w14:paraId="349517EA">
            <w:pPr>
              <w:widowControl/>
              <w:spacing w:line="280" w:lineRule="exact"/>
              <w:jc w:val="center"/>
              <w:rPr>
                <w:szCs w:val="21"/>
              </w:rPr>
            </w:pPr>
            <w:r>
              <w:rPr>
                <w:szCs w:val="21"/>
              </w:rPr>
              <w:t>严格管控，防治扬尘污染</w:t>
            </w:r>
          </w:p>
        </w:tc>
        <w:tc>
          <w:tcPr>
            <w:tcW w:w="1192" w:type="pct"/>
            <w:shd w:val="clear" w:color="auto" w:fill="auto"/>
            <w:vAlign w:val="center"/>
          </w:tcPr>
          <w:p w14:paraId="7B960285">
            <w:pPr>
              <w:jc w:val="center"/>
            </w:pPr>
            <w:r>
              <w:rPr>
                <w:rFonts w:hint="eastAsia"/>
              </w:rPr>
              <w:t>采装粉尘、排土场粉尘、切割粉尘：勤于洒水抑尘，有效控制产尘量，减少扬尘的散布面积</w:t>
            </w:r>
          </w:p>
        </w:tc>
        <w:tc>
          <w:tcPr>
            <w:tcW w:w="790" w:type="pct"/>
            <w:vMerge w:val="continue"/>
            <w:vAlign w:val="center"/>
          </w:tcPr>
          <w:p w14:paraId="2C74D2DB">
            <w:pPr>
              <w:adjustRightInd w:val="0"/>
              <w:snapToGrid w:val="0"/>
              <w:spacing w:line="280" w:lineRule="exact"/>
              <w:jc w:val="center"/>
              <w:rPr>
                <w:szCs w:val="21"/>
              </w:rPr>
            </w:pPr>
          </w:p>
        </w:tc>
      </w:tr>
      <w:tr w14:paraId="286A290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67" w:hRule="atLeast"/>
          <w:jc w:val="center"/>
        </w:trPr>
        <w:tc>
          <w:tcPr>
            <w:tcW w:w="709" w:type="pct"/>
            <w:gridSpan w:val="2"/>
            <w:vMerge w:val="continue"/>
            <w:vAlign w:val="center"/>
          </w:tcPr>
          <w:p w14:paraId="7E1A115F">
            <w:pPr>
              <w:adjustRightInd w:val="0"/>
              <w:snapToGrid w:val="0"/>
              <w:spacing w:line="280" w:lineRule="exact"/>
              <w:jc w:val="center"/>
              <w:rPr>
                <w:szCs w:val="21"/>
              </w:rPr>
            </w:pPr>
          </w:p>
        </w:tc>
        <w:tc>
          <w:tcPr>
            <w:tcW w:w="1260" w:type="pct"/>
            <w:vAlign w:val="center"/>
          </w:tcPr>
          <w:p w14:paraId="00870694">
            <w:pPr>
              <w:widowControl/>
              <w:spacing w:line="280" w:lineRule="exact"/>
              <w:jc w:val="center"/>
              <w:rPr>
                <w:kern w:val="0"/>
                <w:szCs w:val="21"/>
                <w:lang w:bidi="ar"/>
              </w:rPr>
            </w:pPr>
            <w:r>
              <w:rPr>
                <w:kern w:val="0"/>
                <w:szCs w:val="21"/>
                <w:lang w:bidi="ar"/>
              </w:rPr>
              <w:t>施工机械、运输车辆尾气：使用排放符合国家标准的运输车辆、非道路移动机械；加强车辆、机械的维护保养；</w:t>
            </w:r>
          </w:p>
        </w:tc>
        <w:tc>
          <w:tcPr>
            <w:tcW w:w="1049" w:type="pct"/>
            <w:vAlign w:val="center"/>
          </w:tcPr>
          <w:p w14:paraId="72F5F01B">
            <w:pPr>
              <w:widowControl/>
              <w:spacing w:line="280" w:lineRule="exact"/>
              <w:jc w:val="center"/>
              <w:rPr>
                <w:szCs w:val="21"/>
              </w:rPr>
            </w:pPr>
            <w:r>
              <w:rPr>
                <w:szCs w:val="21"/>
              </w:rPr>
              <w:t>严格</w:t>
            </w:r>
            <w:r>
              <w:rPr>
                <w:rFonts w:hint="eastAsia"/>
                <w:szCs w:val="21"/>
              </w:rPr>
              <w:t>管控</w:t>
            </w:r>
            <w:r>
              <w:rPr>
                <w:szCs w:val="21"/>
              </w:rPr>
              <w:t>燃油尾气污染</w:t>
            </w:r>
          </w:p>
        </w:tc>
        <w:tc>
          <w:tcPr>
            <w:tcW w:w="1192" w:type="pct"/>
            <w:shd w:val="clear" w:color="auto" w:fill="auto"/>
            <w:vAlign w:val="center"/>
          </w:tcPr>
          <w:p w14:paraId="70B61C50">
            <w:pPr>
              <w:jc w:val="center"/>
            </w:pPr>
            <w:r>
              <w:rPr>
                <w:rFonts w:hint="eastAsia"/>
              </w:rPr>
              <w:t>道路运输扬尘：加强绿化，增加洒水频次，限速行驶；场内转运车辆采用新能源；</w:t>
            </w:r>
          </w:p>
        </w:tc>
        <w:tc>
          <w:tcPr>
            <w:tcW w:w="790" w:type="pct"/>
            <w:vMerge w:val="continue"/>
            <w:vAlign w:val="center"/>
          </w:tcPr>
          <w:p w14:paraId="7B28557F">
            <w:pPr>
              <w:adjustRightInd w:val="0"/>
              <w:snapToGrid w:val="0"/>
              <w:spacing w:line="280" w:lineRule="exact"/>
              <w:jc w:val="center"/>
              <w:rPr>
                <w:szCs w:val="21"/>
              </w:rPr>
            </w:pPr>
          </w:p>
        </w:tc>
      </w:tr>
      <w:tr w14:paraId="7F3870B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65" w:hRule="atLeast"/>
          <w:jc w:val="center"/>
        </w:trPr>
        <w:tc>
          <w:tcPr>
            <w:tcW w:w="709" w:type="pct"/>
            <w:gridSpan w:val="2"/>
            <w:vAlign w:val="center"/>
          </w:tcPr>
          <w:p w14:paraId="200D7285">
            <w:pPr>
              <w:adjustRightInd w:val="0"/>
              <w:snapToGrid w:val="0"/>
              <w:spacing w:line="280" w:lineRule="exact"/>
              <w:jc w:val="center"/>
              <w:rPr>
                <w:szCs w:val="21"/>
              </w:rPr>
            </w:pPr>
            <w:r>
              <w:rPr>
                <w:szCs w:val="21"/>
              </w:rPr>
              <w:t>固体废物</w:t>
            </w:r>
          </w:p>
        </w:tc>
        <w:tc>
          <w:tcPr>
            <w:tcW w:w="1260" w:type="pct"/>
            <w:vAlign w:val="center"/>
          </w:tcPr>
          <w:p w14:paraId="6EB330B4">
            <w:pPr>
              <w:widowControl/>
              <w:spacing w:line="280" w:lineRule="exact"/>
              <w:jc w:val="center"/>
              <w:rPr>
                <w:kern w:val="0"/>
                <w:szCs w:val="21"/>
                <w:lang w:bidi="ar"/>
              </w:rPr>
            </w:pPr>
            <w:r>
              <w:rPr>
                <w:kern w:val="0"/>
                <w:szCs w:val="21"/>
                <w:lang w:bidi="ar"/>
              </w:rPr>
              <w:t>施工生活垃圾集中收集后由环卫部门统一清运处理；</w:t>
            </w:r>
            <w:r>
              <w:rPr>
                <w:bCs/>
                <w:spacing w:val="10"/>
                <w:szCs w:val="21"/>
              </w:rPr>
              <w:t>弃土</w:t>
            </w:r>
            <w:r>
              <w:rPr>
                <w:rFonts w:hint="eastAsia"/>
                <w:bCs/>
                <w:spacing w:val="10"/>
                <w:szCs w:val="21"/>
              </w:rPr>
              <w:t>、建筑垃圾</w:t>
            </w:r>
            <w:r>
              <w:rPr>
                <w:bCs/>
                <w:spacing w:val="10"/>
                <w:szCs w:val="21"/>
              </w:rPr>
              <w:t>及时清运至</w:t>
            </w:r>
            <w:r>
              <w:rPr>
                <w:rFonts w:hint="eastAsia"/>
                <w:bCs/>
                <w:spacing w:val="10"/>
                <w:szCs w:val="21"/>
              </w:rPr>
              <w:t>当地建筑垃圾填埋场</w:t>
            </w:r>
          </w:p>
        </w:tc>
        <w:tc>
          <w:tcPr>
            <w:tcW w:w="1049" w:type="pct"/>
            <w:vAlign w:val="center"/>
          </w:tcPr>
          <w:p w14:paraId="1128280D">
            <w:pPr>
              <w:adjustRightInd w:val="0"/>
              <w:snapToGrid w:val="0"/>
              <w:spacing w:line="280" w:lineRule="exact"/>
              <w:jc w:val="center"/>
              <w:rPr>
                <w:szCs w:val="21"/>
              </w:rPr>
            </w:pPr>
            <w:r>
              <w:rPr>
                <w:szCs w:val="21"/>
              </w:rPr>
              <w:t>妥善处置</w:t>
            </w:r>
          </w:p>
        </w:tc>
        <w:tc>
          <w:tcPr>
            <w:tcW w:w="1192" w:type="pct"/>
            <w:vAlign w:val="center"/>
          </w:tcPr>
          <w:p w14:paraId="74F0BCFD">
            <w:pPr>
              <w:adjustRightInd w:val="0"/>
              <w:snapToGrid w:val="0"/>
              <w:spacing w:line="280" w:lineRule="exact"/>
              <w:jc w:val="center"/>
              <w:rPr>
                <w:szCs w:val="21"/>
              </w:rPr>
            </w:pPr>
            <w:r>
              <w:rPr>
                <w:rFonts w:hint="eastAsia"/>
                <w:szCs w:val="21"/>
              </w:rPr>
              <w:t>开采剥离物送至排土场规范堆存，表土后期用于矿区生态恢复治理；危险废物：暂存于危废贮存点，定期交由有资质单位处置</w:t>
            </w:r>
          </w:p>
        </w:tc>
        <w:tc>
          <w:tcPr>
            <w:tcW w:w="790" w:type="pct"/>
            <w:vAlign w:val="center"/>
          </w:tcPr>
          <w:p w14:paraId="7A8A24B2">
            <w:pPr>
              <w:adjustRightInd w:val="0"/>
              <w:snapToGrid w:val="0"/>
              <w:spacing w:line="280" w:lineRule="exact"/>
              <w:jc w:val="center"/>
              <w:rPr>
                <w:szCs w:val="21"/>
              </w:rPr>
            </w:pPr>
            <w:r>
              <w:rPr>
                <w:rFonts w:hint="eastAsia"/>
                <w:szCs w:val="21"/>
              </w:rPr>
              <w:t>妥善处置</w:t>
            </w:r>
          </w:p>
        </w:tc>
      </w:tr>
      <w:tr w14:paraId="21CA750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0" w:hRule="atLeast"/>
          <w:jc w:val="center"/>
        </w:trPr>
        <w:tc>
          <w:tcPr>
            <w:tcW w:w="709" w:type="pct"/>
            <w:gridSpan w:val="2"/>
            <w:vAlign w:val="center"/>
          </w:tcPr>
          <w:p w14:paraId="776C44A1">
            <w:pPr>
              <w:adjustRightInd w:val="0"/>
              <w:snapToGrid w:val="0"/>
              <w:spacing w:line="280" w:lineRule="exact"/>
              <w:jc w:val="center"/>
              <w:rPr>
                <w:szCs w:val="21"/>
              </w:rPr>
            </w:pPr>
            <w:r>
              <w:rPr>
                <w:szCs w:val="21"/>
              </w:rPr>
              <w:t>电磁环境</w:t>
            </w:r>
          </w:p>
        </w:tc>
        <w:tc>
          <w:tcPr>
            <w:tcW w:w="1260" w:type="pct"/>
            <w:vAlign w:val="center"/>
          </w:tcPr>
          <w:p w14:paraId="769E561E">
            <w:pPr>
              <w:adjustRightInd w:val="0"/>
              <w:snapToGrid w:val="0"/>
              <w:spacing w:line="280" w:lineRule="exact"/>
              <w:jc w:val="center"/>
              <w:rPr>
                <w:szCs w:val="21"/>
              </w:rPr>
            </w:pPr>
            <w:r>
              <w:rPr>
                <w:szCs w:val="21"/>
              </w:rPr>
              <w:t>/</w:t>
            </w:r>
          </w:p>
        </w:tc>
        <w:tc>
          <w:tcPr>
            <w:tcW w:w="1049" w:type="pct"/>
            <w:vAlign w:val="center"/>
          </w:tcPr>
          <w:p w14:paraId="1844E262">
            <w:pPr>
              <w:adjustRightInd w:val="0"/>
              <w:snapToGrid w:val="0"/>
              <w:spacing w:line="280" w:lineRule="exact"/>
              <w:jc w:val="center"/>
              <w:rPr>
                <w:szCs w:val="21"/>
              </w:rPr>
            </w:pPr>
            <w:r>
              <w:rPr>
                <w:szCs w:val="21"/>
              </w:rPr>
              <w:t>/</w:t>
            </w:r>
          </w:p>
        </w:tc>
        <w:tc>
          <w:tcPr>
            <w:tcW w:w="1192" w:type="pct"/>
            <w:vAlign w:val="center"/>
          </w:tcPr>
          <w:p w14:paraId="3DDF5AAC">
            <w:pPr>
              <w:adjustRightInd w:val="0"/>
              <w:snapToGrid w:val="0"/>
              <w:spacing w:line="280" w:lineRule="exact"/>
              <w:jc w:val="center"/>
              <w:rPr>
                <w:szCs w:val="21"/>
              </w:rPr>
            </w:pPr>
            <w:r>
              <w:rPr>
                <w:szCs w:val="21"/>
              </w:rPr>
              <w:t>/</w:t>
            </w:r>
          </w:p>
        </w:tc>
        <w:tc>
          <w:tcPr>
            <w:tcW w:w="790" w:type="pct"/>
            <w:vAlign w:val="center"/>
          </w:tcPr>
          <w:p w14:paraId="2A55A1C5">
            <w:pPr>
              <w:adjustRightInd w:val="0"/>
              <w:snapToGrid w:val="0"/>
              <w:spacing w:line="280" w:lineRule="exact"/>
              <w:jc w:val="center"/>
              <w:rPr>
                <w:szCs w:val="21"/>
              </w:rPr>
            </w:pPr>
            <w:r>
              <w:rPr>
                <w:szCs w:val="21"/>
              </w:rPr>
              <w:t>/</w:t>
            </w:r>
          </w:p>
        </w:tc>
      </w:tr>
      <w:tr w14:paraId="6249FDC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35" w:hRule="atLeast"/>
          <w:jc w:val="center"/>
        </w:trPr>
        <w:tc>
          <w:tcPr>
            <w:tcW w:w="709" w:type="pct"/>
            <w:gridSpan w:val="2"/>
            <w:vAlign w:val="center"/>
          </w:tcPr>
          <w:p w14:paraId="05530BA5">
            <w:pPr>
              <w:adjustRightInd w:val="0"/>
              <w:snapToGrid w:val="0"/>
              <w:spacing w:line="280" w:lineRule="exact"/>
              <w:jc w:val="center"/>
              <w:rPr>
                <w:szCs w:val="21"/>
              </w:rPr>
            </w:pPr>
            <w:r>
              <w:rPr>
                <w:szCs w:val="21"/>
              </w:rPr>
              <w:t>环境风险</w:t>
            </w:r>
          </w:p>
        </w:tc>
        <w:tc>
          <w:tcPr>
            <w:tcW w:w="1260" w:type="pct"/>
            <w:vAlign w:val="center"/>
          </w:tcPr>
          <w:p w14:paraId="124C80B1">
            <w:pPr>
              <w:adjustRightInd w:val="0"/>
              <w:snapToGrid w:val="0"/>
              <w:spacing w:line="280" w:lineRule="exact"/>
              <w:jc w:val="center"/>
              <w:rPr>
                <w:szCs w:val="21"/>
              </w:rPr>
            </w:pPr>
            <w:r>
              <w:rPr>
                <w:szCs w:val="21"/>
              </w:rPr>
              <w:t>/</w:t>
            </w:r>
          </w:p>
        </w:tc>
        <w:tc>
          <w:tcPr>
            <w:tcW w:w="1049" w:type="pct"/>
            <w:vAlign w:val="center"/>
          </w:tcPr>
          <w:p w14:paraId="15D609CF">
            <w:pPr>
              <w:adjustRightInd w:val="0"/>
              <w:snapToGrid w:val="0"/>
              <w:spacing w:line="280" w:lineRule="exact"/>
              <w:jc w:val="center"/>
              <w:rPr>
                <w:szCs w:val="21"/>
              </w:rPr>
            </w:pPr>
            <w:r>
              <w:rPr>
                <w:szCs w:val="21"/>
              </w:rPr>
              <w:t>/</w:t>
            </w:r>
          </w:p>
        </w:tc>
        <w:tc>
          <w:tcPr>
            <w:tcW w:w="1192" w:type="pct"/>
            <w:vAlign w:val="center"/>
          </w:tcPr>
          <w:p w14:paraId="3B63823C">
            <w:pPr>
              <w:adjustRightInd w:val="0"/>
              <w:snapToGrid w:val="0"/>
              <w:spacing w:line="280" w:lineRule="exact"/>
              <w:jc w:val="center"/>
              <w:rPr>
                <w:szCs w:val="21"/>
              </w:rPr>
            </w:pPr>
            <w:r>
              <w:rPr>
                <w:szCs w:val="21"/>
              </w:rPr>
              <w:t>/</w:t>
            </w:r>
          </w:p>
        </w:tc>
        <w:tc>
          <w:tcPr>
            <w:tcW w:w="790" w:type="pct"/>
            <w:vAlign w:val="center"/>
          </w:tcPr>
          <w:p w14:paraId="3A9E832A">
            <w:pPr>
              <w:adjustRightInd w:val="0"/>
              <w:snapToGrid w:val="0"/>
              <w:spacing w:line="280" w:lineRule="exact"/>
              <w:jc w:val="center"/>
              <w:rPr>
                <w:szCs w:val="21"/>
              </w:rPr>
            </w:pPr>
            <w:r>
              <w:rPr>
                <w:szCs w:val="21"/>
              </w:rPr>
              <w:t>/</w:t>
            </w:r>
          </w:p>
        </w:tc>
      </w:tr>
      <w:tr w14:paraId="3A49B82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02" w:hRule="atLeast"/>
          <w:jc w:val="center"/>
        </w:trPr>
        <w:tc>
          <w:tcPr>
            <w:tcW w:w="709" w:type="pct"/>
            <w:gridSpan w:val="2"/>
            <w:vAlign w:val="center"/>
          </w:tcPr>
          <w:p w14:paraId="616A92B5">
            <w:pPr>
              <w:adjustRightInd w:val="0"/>
              <w:snapToGrid w:val="0"/>
              <w:spacing w:line="280" w:lineRule="exact"/>
              <w:jc w:val="center"/>
              <w:rPr>
                <w:szCs w:val="21"/>
              </w:rPr>
            </w:pPr>
            <w:r>
              <w:rPr>
                <w:szCs w:val="21"/>
              </w:rPr>
              <w:t>环境监测</w:t>
            </w:r>
          </w:p>
        </w:tc>
        <w:tc>
          <w:tcPr>
            <w:tcW w:w="1260" w:type="pct"/>
            <w:vAlign w:val="center"/>
          </w:tcPr>
          <w:p w14:paraId="18B63ACB">
            <w:pPr>
              <w:adjustRightInd w:val="0"/>
              <w:snapToGrid w:val="0"/>
              <w:spacing w:line="280" w:lineRule="exact"/>
              <w:jc w:val="center"/>
              <w:rPr>
                <w:szCs w:val="21"/>
              </w:rPr>
            </w:pPr>
            <w:r>
              <w:rPr>
                <w:szCs w:val="21"/>
              </w:rPr>
              <w:t>/</w:t>
            </w:r>
          </w:p>
        </w:tc>
        <w:tc>
          <w:tcPr>
            <w:tcW w:w="1049" w:type="pct"/>
            <w:vAlign w:val="center"/>
          </w:tcPr>
          <w:p w14:paraId="5CDD2849">
            <w:pPr>
              <w:adjustRightInd w:val="0"/>
              <w:snapToGrid w:val="0"/>
              <w:spacing w:line="280" w:lineRule="exact"/>
              <w:jc w:val="center"/>
              <w:rPr>
                <w:szCs w:val="21"/>
              </w:rPr>
            </w:pPr>
            <w:r>
              <w:rPr>
                <w:szCs w:val="21"/>
              </w:rPr>
              <w:t>/</w:t>
            </w:r>
          </w:p>
        </w:tc>
        <w:tc>
          <w:tcPr>
            <w:tcW w:w="1192" w:type="pct"/>
            <w:vAlign w:val="center"/>
          </w:tcPr>
          <w:p w14:paraId="5F0C6F9F">
            <w:pPr>
              <w:adjustRightInd w:val="0"/>
              <w:snapToGrid w:val="0"/>
              <w:spacing w:line="280" w:lineRule="exact"/>
              <w:jc w:val="center"/>
              <w:rPr>
                <w:szCs w:val="21"/>
              </w:rPr>
            </w:pPr>
            <w:r>
              <w:rPr>
                <w:szCs w:val="21"/>
              </w:rPr>
              <w:t>/</w:t>
            </w:r>
          </w:p>
        </w:tc>
        <w:tc>
          <w:tcPr>
            <w:tcW w:w="790" w:type="pct"/>
            <w:vAlign w:val="center"/>
          </w:tcPr>
          <w:p w14:paraId="6ABC1BBF">
            <w:pPr>
              <w:adjustRightInd w:val="0"/>
              <w:snapToGrid w:val="0"/>
              <w:spacing w:line="280" w:lineRule="exact"/>
              <w:jc w:val="center"/>
              <w:rPr>
                <w:szCs w:val="21"/>
              </w:rPr>
            </w:pPr>
            <w:r>
              <w:rPr>
                <w:szCs w:val="21"/>
              </w:rPr>
              <w:t>/</w:t>
            </w:r>
          </w:p>
        </w:tc>
      </w:tr>
      <w:tr w14:paraId="2719BB5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97" w:hRule="atLeast"/>
          <w:jc w:val="center"/>
        </w:trPr>
        <w:tc>
          <w:tcPr>
            <w:tcW w:w="709" w:type="pct"/>
            <w:gridSpan w:val="2"/>
            <w:vAlign w:val="center"/>
          </w:tcPr>
          <w:p w14:paraId="23DB2FD7">
            <w:pPr>
              <w:adjustRightInd w:val="0"/>
              <w:snapToGrid w:val="0"/>
              <w:spacing w:line="280" w:lineRule="exact"/>
              <w:jc w:val="center"/>
              <w:rPr>
                <w:szCs w:val="21"/>
              </w:rPr>
            </w:pPr>
            <w:r>
              <w:rPr>
                <w:szCs w:val="21"/>
              </w:rPr>
              <w:t>其他</w:t>
            </w:r>
          </w:p>
        </w:tc>
        <w:tc>
          <w:tcPr>
            <w:tcW w:w="1260" w:type="pct"/>
            <w:vAlign w:val="center"/>
          </w:tcPr>
          <w:p w14:paraId="1780A3CD">
            <w:pPr>
              <w:adjustRightInd w:val="0"/>
              <w:snapToGrid w:val="0"/>
              <w:spacing w:line="280" w:lineRule="exact"/>
              <w:jc w:val="center"/>
              <w:rPr>
                <w:szCs w:val="21"/>
              </w:rPr>
            </w:pPr>
            <w:r>
              <w:rPr>
                <w:szCs w:val="21"/>
              </w:rPr>
              <w:t>/</w:t>
            </w:r>
          </w:p>
        </w:tc>
        <w:tc>
          <w:tcPr>
            <w:tcW w:w="1049" w:type="pct"/>
            <w:vAlign w:val="center"/>
          </w:tcPr>
          <w:p w14:paraId="4638591C">
            <w:pPr>
              <w:adjustRightInd w:val="0"/>
              <w:snapToGrid w:val="0"/>
              <w:spacing w:line="280" w:lineRule="exact"/>
              <w:jc w:val="center"/>
              <w:rPr>
                <w:szCs w:val="21"/>
              </w:rPr>
            </w:pPr>
            <w:r>
              <w:rPr>
                <w:szCs w:val="21"/>
              </w:rPr>
              <w:t>/</w:t>
            </w:r>
          </w:p>
        </w:tc>
        <w:tc>
          <w:tcPr>
            <w:tcW w:w="1192" w:type="pct"/>
            <w:vAlign w:val="center"/>
          </w:tcPr>
          <w:p w14:paraId="148C970B">
            <w:pPr>
              <w:adjustRightInd w:val="0"/>
              <w:snapToGrid w:val="0"/>
              <w:spacing w:line="280" w:lineRule="exact"/>
              <w:jc w:val="center"/>
              <w:rPr>
                <w:szCs w:val="21"/>
              </w:rPr>
            </w:pPr>
            <w:r>
              <w:rPr>
                <w:szCs w:val="21"/>
              </w:rPr>
              <w:t>/</w:t>
            </w:r>
          </w:p>
        </w:tc>
        <w:tc>
          <w:tcPr>
            <w:tcW w:w="790" w:type="pct"/>
            <w:vAlign w:val="center"/>
          </w:tcPr>
          <w:p w14:paraId="0881E50B">
            <w:pPr>
              <w:adjustRightInd w:val="0"/>
              <w:snapToGrid w:val="0"/>
              <w:spacing w:line="280" w:lineRule="exact"/>
              <w:jc w:val="center"/>
              <w:rPr>
                <w:szCs w:val="21"/>
              </w:rPr>
            </w:pPr>
            <w:r>
              <w:rPr>
                <w:szCs w:val="21"/>
              </w:rPr>
              <w:t>/</w:t>
            </w:r>
          </w:p>
        </w:tc>
      </w:tr>
    </w:tbl>
    <w:p w14:paraId="1573792B"/>
    <w:p w14:paraId="758B7617">
      <w:pPr>
        <w:pStyle w:val="21"/>
        <w:jc w:val="center"/>
        <w:outlineLvl w:val="0"/>
        <w:rPr>
          <w:rFonts w:ascii="黑体" w:hAnsi="黑体" w:eastAsia="黑体"/>
          <w:snapToGrid w:val="0"/>
          <w:sz w:val="30"/>
          <w:szCs w:val="30"/>
        </w:rPr>
        <w:sectPr>
          <w:footerReference r:id="rId6" w:type="default"/>
          <w:pgSz w:w="11906" w:h="16838"/>
          <w:pgMar w:top="1440" w:right="1800" w:bottom="1440" w:left="1800" w:header="851" w:footer="992" w:gutter="0"/>
          <w:cols w:space="720" w:num="1"/>
          <w:docGrid w:type="lines" w:linePitch="312" w:charSpace="0"/>
        </w:sectPr>
      </w:pPr>
    </w:p>
    <w:p w14:paraId="546A4576">
      <w:pPr>
        <w:pStyle w:val="21"/>
        <w:jc w:val="center"/>
        <w:outlineLvl w:val="0"/>
        <w:rPr>
          <w:rFonts w:ascii="黑体" w:hAnsi="黑体" w:eastAsia="黑体"/>
          <w:snapToGrid w:val="0"/>
          <w:sz w:val="30"/>
          <w:szCs w:val="30"/>
        </w:rPr>
      </w:pPr>
      <w:r>
        <w:rPr>
          <w:rFonts w:hint="eastAsia" w:ascii="黑体" w:hAnsi="黑体" w:eastAsia="黑体"/>
          <w:snapToGrid w:val="0"/>
          <w:sz w:val="30"/>
          <w:szCs w:val="30"/>
        </w:rPr>
        <w:t>七、结论</w:t>
      </w:r>
    </w:p>
    <w:tbl>
      <w:tblPr>
        <w:tblStyle w:val="29"/>
        <w:tblW w:w="928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289"/>
      </w:tblGrid>
      <w:tr w14:paraId="67463F1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349" w:hRule="atLeast"/>
          <w:jc w:val="center"/>
        </w:trPr>
        <w:tc>
          <w:tcPr>
            <w:tcW w:w="9289" w:type="dxa"/>
            <w:vAlign w:val="center"/>
          </w:tcPr>
          <w:p w14:paraId="0020F4F9">
            <w:pPr>
              <w:spacing w:line="480" w:lineRule="exact"/>
              <w:ind w:firstLine="480" w:firstLineChars="200"/>
              <w:rPr>
                <w:sz w:val="24"/>
              </w:rPr>
            </w:pPr>
            <w:r>
              <w:rPr>
                <w:sz w:val="24"/>
              </w:rPr>
              <w:t>从环保角度来看，</w:t>
            </w:r>
            <w:r>
              <w:rPr>
                <w:rFonts w:hint="eastAsia"/>
                <w:sz w:val="24"/>
              </w:rPr>
              <w:t>盂县石鑫矿业有限公司年开采饰面用花岗岩2万m</w:t>
            </w:r>
            <w:r>
              <w:rPr>
                <w:rFonts w:hint="eastAsia"/>
                <w:sz w:val="24"/>
                <w:vertAlign w:val="superscript"/>
              </w:rPr>
              <w:t>3</w:t>
            </w:r>
            <w:r>
              <w:rPr>
                <w:rFonts w:hint="eastAsia"/>
                <w:sz w:val="24"/>
              </w:rPr>
              <w:t>扩建项目是</w:t>
            </w:r>
            <w:r>
              <w:rPr>
                <w:sz w:val="24"/>
              </w:rPr>
              <w:t>可行</w:t>
            </w:r>
            <w:r>
              <w:rPr>
                <w:rFonts w:hint="eastAsia"/>
                <w:sz w:val="24"/>
              </w:rPr>
              <w:t>的。</w:t>
            </w:r>
          </w:p>
          <w:p w14:paraId="3194B88E">
            <w:pPr>
              <w:adjustRightInd w:val="0"/>
              <w:snapToGrid w:val="0"/>
              <w:ind w:firstLine="315"/>
              <w:rPr>
                <w:rFonts w:ascii="宋体" w:hAnsi="宋体" w:cs="宋体"/>
                <w:szCs w:val="21"/>
              </w:rPr>
            </w:pPr>
          </w:p>
        </w:tc>
      </w:tr>
    </w:tbl>
    <w:p w14:paraId="665019CC"/>
    <w:sectPr>
      <w:footerReference r:id="rId7" w:type="default"/>
      <w:pgSz w:w="11906" w:h="16838"/>
      <w:pgMar w:top="1440" w:right="1134" w:bottom="1440" w:left="1134"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8"/>
    <w:family w:val="auto"/>
    <w:pitch w:val="default"/>
    <w:sig w:usb0="E0002EFF" w:usb1="C000785B" w:usb2="00000009" w:usb3="00000000" w:csb0="400001FF" w:csb1="FFFF0000"/>
  </w:font>
  <w:font w:name="宋体">
    <w:panose1 w:val="02010600030101010101"/>
    <w:charset w:val="A1"/>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embedRegular r:id="rId1" w:fontKey="{1B20CEE2-3A8F-42D9-A298-D3FADEE1DBD7}"/>
  </w:font>
  <w:font w:name="黑体">
    <w:altName w:val="黑体"/>
    <w:panose1 w:val="02010609060101010101"/>
    <w:charset w:val="86"/>
    <w:family w:val="auto"/>
    <w:pitch w:val="default"/>
    <w:sig w:usb0="800002BF" w:usb1="38CF7CFA" w:usb2="00000016" w:usb3="00000000" w:csb0="00040001" w:csb1="00000000"/>
    <w:embedRegular r:id="rId2" w:fontKey="{6D564B45-3551-444C-8D64-5CF23935C8D7}"/>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ACF3C50" w:usb2="00000016" w:usb3="00000000" w:csb0="0004001F" w:csb1="00000000"/>
    <w:embedRegular r:id="rId3" w:fontKey="{413DDBA7-6140-4CE6-BF80-01DA5E0D0287}"/>
  </w:font>
  <w:font w:name="仿宋_GB2312">
    <w:altName w:val="微软雅黑"/>
    <w:panose1 w:val="00000000000000000000"/>
    <w:charset w:val="86"/>
    <w:family w:val="modern"/>
    <w:pitch w:val="default"/>
    <w:sig w:usb0="00000000" w:usb1="00000000" w:usb2="00000000" w:usb3="00000000" w:csb0="00040000" w:csb1="00000000"/>
    <w:embedRegular r:id="rId4" w:fontKey="{03B6C4DD-1C10-4303-A29D-0789589D6914}"/>
  </w:font>
  <w:font w:name="仿宋">
    <w:panose1 w:val="02010609060101010101"/>
    <w:charset w:val="86"/>
    <w:family w:val="modern"/>
    <w:pitch w:val="default"/>
    <w:sig w:usb0="800002BF" w:usb1="38CF7CFA" w:usb2="00000016" w:usb3="00000000" w:csb0="00040001" w:csb1="00000000"/>
    <w:embedRegular r:id="rId5" w:fontKey="{C7AB86E3-8F2F-4D07-8484-25BE50CAAE60}"/>
  </w:font>
  <w:font w:name="方正小标宋_GBK">
    <w:panose1 w:val="02000000000000000000"/>
    <w:charset w:val="86"/>
    <w:family w:val="script"/>
    <w:pitch w:val="default"/>
    <w:sig w:usb0="A00002BF" w:usb1="38CF7CFA" w:usb2="00082016" w:usb3="00000000" w:csb0="00040001" w:csb1="00000000"/>
    <w:embedRegular r:id="rId6" w:fontKey="{D00DEC83-B811-4B77-81F5-C18A28BBEDB1}"/>
  </w:font>
  <w:font w:name="楷体_GB2312">
    <w:altName w:val="微软雅黑"/>
    <w:panose1 w:val="00000000000000000000"/>
    <w:charset w:val="86"/>
    <w:family w:val="modern"/>
    <w:pitch w:val="default"/>
    <w:sig w:usb0="00000000" w:usb1="00000000" w:usb2="00000010" w:usb3="00000000" w:csb0="00040000" w:csb1="00000000"/>
    <w:embedRegular r:id="rId7" w:fontKey="{EAB0604E-F79E-4A14-8CB3-FB7EE2CF2E3E}"/>
  </w:font>
  <w:font w:name="楷体">
    <w:altName w:val="宋体"/>
    <w:panose1 w:val="02010609060101010101"/>
    <w:charset w:val="86"/>
    <w:family w:val="auto"/>
    <w:pitch w:val="default"/>
    <w:sig w:usb0="00000000" w:usb1="00000000" w:usb2="00000016" w:usb3="00000000" w:csb0="00040001" w:csb1="00000000"/>
  </w:font>
  <w:font w:name="Wingdings 2">
    <w:panose1 w:val="05020102010507070707"/>
    <w:charset w:val="02"/>
    <w:family w:val="roman"/>
    <w:pitch w:val="default"/>
    <w:sig w:usb0="00000000" w:usb1="00000000" w:usb2="00000000" w:usb3="00000000" w:csb0="80000000" w:csb1="00000000"/>
    <w:embedRegular r:id="rId8" w:fontKey="{A29F2CFA-36A8-4B9B-8393-E9A1F671D716}"/>
  </w:font>
  <w:font w:name="CIDFont+F2">
    <w:altName w:val="宋体"/>
    <w:panose1 w:val="00000000000000000000"/>
    <w:charset w:val="86"/>
    <w:family w:val="auto"/>
    <w:pitch w:val="default"/>
    <w:sig w:usb0="00000000" w:usb1="00000000" w:usb2="00000000" w:usb3="00000000" w:csb0="00040000" w:csb1="00000000"/>
    <w:embedRegular r:id="rId9" w:fontKey="{81A97FC5-9CA3-4BA9-8A76-8BE055383EEF}"/>
  </w:font>
  <w:font w:name="等线">
    <w:panose1 w:val="02010600030101010101"/>
    <w:charset w:val="86"/>
    <w:family w:val="auto"/>
    <w:pitch w:val="default"/>
    <w:sig w:usb0="A00002BF" w:usb1="38CF7CFA" w:usb2="00000016" w:usb3="00000000" w:csb0="0004000F" w:csb1="00000000"/>
    <w:embedRegular r:id="rId10" w:fontKey="{2CCF940A-642A-4029-BB3B-36799ABEE890}"/>
  </w:font>
  <w:font w:name="WPSEMBED3">
    <w:panose1 w:val="02000000000000000000"/>
    <w:charset w:val="86"/>
    <w:family w:val="auto"/>
    <w:pitch w:val="default"/>
    <w:sig w:usb0="A00002BF" w:usb1="38CF7CFA" w:usb2="00082016" w:usb3="00000000" w:csb0="00040001" w:csb1="00000000"/>
  </w:font>
  <w:font w:name="KSOF17264B27">
    <w:panose1 w:val="020B0503020204020204"/>
    <w:charset w:val="86"/>
    <w:family w:val="auto"/>
    <w:pitch w:val="default"/>
    <w:sig w:usb0="00000001" w:usb1="00000000" w:usb2="00000000" w:usb3="00000000" w:csb0="00040001" w:csb1="00000000"/>
  </w:font>
  <w:font w:name="WPSEMBED1">
    <w:panose1 w:val="02010609060101010101"/>
    <w:charset w:val="86"/>
    <w:family w:val="auto"/>
    <w:pitch w:val="default"/>
    <w:sig w:usb0="800002BF" w:usb1="38CF7CFA" w:usb2="00000016" w:usb3="00000000" w:csb0="00040001" w:csb1="00000000"/>
  </w:font>
  <w:font w:name="WPSEMBED4">
    <w:panose1 w:val="05020102010507070707"/>
    <w:charset w:val="00"/>
    <w:family w:val="auto"/>
    <w:pitch w:val="default"/>
    <w:sig w:usb0="00000000" w:usb1="00000000" w:usb2="00000000" w:usb3="00000000" w:csb0="80000000" w:csb1="00000000"/>
  </w:font>
  <w:font w:name="WPSEMBED2">
    <w:panose1 w:val="02010609060101010101"/>
    <w:charset w:val="86"/>
    <w:family w:val="auto"/>
    <w:pitch w:val="default"/>
    <w:sig w:usb0="800002BF" w:usb1="38CF7CFA" w:usb2="00000016" w:usb3="00000000" w:csb0="00040001" w:csb1="00000000"/>
  </w:font>
  <w:font w:name="WPSEMBED5">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F22D78">
    <w:pPr>
      <w:pStyle w:val="23"/>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4FC9A6">
    <w:pPr>
      <w:pStyle w:val="23"/>
      <w:framePr w:wrap="around" w:vAnchor="text" w:hAnchor="margin" w:xAlign="outside" w:y="1"/>
      <w:rPr>
        <w:rStyle w:val="33"/>
      </w:rPr>
    </w:pPr>
    <w:r>
      <w:rPr>
        <w:rStyle w:val="33"/>
      </w:rPr>
      <w:fldChar w:fldCharType="begin"/>
    </w:r>
    <w:r>
      <w:rPr>
        <w:rStyle w:val="33"/>
      </w:rPr>
      <w:instrText xml:space="preserve">PAGE  </w:instrText>
    </w:r>
    <w:r>
      <w:rPr>
        <w:rStyle w:val="33"/>
      </w:rPr>
      <w:fldChar w:fldCharType="end"/>
    </w:r>
  </w:p>
  <w:p w14:paraId="51971AB7">
    <w:pPr>
      <w:pStyle w:val="23"/>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F74DFD">
    <w:pPr>
      <w:pStyle w:val="23"/>
      <w:ind w:right="360" w:firstLine="360"/>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F2CAC26">
                          <w:pPr>
                            <w:pStyle w:val="2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14:paraId="3F2CAC26">
                    <w:pPr>
                      <w:pStyle w:val="2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B7F1C9">
    <w:pPr>
      <w:pStyle w:val="23"/>
      <w:ind w:right="360" w:firstLine="360"/>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501D424">
                          <w:pPr>
                            <w:pStyle w:val="23"/>
                          </w:pPr>
                          <w:r>
                            <w:fldChar w:fldCharType="begin"/>
                          </w:r>
                          <w:r>
                            <w:instrText xml:space="preserve"> PAGE  \* MERGEFORMAT </w:instrText>
                          </w:r>
                          <w:r>
                            <w:fldChar w:fldCharType="separate"/>
                          </w:r>
                          <w:r>
                            <w:t>120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14:paraId="2501D424">
                    <w:pPr>
                      <w:pStyle w:val="23"/>
                    </w:pPr>
                    <w:r>
                      <w:fldChar w:fldCharType="begin"/>
                    </w:r>
                    <w:r>
                      <w:instrText xml:space="preserve"> PAGE  \* MERGEFORMAT </w:instrText>
                    </w:r>
                    <w:r>
                      <w:fldChar w:fldCharType="separate"/>
                    </w:r>
                    <w:r>
                      <w:t>120</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814BC6">
    <w:pPr>
      <w:pStyle w:val="23"/>
      <w:ind w:right="360" w:firstLine="360"/>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C2176FD">
                          <w:pPr>
                            <w:pStyle w:val="23"/>
                          </w:pPr>
                          <w:r>
                            <w:fldChar w:fldCharType="begin"/>
                          </w:r>
                          <w:r>
                            <w:instrText xml:space="preserve"> PAGE  \* MERGEFORMAT </w:instrText>
                          </w:r>
                          <w:r>
                            <w:fldChar w:fldCharType="separate"/>
                          </w:r>
                          <w:r>
                            <w:t>123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14:paraId="5C2176FD">
                    <w:pPr>
                      <w:pStyle w:val="23"/>
                    </w:pPr>
                    <w:r>
                      <w:fldChar w:fldCharType="begin"/>
                    </w:r>
                    <w:r>
                      <w:instrText xml:space="preserve"> PAGE  \* MERGEFORMAT </w:instrText>
                    </w:r>
                    <w:r>
                      <w:fldChar w:fldCharType="separate"/>
                    </w:r>
                    <w:r>
                      <w:t>123</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C471CCF"/>
    <w:multiLevelType w:val="singleLevel"/>
    <w:tmpl w:val="EC471CCF"/>
    <w:lvl w:ilvl="0" w:tentative="0">
      <w:start w:val="4"/>
      <w:numFmt w:val="chineseCounting"/>
      <w:suff w:val="nothing"/>
      <w:lvlText w:val="%1、"/>
      <w:lvlJc w:val="left"/>
      <w:rPr>
        <w:rFonts w:hint="eastAsia"/>
      </w:rPr>
    </w:lvl>
  </w:abstractNum>
  <w:abstractNum w:abstractNumId="1">
    <w:nsid w:val="0FAE94AC"/>
    <w:multiLevelType w:val="singleLevel"/>
    <w:tmpl w:val="0FAE94AC"/>
    <w:lvl w:ilvl="0" w:tentative="0">
      <w:start w:val="2"/>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TrueTypeFonts/>
  <w:saveSubsetFonts/>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doNotHyphenateCaps/>
  <w:drawingGridHorizontalSpacing w:val="105"/>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WFkZDJjMTc0Yzg1MDJlYzgxZmI4YmVkMzU4NWYyNDgifQ=="/>
  </w:docVars>
  <w:rsids>
    <w:rsidRoot w:val="00172A27"/>
    <w:rsid w:val="00001CED"/>
    <w:rsid w:val="00001E67"/>
    <w:rsid w:val="00003CD8"/>
    <w:rsid w:val="00012B7C"/>
    <w:rsid w:val="00014965"/>
    <w:rsid w:val="0001523A"/>
    <w:rsid w:val="00016ECB"/>
    <w:rsid w:val="0002199B"/>
    <w:rsid w:val="0002513D"/>
    <w:rsid w:val="000269F6"/>
    <w:rsid w:val="00031939"/>
    <w:rsid w:val="00032D25"/>
    <w:rsid w:val="00036163"/>
    <w:rsid w:val="0005219D"/>
    <w:rsid w:val="0005568F"/>
    <w:rsid w:val="0006153D"/>
    <w:rsid w:val="00061B1F"/>
    <w:rsid w:val="000664DB"/>
    <w:rsid w:val="00066FE5"/>
    <w:rsid w:val="000710C1"/>
    <w:rsid w:val="0007127D"/>
    <w:rsid w:val="000718C6"/>
    <w:rsid w:val="00071AE5"/>
    <w:rsid w:val="00074783"/>
    <w:rsid w:val="000801E0"/>
    <w:rsid w:val="00082A29"/>
    <w:rsid w:val="00082DA9"/>
    <w:rsid w:val="0008331D"/>
    <w:rsid w:val="00083C18"/>
    <w:rsid w:val="000846D6"/>
    <w:rsid w:val="00092899"/>
    <w:rsid w:val="000A178E"/>
    <w:rsid w:val="000A1CF9"/>
    <w:rsid w:val="000A356C"/>
    <w:rsid w:val="000A557E"/>
    <w:rsid w:val="000A68F7"/>
    <w:rsid w:val="000B058F"/>
    <w:rsid w:val="000B3631"/>
    <w:rsid w:val="000B63EC"/>
    <w:rsid w:val="000B693F"/>
    <w:rsid w:val="000C09AC"/>
    <w:rsid w:val="000C0A63"/>
    <w:rsid w:val="000C437E"/>
    <w:rsid w:val="000C4EF6"/>
    <w:rsid w:val="000E5F16"/>
    <w:rsid w:val="000F4452"/>
    <w:rsid w:val="000F5233"/>
    <w:rsid w:val="000F6DA1"/>
    <w:rsid w:val="000F701B"/>
    <w:rsid w:val="00102924"/>
    <w:rsid w:val="001056A0"/>
    <w:rsid w:val="00115279"/>
    <w:rsid w:val="001165C3"/>
    <w:rsid w:val="00117459"/>
    <w:rsid w:val="0011749A"/>
    <w:rsid w:val="001212E3"/>
    <w:rsid w:val="00127A68"/>
    <w:rsid w:val="001304EE"/>
    <w:rsid w:val="0013127A"/>
    <w:rsid w:val="001325F3"/>
    <w:rsid w:val="00140B13"/>
    <w:rsid w:val="00141B68"/>
    <w:rsid w:val="001466DA"/>
    <w:rsid w:val="00150F2E"/>
    <w:rsid w:val="0015108A"/>
    <w:rsid w:val="00154DE1"/>
    <w:rsid w:val="00155B40"/>
    <w:rsid w:val="00157435"/>
    <w:rsid w:val="00161407"/>
    <w:rsid w:val="00163EEA"/>
    <w:rsid w:val="00167A07"/>
    <w:rsid w:val="0017046A"/>
    <w:rsid w:val="001704A3"/>
    <w:rsid w:val="00171A19"/>
    <w:rsid w:val="00172A27"/>
    <w:rsid w:val="0017504D"/>
    <w:rsid w:val="00177422"/>
    <w:rsid w:val="00184F10"/>
    <w:rsid w:val="00185546"/>
    <w:rsid w:val="0019146B"/>
    <w:rsid w:val="001926EE"/>
    <w:rsid w:val="00194398"/>
    <w:rsid w:val="001A7638"/>
    <w:rsid w:val="001A7D2A"/>
    <w:rsid w:val="001B2BEE"/>
    <w:rsid w:val="001B574C"/>
    <w:rsid w:val="001C0AF9"/>
    <w:rsid w:val="001C155A"/>
    <w:rsid w:val="001C48C0"/>
    <w:rsid w:val="001C6B7D"/>
    <w:rsid w:val="001D08F1"/>
    <w:rsid w:val="001D6726"/>
    <w:rsid w:val="001E3E53"/>
    <w:rsid w:val="001E7587"/>
    <w:rsid w:val="001F3347"/>
    <w:rsid w:val="001F39B0"/>
    <w:rsid w:val="001F4440"/>
    <w:rsid w:val="001F69E4"/>
    <w:rsid w:val="00201B63"/>
    <w:rsid w:val="00206A65"/>
    <w:rsid w:val="00206B14"/>
    <w:rsid w:val="00212D31"/>
    <w:rsid w:val="002130C7"/>
    <w:rsid w:val="00214DEC"/>
    <w:rsid w:val="002218A8"/>
    <w:rsid w:val="0022306D"/>
    <w:rsid w:val="00226574"/>
    <w:rsid w:val="002278EC"/>
    <w:rsid w:val="00227EE1"/>
    <w:rsid w:val="002357C7"/>
    <w:rsid w:val="002367C4"/>
    <w:rsid w:val="00236DA2"/>
    <w:rsid w:val="0024381F"/>
    <w:rsid w:val="00252FE0"/>
    <w:rsid w:val="00253025"/>
    <w:rsid w:val="0025679E"/>
    <w:rsid w:val="00260C68"/>
    <w:rsid w:val="00263504"/>
    <w:rsid w:val="002648B0"/>
    <w:rsid w:val="00267050"/>
    <w:rsid w:val="00275271"/>
    <w:rsid w:val="0027535E"/>
    <w:rsid w:val="00275AA6"/>
    <w:rsid w:val="00277182"/>
    <w:rsid w:val="002807D5"/>
    <w:rsid w:val="00282CCD"/>
    <w:rsid w:val="002921F7"/>
    <w:rsid w:val="00295DAF"/>
    <w:rsid w:val="002A168C"/>
    <w:rsid w:val="002A1A82"/>
    <w:rsid w:val="002A2633"/>
    <w:rsid w:val="002A2C48"/>
    <w:rsid w:val="002A34FE"/>
    <w:rsid w:val="002A3EED"/>
    <w:rsid w:val="002A4A39"/>
    <w:rsid w:val="002A5A17"/>
    <w:rsid w:val="002A6425"/>
    <w:rsid w:val="002B49E2"/>
    <w:rsid w:val="002B7B00"/>
    <w:rsid w:val="002B7C44"/>
    <w:rsid w:val="002C1149"/>
    <w:rsid w:val="002C1388"/>
    <w:rsid w:val="002C22C9"/>
    <w:rsid w:val="002C39D5"/>
    <w:rsid w:val="002C3C6A"/>
    <w:rsid w:val="002C517D"/>
    <w:rsid w:val="002C70A2"/>
    <w:rsid w:val="002D42DB"/>
    <w:rsid w:val="002D636A"/>
    <w:rsid w:val="002E1F3A"/>
    <w:rsid w:val="002E298A"/>
    <w:rsid w:val="002F02A4"/>
    <w:rsid w:val="002F10F7"/>
    <w:rsid w:val="002F272B"/>
    <w:rsid w:val="002F7C6D"/>
    <w:rsid w:val="003025E3"/>
    <w:rsid w:val="003027E4"/>
    <w:rsid w:val="0030332C"/>
    <w:rsid w:val="00303E71"/>
    <w:rsid w:val="00312296"/>
    <w:rsid w:val="0031340E"/>
    <w:rsid w:val="0031380D"/>
    <w:rsid w:val="003158F2"/>
    <w:rsid w:val="00316464"/>
    <w:rsid w:val="0032073A"/>
    <w:rsid w:val="00321D8E"/>
    <w:rsid w:val="00334996"/>
    <w:rsid w:val="00336969"/>
    <w:rsid w:val="00336C52"/>
    <w:rsid w:val="00341B3E"/>
    <w:rsid w:val="00341B42"/>
    <w:rsid w:val="00345154"/>
    <w:rsid w:val="0034560E"/>
    <w:rsid w:val="00350523"/>
    <w:rsid w:val="00352975"/>
    <w:rsid w:val="00352B75"/>
    <w:rsid w:val="00356868"/>
    <w:rsid w:val="00361F15"/>
    <w:rsid w:val="00361FA6"/>
    <w:rsid w:val="003623E0"/>
    <w:rsid w:val="0036485B"/>
    <w:rsid w:val="00372E8A"/>
    <w:rsid w:val="00373B0D"/>
    <w:rsid w:val="00376988"/>
    <w:rsid w:val="00381A72"/>
    <w:rsid w:val="003A1948"/>
    <w:rsid w:val="003B152A"/>
    <w:rsid w:val="003B157A"/>
    <w:rsid w:val="003B545B"/>
    <w:rsid w:val="003C6FE5"/>
    <w:rsid w:val="003D3EE9"/>
    <w:rsid w:val="003E140B"/>
    <w:rsid w:val="003E27BF"/>
    <w:rsid w:val="003E7681"/>
    <w:rsid w:val="003F0809"/>
    <w:rsid w:val="003F611C"/>
    <w:rsid w:val="003F755C"/>
    <w:rsid w:val="003F7A4C"/>
    <w:rsid w:val="00401597"/>
    <w:rsid w:val="00403857"/>
    <w:rsid w:val="004051BC"/>
    <w:rsid w:val="00405DC8"/>
    <w:rsid w:val="00406F01"/>
    <w:rsid w:val="00411B36"/>
    <w:rsid w:val="004121D7"/>
    <w:rsid w:val="00415218"/>
    <w:rsid w:val="00416848"/>
    <w:rsid w:val="00416D50"/>
    <w:rsid w:val="00417772"/>
    <w:rsid w:val="00420E6A"/>
    <w:rsid w:val="00433CA9"/>
    <w:rsid w:val="0043521D"/>
    <w:rsid w:val="00442024"/>
    <w:rsid w:val="0044254C"/>
    <w:rsid w:val="00443F6A"/>
    <w:rsid w:val="00450622"/>
    <w:rsid w:val="00450A17"/>
    <w:rsid w:val="00466321"/>
    <w:rsid w:val="004672AF"/>
    <w:rsid w:val="004700EA"/>
    <w:rsid w:val="00470C94"/>
    <w:rsid w:val="004727B0"/>
    <w:rsid w:val="00480247"/>
    <w:rsid w:val="0048081D"/>
    <w:rsid w:val="0048117E"/>
    <w:rsid w:val="00484AC9"/>
    <w:rsid w:val="004855F6"/>
    <w:rsid w:val="00486F0C"/>
    <w:rsid w:val="00494670"/>
    <w:rsid w:val="004A0EB4"/>
    <w:rsid w:val="004A3823"/>
    <w:rsid w:val="004A59BB"/>
    <w:rsid w:val="004A5B9F"/>
    <w:rsid w:val="004B43A3"/>
    <w:rsid w:val="004B4C49"/>
    <w:rsid w:val="004B5117"/>
    <w:rsid w:val="004B58A5"/>
    <w:rsid w:val="004B63D9"/>
    <w:rsid w:val="004C0882"/>
    <w:rsid w:val="004C46E4"/>
    <w:rsid w:val="004C55BE"/>
    <w:rsid w:val="004D5F27"/>
    <w:rsid w:val="004E5B30"/>
    <w:rsid w:val="004F0779"/>
    <w:rsid w:val="004F1230"/>
    <w:rsid w:val="004F173F"/>
    <w:rsid w:val="004F177C"/>
    <w:rsid w:val="004F2DCE"/>
    <w:rsid w:val="004F7460"/>
    <w:rsid w:val="005006C1"/>
    <w:rsid w:val="005039CB"/>
    <w:rsid w:val="0050550B"/>
    <w:rsid w:val="0050558F"/>
    <w:rsid w:val="005057E0"/>
    <w:rsid w:val="00506286"/>
    <w:rsid w:val="00510813"/>
    <w:rsid w:val="00511DE0"/>
    <w:rsid w:val="00517F02"/>
    <w:rsid w:val="00523448"/>
    <w:rsid w:val="00524547"/>
    <w:rsid w:val="005258A2"/>
    <w:rsid w:val="00530F7C"/>
    <w:rsid w:val="00534567"/>
    <w:rsid w:val="00534F43"/>
    <w:rsid w:val="00535A84"/>
    <w:rsid w:val="00536889"/>
    <w:rsid w:val="00542E07"/>
    <w:rsid w:val="00553657"/>
    <w:rsid w:val="00554A7B"/>
    <w:rsid w:val="0055572C"/>
    <w:rsid w:val="0056064F"/>
    <w:rsid w:val="00561B84"/>
    <w:rsid w:val="005701C8"/>
    <w:rsid w:val="00571D98"/>
    <w:rsid w:val="005720AE"/>
    <w:rsid w:val="005740C0"/>
    <w:rsid w:val="0058030D"/>
    <w:rsid w:val="00581718"/>
    <w:rsid w:val="00582045"/>
    <w:rsid w:val="00582333"/>
    <w:rsid w:val="00590AE3"/>
    <w:rsid w:val="005918F1"/>
    <w:rsid w:val="005A06B7"/>
    <w:rsid w:val="005A1759"/>
    <w:rsid w:val="005A4F39"/>
    <w:rsid w:val="005C3B48"/>
    <w:rsid w:val="005C76D1"/>
    <w:rsid w:val="005D0369"/>
    <w:rsid w:val="005D53FE"/>
    <w:rsid w:val="005D602C"/>
    <w:rsid w:val="005D769E"/>
    <w:rsid w:val="005D7A0F"/>
    <w:rsid w:val="005E0438"/>
    <w:rsid w:val="005E1791"/>
    <w:rsid w:val="005E2CE6"/>
    <w:rsid w:val="005E4C7B"/>
    <w:rsid w:val="005E6324"/>
    <w:rsid w:val="005F152E"/>
    <w:rsid w:val="005F228B"/>
    <w:rsid w:val="005F29CD"/>
    <w:rsid w:val="005F4DFB"/>
    <w:rsid w:val="005F6CC0"/>
    <w:rsid w:val="00603E5B"/>
    <w:rsid w:val="00604BC8"/>
    <w:rsid w:val="00615B4C"/>
    <w:rsid w:val="00615B5D"/>
    <w:rsid w:val="0062146F"/>
    <w:rsid w:val="00624F60"/>
    <w:rsid w:val="006321F6"/>
    <w:rsid w:val="006343AF"/>
    <w:rsid w:val="0063634A"/>
    <w:rsid w:val="0064250D"/>
    <w:rsid w:val="00652202"/>
    <w:rsid w:val="006535EB"/>
    <w:rsid w:val="00656264"/>
    <w:rsid w:val="00662673"/>
    <w:rsid w:val="00662F94"/>
    <w:rsid w:val="00663016"/>
    <w:rsid w:val="00663995"/>
    <w:rsid w:val="0067392B"/>
    <w:rsid w:val="00674605"/>
    <w:rsid w:val="006748B8"/>
    <w:rsid w:val="0068535B"/>
    <w:rsid w:val="0068736E"/>
    <w:rsid w:val="006918C9"/>
    <w:rsid w:val="0069290A"/>
    <w:rsid w:val="00692D31"/>
    <w:rsid w:val="00697032"/>
    <w:rsid w:val="006975AC"/>
    <w:rsid w:val="006A15FB"/>
    <w:rsid w:val="006A72BF"/>
    <w:rsid w:val="006B2BA4"/>
    <w:rsid w:val="006B332A"/>
    <w:rsid w:val="006B33BD"/>
    <w:rsid w:val="006C3F75"/>
    <w:rsid w:val="006C7BDD"/>
    <w:rsid w:val="006D170E"/>
    <w:rsid w:val="006E06AF"/>
    <w:rsid w:val="006E42A2"/>
    <w:rsid w:val="006F1789"/>
    <w:rsid w:val="00703BB6"/>
    <w:rsid w:val="00706C5D"/>
    <w:rsid w:val="007118E6"/>
    <w:rsid w:val="0072207F"/>
    <w:rsid w:val="007225C9"/>
    <w:rsid w:val="00723560"/>
    <w:rsid w:val="00724259"/>
    <w:rsid w:val="00735ABD"/>
    <w:rsid w:val="00735CD7"/>
    <w:rsid w:val="00741BD9"/>
    <w:rsid w:val="00754034"/>
    <w:rsid w:val="00754BF1"/>
    <w:rsid w:val="00755A30"/>
    <w:rsid w:val="00755E1C"/>
    <w:rsid w:val="00756556"/>
    <w:rsid w:val="0076132B"/>
    <w:rsid w:val="007623AE"/>
    <w:rsid w:val="00762746"/>
    <w:rsid w:val="00770B19"/>
    <w:rsid w:val="00774FA0"/>
    <w:rsid w:val="00776620"/>
    <w:rsid w:val="007768C1"/>
    <w:rsid w:val="00777B6D"/>
    <w:rsid w:val="00784855"/>
    <w:rsid w:val="00784F39"/>
    <w:rsid w:val="0078545C"/>
    <w:rsid w:val="00787513"/>
    <w:rsid w:val="007906C4"/>
    <w:rsid w:val="007940EA"/>
    <w:rsid w:val="007967E8"/>
    <w:rsid w:val="007976CA"/>
    <w:rsid w:val="007A512F"/>
    <w:rsid w:val="007A63F2"/>
    <w:rsid w:val="007B68DE"/>
    <w:rsid w:val="007C1857"/>
    <w:rsid w:val="007C514F"/>
    <w:rsid w:val="007D0F95"/>
    <w:rsid w:val="007D7ECB"/>
    <w:rsid w:val="007E25A1"/>
    <w:rsid w:val="007E4BD2"/>
    <w:rsid w:val="007E7145"/>
    <w:rsid w:val="007E7D42"/>
    <w:rsid w:val="007F0FF1"/>
    <w:rsid w:val="007F15A0"/>
    <w:rsid w:val="007F3542"/>
    <w:rsid w:val="007F3916"/>
    <w:rsid w:val="00801179"/>
    <w:rsid w:val="00802479"/>
    <w:rsid w:val="00805372"/>
    <w:rsid w:val="00805B7B"/>
    <w:rsid w:val="00812001"/>
    <w:rsid w:val="0081293E"/>
    <w:rsid w:val="00814FFB"/>
    <w:rsid w:val="00820568"/>
    <w:rsid w:val="00821620"/>
    <w:rsid w:val="00821B9F"/>
    <w:rsid w:val="00831A80"/>
    <w:rsid w:val="008332C8"/>
    <w:rsid w:val="00833743"/>
    <w:rsid w:val="008340A4"/>
    <w:rsid w:val="00836799"/>
    <w:rsid w:val="00837028"/>
    <w:rsid w:val="00837131"/>
    <w:rsid w:val="008429C2"/>
    <w:rsid w:val="00844B03"/>
    <w:rsid w:val="00845F57"/>
    <w:rsid w:val="00850458"/>
    <w:rsid w:val="008521E0"/>
    <w:rsid w:val="008525B0"/>
    <w:rsid w:val="008542F0"/>
    <w:rsid w:val="00862B8B"/>
    <w:rsid w:val="00865CAE"/>
    <w:rsid w:val="00867CBC"/>
    <w:rsid w:val="00876C30"/>
    <w:rsid w:val="00877017"/>
    <w:rsid w:val="008773C0"/>
    <w:rsid w:val="00880364"/>
    <w:rsid w:val="00881559"/>
    <w:rsid w:val="00886C4C"/>
    <w:rsid w:val="0088711C"/>
    <w:rsid w:val="00890AD0"/>
    <w:rsid w:val="00892ECF"/>
    <w:rsid w:val="00892F06"/>
    <w:rsid w:val="00894285"/>
    <w:rsid w:val="008A3311"/>
    <w:rsid w:val="008A40AE"/>
    <w:rsid w:val="008A4E19"/>
    <w:rsid w:val="008A67C5"/>
    <w:rsid w:val="008B22E1"/>
    <w:rsid w:val="008B3C78"/>
    <w:rsid w:val="008B4AE9"/>
    <w:rsid w:val="008C037F"/>
    <w:rsid w:val="008C113A"/>
    <w:rsid w:val="008C30AD"/>
    <w:rsid w:val="008C565C"/>
    <w:rsid w:val="008D068E"/>
    <w:rsid w:val="008D0F7A"/>
    <w:rsid w:val="008D63BE"/>
    <w:rsid w:val="008E0CFF"/>
    <w:rsid w:val="008E35A5"/>
    <w:rsid w:val="008E5D6B"/>
    <w:rsid w:val="008E689B"/>
    <w:rsid w:val="008E76F0"/>
    <w:rsid w:val="008E7AE4"/>
    <w:rsid w:val="008F15FE"/>
    <w:rsid w:val="008F2A94"/>
    <w:rsid w:val="008F5077"/>
    <w:rsid w:val="008F5187"/>
    <w:rsid w:val="008F709C"/>
    <w:rsid w:val="009006F9"/>
    <w:rsid w:val="0090312B"/>
    <w:rsid w:val="00904961"/>
    <w:rsid w:val="0091068E"/>
    <w:rsid w:val="0091736D"/>
    <w:rsid w:val="0092558E"/>
    <w:rsid w:val="00931001"/>
    <w:rsid w:val="00931863"/>
    <w:rsid w:val="00933524"/>
    <w:rsid w:val="0094074C"/>
    <w:rsid w:val="0094278D"/>
    <w:rsid w:val="00942EAC"/>
    <w:rsid w:val="00942F61"/>
    <w:rsid w:val="009433CA"/>
    <w:rsid w:val="0095308A"/>
    <w:rsid w:val="0095468F"/>
    <w:rsid w:val="00955AEE"/>
    <w:rsid w:val="00955FD6"/>
    <w:rsid w:val="00956F14"/>
    <w:rsid w:val="0096130F"/>
    <w:rsid w:val="00961C26"/>
    <w:rsid w:val="009620FD"/>
    <w:rsid w:val="0096247A"/>
    <w:rsid w:val="00965F4B"/>
    <w:rsid w:val="00970F8A"/>
    <w:rsid w:val="00971FB5"/>
    <w:rsid w:val="00972D2A"/>
    <w:rsid w:val="00975CC5"/>
    <w:rsid w:val="00976328"/>
    <w:rsid w:val="00976B4E"/>
    <w:rsid w:val="00984458"/>
    <w:rsid w:val="00985283"/>
    <w:rsid w:val="00986809"/>
    <w:rsid w:val="00987322"/>
    <w:rsid w:val="009A0F3B"/>
    <w:rsid w:val="009A72C7"/>
    <w:rsid w:val="009B0897"/>
    <w:rsid w:val="009B2F42"/>
    <w:rsid w:val="009C0DBC"/>
    <w:rsid w:val="009D0852"/>
    <w:rsid w:val="009D1FBF"/>
    <w:rsid w:val="009E399C"/>
    <w:rsid w:val="009E41A9"/>
    <w:rsid w:val="009E43C1"/>
    <w:rsid w:val="009E456A"/>
    <w:rsid w:val="009E58C9"/>
    <w:rsid w:val="009E7E95"/>
    <w:rsid w:val="009F116F"/>
    <w:rsid w:val="009F329E"/>
    <w:rsid w:val="009F7ED3"/>
    <w:rsid w:val="00A03607"/>
    <w:rsid w:val="00A047FF"/>
    <w:rsid w:val="00A04FEF"/>
    <w:rsid w:val="00A122CD"/>
    <w:rsid w:val="00A12A32"/>
    <w:rsid w:val="00A12CD6"/>
    <w:rsid w:val="00A14248"/>
    <w:rsid w:val="00A14947"/>
    <w:rsid w:val="00A14F4A"/>
    <w:rsid w:val="00A14F6D"/>
    <w:rsid w:val="00A15C43"/>
    <w:rsid w:val="00A23DC5"/>
    <w:rsid w:val="00A30138"/>
    <w:rsid w:val="00A34028"/>
    <w:rsid w:val="00A35568"/>
    <w:rsid w:val="00A37056"/>
    <w:rsid w:val="00A4293A"/>
    <w:rsid w:val="00A4358F"/>
    <w:rsid w:val="00A46F67"/>
    <w:rsid w:val="00A5377B"/>
    <w:rsid w:val="00A53B49"/>
    <w:rsid w:val="00A54AA1"/>
    <w:rsid w:val="00A54BCF"/>
    <w:rsid w:val="00A568FF"/>
    <w:rsid w:val="00A61496"/>
    <w:rsid w:val="00A61833"/>
    <w:rsid w:val="00A61879"/>
    <w:rsid w:val="00A624C6"/>
    <w:rsid w:val="00A63CEC"/>
    <w:rsid w:val="00A7031E"/>
    <w:rsid w:val="00A7164D"/>
    <w:rsid w:val="00A728B1"/>
    <w:rsid w:val="00A763DE"/>
    <w:rsid w:val="00A803D6"/>
    <w:rsid w:val="00A80688"/>
    <w:rsid w:val="00A81282"/>
    <w:rsid w:val="00A8713F"/>
    <w:rsid w:val="00A91167"/>
    <w:rsid w:val="00A9171C"/>
    <w:rsid w:val="00A918DA"/>
    <w:rsid w:val="00A92FFD"/>
    <w:rsid w:val="00A95975"/>
    <w:rsid w:val="00A9708D"/>
    <w:rsid w:val="00AA0D74"/>
    <w:rsid w:val="00AA2BF8"/>
    <w:rsid w:val="00AA2C17"/>
    <w:rsid w:val="00AA2CEE"/>
    <w:rsid w:val="00AA4172"/>
    <w:rsid w:val="00AA7F48"/>
    <w:rsid w:val="00AB1914"/>
    <w:rsid w:val="00AB35AB"/>
    <w:rsid w:val="00AB5330"/>
    <w:rsid w:val="00AB7747"/>
    <w:rsid w:val="00AC1039"/>
    <w:rsid w:val="00AC2532"/>
    <w:rsid w:val="00AD1507"/>
    <w:rsid w:val="00AD5A70"/>
    <w:rsid w:val="00AD738B"/>
    <w:rsid w:val="00AE1BF4"/>
    <w:rsid w:val="00AE3E3D"/>
    <w:rsid w:val="00AE4E7F"/>
    <w:rsid w:val="00AE5D97"/>
    <w:rsid w:val="00AE6794"/>
    <w:rsid w:val="00AF4EF9"/>
    <w:rsid w:val="00AF51CA"/>
    <w:rsid w:val="00AF6403"/>
    <w:rsid w:val="00B01110"/>
    <w:rsid w:val="00B02173"/>
    <w:rsid w:val="00B02262"/>
    <w:rsid w:val="00B03CEC"/>
    <w:rsid w:val="00B1209F"/>
    <w:rsid w:val="00B12AD0"/>
    <w:rsid w:val="00B22202"/>
    <w:rsid w:val="00B24832"/>
    <w:rsid w:val="00B24F30"/>
    <w:rsid w:val="00B31ABF"/>
    <w:rsid w:val="00B335AE"/>
    <w:rsid w:val="00B33A34"/>
    <w:rsid w:val="00B37CE1"/>
    <w:rsid w:val="00B40ACF"/>
    <w:rsid w:val="00B46BAA"/>
    <w:rsid w:val="00B50B5F"/>
    <w:rsid w:val="00B54128"/>
    <w:rsid w:val="00B55826"/>
    <w:rsid w:val="00B60426"/>
    <w:rsid w:val="00B622DD"/>
    <w:rsid w:val="00B623FA"/>
    <w:rsid w:val="00B62DF6"/>
    <w:rsid w:val="00B63522"/>
    <w:rsid w:val="00B76F1D"/>
    <w:rsid w:val="00B92A19"/>
    <w:rsid w:val="00B9544C"/>
    <w:rsid w:val="00B95BE8"/>
    <w:rsid w:val="00BA29E9"/>
    <w:rsid w:val="00BA6A18"/>
    <w:rsid w:val="00BB158C"/>
    <w:rsid w:val="00BB3618"/>
    <w:rsid w:val="00BC0C9E"/>
    <w:rsid w:val="00BC0DB9"/>
    <w:rsid w:val="00BC32DC"/>
    <w:rsid w:val="00BD0D6F"/>
    <w:rsid w:val="00BD15FD"/>
    <w:rsid w:val="00BD1A69"/>
    <w:rsid w:val="00BD1B51"/>
    <w:rsid w:val="00BD47F6"/>
    <w:rsid w:val="00BD5189"/>
    <w:rsid w:val="00BD5E3A"/>
    <w:rsid w:val="00BE04C6"/>
    <w:rsid w:val="00BE312D"/>
    <w:rsid w:val="00BE3FCA"/>
    <w:rsid w:val="00BF53D3"/>
    <w:rsid w:val="00C0050D"/>
    <w:rsid w:val="00C05719"/>
    <w:rsid w:val="00C10578"/>
    <w:rsid w:val="00C11C01"/>
    <w:rsid w:val="00C17D62"/>
    <w:rsid w:val="00C21FDC"/>
    <w:rsid w:val="00C24EE7"/>
    <w:rsid w:val="00C2596A"/>
    <w:rsid w:val="00C271BE"/>
    <w:rsid w:val="00C27425"/>
    <w:rsid w:val="00C311F8"/>
    <w:rsid w:val="00C328FE"/>
    <w:rsid w:val="00C32C19"/>
    <w:rsid w:val="00C33A05"/>
    <w:rsid w:val="00C34FDF"/>
    <w:rsid w:val="00C35E35"/>
    <w:rsid w:val="00C37EA6"/>
    <w:rsid w:val="00C42500"/>
    <w:rsid w:val="00C4409D"/>
    <w:rsid w:val="00C455BE"/>
    <w:rsid w:val="00C50AD2"/>
    <w:rsid w:val="00C51E5F"/>
    <w:rsid w:val="00C61E4B"/>
    <w:rsid w:val="00C62E3A"/>
    <w:rsid w:val="00C63FE2"/>
    <w:rsid w:val="00C64503"/>
    <w:rsid w:val="00C64A1F"/>
    <w:rsid w:val="00C64BFF"/>
    <w:rsid w:val="00C70A1C"/>
    <w:rsid w:val="00C763C9"/>
    <w:rsid w:val="00C80057"/>
    <w:rsid w:val="00C81F1E"/>
    <w:rsid w:val="00C82C79"/>
    <w:rsid w:val="00C84753"/>
    <w:rsid w:val="00C86194"/>
    <w:rsid w:val="00C91611"/>
    <w:rsid w:val="00CA3585"/>
    <w:rsid w:val="00CA3D5A"/>
    <w:rsid w:val="00CA4C7C"/>
    <w:rsid w:val="00CA5CD3"/>
    <w:rsid w:val="00CB0183"/>
    <w:rsid w:val="00CB1EA3"/>
    <w:rsid w:val="00CB552C"/>
    <w:rsid w:val="00CB6A9E"/>
    <w:rsid w:val="00CC6181"/>
    <w:rsid w:val="00CD0ADD"/>
    <w:rsid w:val="00CD1AE5"/>
    <w:rsid w:val="00CD2BCD"/>
    <w:rsid w:val="00CD36AA"/>
    <w:rsid w:val="00CD3791"/>
    <w:rsid w:val="00CD4A16"/>
    <w:rsid w:val="00CD65B0"/>
    <w:rsid w:val="00CD6CCE"/>
    <w:rsid w:val="00CE02CD"/>
    <w:rsid w:val="00CE10E9"/>
    <w:rsid w:val="00CE5004"/>
    <w:rsid w:val="00D0072E"/>
    <w:rsid w:val="00D036DF"/>
    <w:rsid w:val="00D126E7"/>
    <w:rsid w:val="00D15727"/>
    <w:rsid w:val="00D16332"/>
    <w:rsid w:val="00D206DA"/>
    <w:rsid w:val="00D224BF"/>
    <w:rsid w:val="00D2344D"/>
    <w:rsid w:val="00D24972"/>
    <w:rsid w:val="00D2515E"/>
    <w:rsid w:val="00D308ED"/>
    <w:rsid w:val="00D403EB"/>
    <w:rsid w:val="00D40E20"/>
    <w:rsid w:val="00D464E1"/>
    <w:rsid w:val="00D47B7F"/>
    <w:rsid w:val="00D56178"/>
    <w:rsid w:val="00D56CF0"/>
    <w:rsid w:val="00D56F5C"/>
    <w:rsid w:val="00D704B1"/>
    <w:rsid w:val="00D70B63"/>
    <w:rsid w:val="00D72B92"/>
    <w:rsid w:val="00D72ED4"/>
    <w:rsid w:val="00D73BF2"/>
    <w:rsid w:val="00D73F61"/>
    <w:rsid w:val="00D754C0"/>
    <w:rsid w:val="00D776A2"/>
    <w:rsid w:val="00D801C4"/>
    <w:rsid w:val="00D820F5"/>
    <w:rsid w:val="00D82982"/>
    <w:rsid w:val="00D86C2A"/>
    <w:rsid w:val="00D90836"/>
    <w:rsid w:val="00D9161E"/>
    <w:rsid w:val="00D91A6C"/>
    <w:rsid w:val="00D93D9A"/>
    <w:rsid w:val="00D95896"/>
    <w:rsid w:val="00D95CC6"/>
    <w:rsid w:val="00DA2DA3"/>
    <w:rsid w:val="00DA2ECA"/>
    <w:rsid w:val="00DA3999"/>
    <w:rsid w:val="00DA6615"/>
    <w:rsid w:val="00DA76AE"/>
    <w:rsid w:val="00DB181E"/>
    <w:rsid w:val="00DB1C7A"/>
    <w:rsid w:val="00DB2983"/>
    <w:rsid w:val="00DB343D"/>
    <w:rsid w:val="00DB5579"/>
    <w:rsid w:val="00DB5CFE"/>
    <w:rsid w:val="00DC2AC6"/>
    <w:rsid w:val="00DC72A6"/>
    <w:rsid w:val="00DD2113"/>
    <w:rsid w:val="00DD265E"/>
    <w:rsid w:val="00DD4C96"/>
    <w:rsid w:val="00DE39E3"/>
    <w:rsid w:val="00DE3F81"/>
    <w:rsid w:val="00DF1930"/>
    <w:rsid w:val="00DF514A"/>
    <w:rsid w:val="00DF53A1"/>
    <w:rsid w:val="00E0358D"/>
    <w:rsid w:val="00E06327"/>
    <w:rsid w:val="00E10ABB"/>
    <w:rsid w:val="00E2064B"/>
    <w:rsid w:val="00E213AF"/>
    <w:rsid w:val="00E25239"/>
    <w:rsid w:val="00E265B1"/>
    <w:rsid w:val="00E275B0"/>
    <w:rsid w:val="00E412D0"/>
    <w:rsid w:val="00E47CDB"/>
    <w:rsid w:val="00E55989"/>
    <w:rsid w:val="00E566BC"/>
    <w:rsid w:val="00E60982"/>
    <w:rsid w:val="00E60C8D"/>
    <w:rsid w:val="00E6162F"/>
    <w:rsid w:val="00E6311B"/>
    <w:rsid w:val="00E65D97"/>
    <w:rsid w:val="00E67EFD"/>
    <w:rsid w:val="00E702DC"/>
    <w:rsid w:val="00E71FFB"/>
    <w:rsid w:val="00E75A78"/>
    <w:rsid w:val="00E76D1D"/>
    <w:rsid w:val="00E806F8"/>
    <w:rsid w:val="00E811B5"/>
    <w:rsid w:val="00E83265"/>
    <w:rsid w:val="00E86F16"/>
    <w:rsid w:val="00E87752"/>
    <w:rsid w:val="00E8793B"/>
    <w:rsid w:val="00E87E85"/>
    <w:rsid w:val="00E90F81"/>
    <w:rsid w:val="00E91A6D"/>
    <w:rsid w:val="00E9242D"/>
    <w:rsid w:val="00EA0143"/>
    <w:rsid w:val="00EA40AE"/>
    <w:rsid w:val="00EA4C44"/>
    <w:rsid w:val="00EB041C"/>
    <w:rsid w:val="00EB10CA"/>
    <w:rsid w:val="00EB79BC"/>
    <w:rsid w:val="00EC2463"/>
    <w:rsid w:val="00EC44F2"/>
    <w:rsid w:val="00EC5874"/>
    <w:rsid w:val="00ED10B4"/>
    <w:rsid w:val="00ED192D"/>
    <w:rsid w:val="00ED307A"/>
    <w:rsid w:val="00ED30B4"/>
    <w:rsid w:val="00ED31F5"/>
    <w:rsid w:val="00ED4FE5"/>
    <w:rsid w:val="00EF2759"/>
    <w:rsid w:val="00EF45EB"/>
    <w:rsid w:val="00EF5099"/>
    <w:rsid w:val="00EF5E33"/>
    <w:rsid w:val="00EF649F"/>
    <w:rsid w:val="00F00075"/>
    <w:rsid w:val="00F006EF"/>
    <w:rsid w:val="00F07822"/>
    <w:rsid w:val="00F12CCF"/>
    <w:rsid w:val="00F1537D"/>
    <w:rsid w:val="00F15C95"/>
    <w:rsid w:val="00F15DB0"/>
    <w:rsid w:val="00F22985"/>
    <w:rsid w:val="00F241AB"/>
    <w:rsid w:val="00F24D8D"/>
    <w:rsid w:val="00F31382"/>
    <w:rsid w:val="00F35829"/>
    <w:rsid w:val="00F42868"/>
    <w:rsid w:val="00F465A7"/>
    <w:rsid w:val="00F50B7C"/>
    <w:rsid w:val="00F5202D"/>
    <w:rsid w:val="00F52CF6"/>
    <w:rsid w:val="00F54496"/>
    <w:rsid w:val="00F61097"/>
    <w:rsid w:val="00F66720"/>
    <w:rsid w:val="00F74345"/>
    <w:rsid w:val="00F74441"/>
    <w:rsid w:val="00F758DD"/>
    <w:rsid w:val="00F77F30"/>
    <w:rsid w:val="00F82589"/>
    <w:rsid w:val="00F82B19"/>
    <w:rsid w:val="00F82B29"/>
    <w:rsid w:val="00F846E8"/>
    <w:rsid w:val="00F90631"/>
    <w:rsid w:val="00F90AA7"/>
    <w:rsid w:val="00F9212D"/>
    <w:rsid w:val="00F94ECC"/>
    <w:rsid w:val="00FA301A"/>
    <w:rsid w:val="00FA406A"/>
    <w:rsid w:val="00FA5CB6"/>
    <w:rsid w:val="00FB09B1"/>
    <w:rsid w:val="00FB6F6B"/>
    <w:rsid w:val="00FB74CC"/>
    <w:rsid w:val="00FC582D"/>
    <w:rsid w:val="00FC66AC"/>
    <w:rsid w:val="00FD18F4"/>
    <w:rsid w:val="00FD47B2"/>
    <w:rsid w:val="00FD5F23"/>
    <w:rsid w:val="00FD74B4"/>
    <w:rsid w:val="00FD7857"/>
    <w:rsid w:val="00FF083F"/>
    <w:rsid w:val="00FF64B6"/>
    <w:rsid w:val="00FF6FCE"/>
    <w:rsid w:val="00FF7518"/>
    <w:rsid w:val="00FF7FD8"/>
    <w:rsid w:val="010F7C2A"/>
    <w:rsid w:val="0134430B"/>
    <w:rsid w:val="01345BFC"/>
    <w:rsid w:val="013D7D1F"/>
    <w:rsid w:val="01A953A3"/>
    <w:rsid w:val="01AC61D9"/>
    <w:rsid w:val="01C2006D"/>
    <w:rsid w:val="01C26E13"/>
    <w:rsid w:val="01C618E6"/>
    <w:rsid w:val="01D34B7C"/>
    <w:rsid w:val="021D4CA7"/>
    <w:rsid w:val="0256250B"/>
    <w:rsid w:val="025D4F48"/>
    <w:rsid w:val="026C4FD1"/>
    <w:rsid w:val="02981D63"/>
    <w:rsid w:val="02AA7D80"/>
    <w:rsid w:val="02AC47B8"/>
    <w:rsid w:val="02B010AB"/>
    <w:rsid w:val="02DB5D1B"/>
    <w:rsid w:val="02FE4462"/>
    <w:rsid w:val="0308149C"/>
    <w:rsid w:val="03125B78"/>
    <w:rsid w:val="0348159A"/>
    <w:rsid w:val="034E1DBA"/>
    <w:rsid w:val="03661889"/>
    <w:rsid w:val="036A1F1E"/>
    <w:rsid w:val="03775457"/>
    <w:rsid w:val="03A259E8"/>
    <w:rsid w:val="03AD69C9"/>
    <w:rsid w:val="03AE4BD6"/>
    <w:rsid w:val="03BC7892"/>
    <w:rsid w:val="03BE13D8"/>
    <w:rsid w:val="03BE614D"/>
    <w:rsid w:val="03DA21D4"/>
    <w:rsid w:val="03FC611B"/>
    <w:rsid w:val="040E7641"/>
    <w:rsid w:val="045C5503"/>
    <w:rsid w:val="04717894"/>
    <w:rsid w:val="048C5DC2"/>
    <w:rsid w:val="04A922A1"/>
    <w:rsid w:val="04AB1614"/>
    <w:rsid w:val="04E00017"/>
    <w:rsid w:val="04E41E2D"/>
    <w:rsid w:val="04F87939"/>
    <w:rsid w:val="0543112C"/>
    <w:rsid w:val="056A3A4A"/>
    <w:rsid w:val="05742AC8"/>
    <w:rsid w:val="05A36393"/>
    <w:rsid w:val="05ED76D7"/>
    <w:rsid w:val="060A593F"/>
    <w:rsid w:val="061E54C3"/>
    <w:rsid w:val="061E65E2"/>
    <w:rsid w:val="061F5F74"/>
    <w:rsid w:val="062C5070"/>
    <w:rsid w:val="06352F05"/>
    <w:rsid w:val="063E7D85"/>
    <w:rsid w:val="063F4ED6"/>
    <w:rsid w:val="064B738F"/>
    <w:rsid w:val="06642B42"/>
    <w:rsid w:val="066E1317"/>
    <w:rsid w:val="067A15B2"/>
    <w:rsid w:val="0680495B"/>
    <w:rsid w:val="068E314F"/>
    <w:rsid w:val="06996B5E"/>
    <w:rsid w:val="069B41E7"/>
    <w:rsid w:val="06BA1C77"/>
    <w:rsid w:val="06D050FE"/>
    <w:rsid w:val="06DF5B5B"/>
    <w:rsid w:val="06E649EF"/>
    <w:rsid w:val="070875E0"/>
    <w:rsid w:val="072813FB"/>
    <w:rsid w:val="07293586"/>
    <w:rsid w:val="07295285"/>
    <w:rsid w:val="07344A43"/>
    <w:rsid w:val="07415F1F"/>
    <w:rsid w:val="07770C56"/>
    <w:rsid w:val="078313F0"/>
    <w:rsid w:val="07941EA7"/>
    <w:rsid w:val="07A322D8"/>
    <w:rsid w:val="07BC60B3"/>
    <w:rsid w:val="07D065D0"/>
    <w:rsid w:val="07E577E5"/>
    <w:rsid w:val="07E85C76"/>
    <w:rsid w:val="07F7405D"/>
    <w:rsid w:val="07FC3B93"/>
    <w:rsid w:val="08352A03"/>
    <w:rsid w:val="085305FF"/>
    <w:rsid w:val="085E792F"/>
    <w:rsid w:val="08D91DFE"/>
    <w:rsid w:val="08E1779B"/>
    <w:rsid w:val="090230DE"/>
    <w:rsid w:val="092217DD"/>
    <w:rsid w:val="093A7294"/>
    <w:rsid w:val="094D4E6D"/>
    <w:rsid w:val="09560F6E"/>
    <w:rsid w:val="095A5B83"/>
    <w:rsid w:val="09600C5E"/>
    <w:rsid w:val="097A097C"/>
    <w:rsid w:val="09832D4D"/>
    <w:rsid w:val="09833463"/>
    <w:rsid w:val="098A4D33"/>
    <w:rsid w:val="09A72E92"/>
    <w:rsid w:val="09BA2AC6"/>
    <w:rsid w:val="0A127F41"/>
    <w:rsid w:val="0A1F279F"/>
    <w:rsid w:val="0A5A4E8B"/>
    <w:rsid w:val="0A642F0E"/>
    <w:rsid w:val="0A9307CA"/>
    <w:rsid w:val="0A9E18E3"/>
    <w:rsid w:val="0AE47DFA"/>
    <w:rsid w:val="0AEE0406"/>
    <w:rsid w:val="0B18017B"/>
    <w:rsid w:val="0B1B6684"/>
    <w:rsid w:val="0B534F80"/>
    <w:rsid w:val="0BA80E28"/>
    <w:rsid w:val="0BB80BE0"/>
    <w:rsid w:val="0BC4237B"/>
    <w:rsid w:val="0BC46C27"/>
    <w:rsid w:val="0BD27BF6"/>
    <w:rsid w:val="0BD33E3B"/>
    <w:rsid w:val="0BF52AF5"/>
    <w:rsid w:val="0C017708"/>
    <w:rsid w:val="0C240AD9"/>
    <w:rsid w:val="0C3E71D6"/>
    <w:rsid w:val="0C4C2598"/>
    <w:rsid w:val="0C777614"/>
    <w:rsid w:val="0C900FFF"/>
    <w:rsid w:val="0C970AB9"/>
    <w:rsid w:val="0CB0370F"/>
    <w:rsid w:val="0CE020DD"/>
    <w:rsid w:val="0D06188D"/>
    <w:rsid w:val="0D076BEC"/>
    <w:rsid w:val="0D132A13"/>
    <w:rsid w:val="0D1D47CC"/>
    <w:rsid w:val="0D1E09AD"/>
    <w:rsid w:val="0D2E7A52"/>
    <w:rsid w:val="0D5E3553"/>
    <w:rsid w:val="0D5F19BA"/>
    <w:rsid w:val="0D670FBE"/>
    <w:rsid w:val="0D991370"/>
    <w:rsid w:val="0D9C6712"/>
    <w:rsid w:val="0DB86C86"/>
    <w:rsid w:val="0DE13CE3"/>
    <w:rsid w:val="0DE85E53"/>
    <w:rsid w:val="0DF967D3"/>
    <w:rsid w:val="0E082052"/>
    <w:rsid w:val="0E110D06"/>
    <w:rsid w:val="0E140D02"/>
    <w:rsid w:val="0E2A13FA"/>
    <w:rsid w:val="0E7F0FC0"/>
    <w:rsid w:val="0E903B36"/>
    <w:rsid w:val="0E99786C"/>
    <w:rsid w:val="0EB43BB0"/>
    <w:rsid w:val="0EB70C0D"/>
    <w:rsid w:val="0EEA0933"/>
    <w:rsid w:val="0F027FBF"/>
    <w:rsid w:val="0F13775A"/>
    <w:rsid w:val="0F175FB5"/>
    <w:rsid w:val="0F3C142C"/>
    <w:rsid w:val="0F6A7215"/>
    <w:rsid w:val="0F9A112B"/>
    <w:rsid w:val="0FA3506E"/>
    <w:rsid w:val="0FB51D3F"/>
    <w:rsid w:val="0FE968EA"/>
    <w:rsid w:val="0FEE261C"/>
    <w:rsid w:val="0FEE5B61"/>
    <w:rsid w:val="10270A2C"/>
    <w:rsid w:val="104D25E0"/>
    <w:rsid w:val="10650129"/>
    <w:rsid w:val="106D2F64"/>
    <w:rsid w:val="10715654"/>
    <w:rsid w:val="10757746"/>
    <w:rsid w:val="108478D0"/>
    <w:rsid w:val="10866280"/>
    <w:rsid w:val="109276FA"/>
    <w:rsid w:val="10B63710"/>
    <w:rsid w:val="10F17FD1"/>
    <w:rsid w:val="11001706"/>
    <w:rsid w:val="111C2F7A"/>
    <w:rsid w:val="111C730B"/>
    <w:rsid w:val="113013DE"/>
    <w:rsid w:val="11633073"/>
    <w:rsid w:val="11BF04F0"/>
    <w:rsid w:val="11F208E6"/>
    <w:rsid w:val="11F47E8C"/>
    <w:rsid w:val="11F54165"/>
    <w:rsid w:val="120F4F4A"/>
    <w:rsid w:val="12112056"/>
    <w:rsid w:val="12207A0D"/>
    <w:rsid w:val="122B06C2"/>
    <w:rsid w:val="12636B7E"/>
    <w:rsid w:val="12687625"/>
    <w:rsid w:val="126A139D"/>
    <w:rsid w:val="126D56A4"/>
    <w:rsid w:val="128845F3"/>
    <w:rsid w:val="12AA6724"/>
    <w:rsid w:val="12AF4946"/>
    <w:rsid w:val="12CD386A"/>
    <w:rsid w:val="12DA06A2"/>
    <w:rsid w:val="13180E65"/>
    <w:rsid w:val="13210766"/>
    <w:rsid w:val="1342185F"/>
    <w:rsid w:val="1343032D"/>
    <w:rsid w:val="13533D6F"/>
    <w:rsid w:val="13634CCA"/>
    <w:rsid w:val="13951726"/>
    <w:rsid w:val="13C1640B"/>
    <w:rsid w:val="13DB3A44"/>
    <w:rsid w:val="13DD5A60"/>
    <w:rsid w:val="14042C01"/>
    <w:rsid w:val="141848BD"/>
    <w:rsid w:val="142860C2"/>
    <w:rsid w:val="14396509"/>
    <w:rsid w:val="1447165C"/>
    <w:rsid w:val="14705629"/>
    <w:rsid w:val="14955FF5"/>
    <w:rsid w:val="14C12D51"/>
    <w:rsid w:val="14DE3B0C"/>
    <w:rsid w:val="14EB6229"/>
    <w:rsid w:val="15280983"/>
    <w:rsid w:val="15603729"/>
    <w:rsid w:val="15634A90"/>
    <w:rsid w:val="156D5F94"/>
    <w:rsid w:val="15742709"/>
    <w:rsid w:val="15B308B7"/>
    <w:rsid w:val="1601779F"/>
    <w:rsid w:val="16186FB1"/>
    <w:rsid w:val="167D752B"/>
    <w:rsid w:val="16896BCA"/>
    <w:rsid w:val="16982BB0"/>
    <w:rsid w:val="16D42393"/>
    <w:rsid w:val="16F47E78"/>
    <w:rsid w:val="16FE0EE0"/>
    <w:rsid w:val="17064C2E"/>
    <w:rsid w:val="1732515D"/>
    <w:rsid w:val="17735226"/>
    <w:rsid w:val="177F7705"/>
    <w:rsid w:val="17913C78"/>
    <w:rsid w:val="179302ED"/>
    <w:rsid w:val="17996621"/>
    <w:rsid w:val="17B50359"/>
    <w:rsid w:val="17B508FE"/>
    <w:rsid w:val="17C92852"/>
    <w:rsid w:val="17D31777"/>
    <w:rsid w:val="17DB4625"/>
    <w:rsid w:val="180D1168"/>
    <w:rsid w:val="18602D60"/>
    <w:rsid w:val="186B4EF1"/>
    <w:rsid w:val="186D4150"/>
    <w:rsid w:val="187F52E9"/>
    <w:rsid w:val="18860BB9"/>
    <w:rsid w:val="188921D3"/>
    <w:rsid w:val="189229DC"/>
    <w:rsid w:val="18BE7560"/>
    <w:rsid w:val="18C338E2"/>
    <w:rsid w:val="18C4126B"/>
    <w:rsid w:val="18EB7A1F"/>
    <w:rsid w:val="1903536E"/>
    <w:rsid w:val="192E068F"/>
    <w:rsid w:val="19333C3D"/>
    <w:rsid w:val="1933702B"/>
    <w:rsid w:val="195163BC"/>
    <w:rsid w:val="1954439D"/>
    <w:rsid w:val="198A0323"/>
    <w:rsid w:val="19B57F07"/>
    <w:rsid w:val="19CA6D19"/>
    <w:rsid w:val="19F811CC"/>
    <w:rsid w:val="1A1C66C0"/>
    <w:rsid w:val="1A2642A8"/>
    <w:rsid w:val="1A42393B"/>
    <w:rsid w:val="1A504888"/>
    <w:rsid w:val="1A5A1E87"/>
    <w:rsid w:val="1A75281D"/>
    <w:rsid w:val="1AB370F8"/>
    <w:rsid w:val="1ABF1CEA"/>
    <w:rsid w:val="1ACD2A40"/>
    <w:rsid w:val="1ADE7DF1"/>
    <w:rsid w:val="1B046F80"/>
    <w:rsid w:val="1B3267B5"/>
    <w:rsid w:val="1B5656DF"/>
    <w:rsid w:val="1B586AD4"/>
    <w:rsid w:val="1B7C3600"/>
    <w:rsid w:val="1B887132"/>
    <w:rsid w:val="1BA13855"/>
    <w:rsid w:val="1BC15057"/>
    <w:rsid w:val="1BC25DC8"/>
    <w:rsid w:val="1BD8245A"/>
    <w:rsid w:val="1BD87507"/>
    <w:rsid w:val="1BEF3B93"/>
    <w:rsid w:val="1BF51509"/>
    <w:rsid w:val="1C07172E"/>
    <w:rsid w:val="1C362480"/>
    <w:rsid w:val="1C36660C"/>
    <w:rsid w:val="1C3F6304"/>
    <w:rsid w:val="1C4875E0"/>
    <w:rsid w:val="1C5E7925"/>
    <w:rsid w:val="1C6172DD"/>
    <w:rsid w:val="1C650216"/>
    <w:rsid w:val="1C887FC8"/>
    <w:rsid w:val="1C8F4E22"/>
    <w:rsid w:val="1C931340"/>
    <w:rsid w:val="1CA72AC0"/>
    <w:rsid w:val="1CEF1CE9"/>
    <w:rsid w:val="1CF25AEC"/>
    <w:rsid w:val="1D004961"/>
    <w:rsid w:val="1D1C6554"/>
    <w:rsid w:val="1D414062"/>
    <w:rsid w:val="1D445EF1"/>
    <w:rsid w:val="1D4C4073"/>
    <w:rsid w:val="1D5F6196"/>
    <w:rsid w:val="1D6132A5"/>
    <w:rsid w:val="1D8E56D5"/>
    <w:rsid w:val="1DA63ADC"/>
    <w:rsid w:val="1DB8037A"/>
    <w:rsid w:val="1DBD6775"/>
    <w:rsid w:val="1DC31AF1"/>
    <w:rsid w:val="1E0A5972"/>
    <w:rsid w:val="1E165F20"/>
    <w:rsid w:val="1E1F7888"/>
    <w:rsid w:val="1E6B4E55"/>
    <w:rsid w:val="1E7A43DA"/>
    <w:rsid w:val="1E8D5E53"/>
    <w:rsid w:val="1EA555F7"/>
    <w:rsid w:val="1EB10CE8"/>
    <w:rsid w:val="1EB277FE"/>
    <w:rsid w:val="1EC90A2B"/>
    <w:rsid w:val="1ECD3420"/>
    <w:rsid w:val="1EE77A61"/>
    <w:rsid w:val="1F0D23B1"/>
    <w:rsid w:val="1F233D06"/>
    <w:rsid w:val="1F6C1C71"/>
    <w:rsid w:val="1FA022A6"/>
    <w:rsid w:val="1FB35BE2"/>
    <w:rsid w:val="1FBA4ABD"/>
    <w:rsid w:val="1FCA5AA7"/>
    <w:rsid w:val="1FE42DBB"/>
    <w:rsid w:val="1FE7539E"/>
    <w:rsid w:val="201E0E8E"/>
    <w:rsid w:val="203A701E"/>
    <w:rsid w:val="204F1D49"/>
    <w:rsid w:val="20571A4E"/>
    <w:rsid w:val="20623843"/>
    <w:rsid w:val="206363D9"/>
    <w:rsid w:val="20752CEC"/>
    <w:rsid w:val="207A3CDD"/>
    <w:rsid w:val="20963CB8"/>
    <w:rsid w:val="20B07FB6"/>
    <w:rsid w:val="20D4517F"/>
    <w:rsid w:val="20D917CB"/>
    <w:rsid w:val="20DD21AD"/>
    <w:rsid w:val="20FA3253"/>
    <w:rsid w:val="211634B8"/>
    <w:rsid w:val="213B74B1"/>
    <w:rsid w:val="213D1BBA"/>
    <w:rsid w:val="21414D35"/>
    <w:rsid w:val="2149055F"/>
    <w:rsid w:val="215A2310"/>
    <w:rsid w:val="215C61B6"/>
    <w:rsid w:val="21A41B86"/>
    <w:rsid w:val="21A8172A"/>
    <w:rsid w:val="21C55306"/>
    <w:rsid w:val="21C7592D"/>
    <w:rsid w:val="21DE318A"/>
    <w:rsid w:val="21ED6561"/>
    <w:rsid w:val="21EF5B80"/>
    <w:rsid w:val="223A5C68"/>
    <w:rsid w:val="22576990"/>
    <w:rsid w:val="227B705C"/>
    <w:rsid w:val="227D579B"/>
    <w:rsid w:val="228850B7"/>
    <w:rsid w:val="229C4EAB"/>
    <w:rsid w:val="22CB72A5"/>
    <w:rsid w:val="22D121DD"/>
    <w:rsid w:val="22DA64B1"/>
    <w:rsid w:val="22E47DCD"/>
    <w:rsid w:val="22F17100"/>
    <w:rsid w:val="23147912"/>
    <w:rsid w:val="2323074A"/>
    <w:rsid w:val="232D16C5"/>
    <w:rsid w:val="2338121E"/>
    <w:rsid w:val="23C90C12"/>
    <w:rsid w:val="23C921E5"/>
    <w:rsid w:val="240373E2"/>
    <w:rsid w:val="240E507C"/>
    <w:rsid w:val="24303C58"/>
    <w:rsid w:val="245966F0"/>
    <w:rsid w:val="2464031E"/>
    <w:rsid w:val="247A64E6"/>
    <w:rsid w:val="2485590D"/>
    <w:rsid w:val="24B65F0C"/>
    <w:rsid w:val="24B76505"/>
    <w:rsid w:val="24DB0068"/>
    <w:rsid w:val="24E318DF"/>
    <w:rsid w:val="24E91006"/>
    <w:rsid w:val="251C7298"/>
    <w:rsid w:val="252D53FE"/>
    <w:rsid w:val="253634F0"/>
    <w:rsid w:val="253A156C"/>
    <w:rsid w:val="25852068"/>
    <w:rsid w:val="258B337B"/>
    <w:rsid w:val="25986C8A"/>
    <w:rsid w:val="25CB3688"/>
    <w:rsid w:val="25E84F25"/>
    <w:rsid w:val="25EC2D81"/>
    <w:rsid w:val="25FE536B"/>
    <w:rsid w:val="261B59AD"/>
    <w:rsid w:val="262A348A"/>
    <w:rsid w:val="26345050"/>
    <w:rsid w:val="2641616D"/>
    <w:rsid w:val="264528BD"/>
    <w:rsid w:val="26815B10"/>
    <w:rsid w:val="2681601B"/>
    <w:rsid w:val="26822BE7"/>
    <w:rsid w:val="2683740B"/>
    <w:rsid w:val="270C4509"/>
    <w:rsid w:val="271D645F"/>
    <w:rsid w:val="27734588"/>
    <w:rsid w:val="27897907"/>
    <w:rsid w:val="27A92D80"/>
    <w:rsid w:val="27D15DD1"/>
    <w:rsid w:val="27E502D5"/>
    <w:rsid w:val="27F51DBA"/>
    <w:rsid w:val="27F81F52"/>
    <w:rsid w:val="28174F55"/>
    <w:rsid w:val="28216E4C"/>
    <w:rsid w:val="28225764"/>
    <w:rsid w:val="283934BB"/>
    <w:rsid w:val="284101E2"/>
    <w:rsid w:val="2878569F"/>
    <w:rsid w:val="28814A83"/>
    <w:rsid w:val="28A439D2"/>
    <w:rsid w:val="28A76295"/>
    <w:rsid w:val="28A77D93"/>
    <w:rsid w:val="28E647D5"/>
    <w:rsid w:val="28F5633C"/>
    <w:rsid w:val="29206EB8"/>
    <w:rsid w:val="293A7B3E"/>
    <w:rsid w:val="29414695"/>
    <w:rsid w:val="295039D0"/>
    <w:rsid w:val="295E4494"/>
    <w:rsid w:val="29722223"/>
    <w:rsid w:val="297A0690"/>
    <w:rsid w:val="29C428BD"/>
    <w:rsid w:val="29C630D4"/>
    <w:rsid w:val="29E325E0"/>
    <w:rsid w:val="29EA1734"/>
    <w:rsid w:val="29F00D73"/>
    <w:rsid w:val="29FB51DF"/>
    <w:rsid w:val="2A096C05"/>
    <w:rsid w:val="2A25270D"/>
    <w:rsid w:val="2A316671"/>
    <w:rsid w:val="2A3D530F"/>
    <w:rsid w:val="2A452503"/>
    <w:rsid w:val="2A492B17"/>
    <w:rsid w:val="2A554EE9"/>
    <w:rsid w:val="2A625C8E"/>
    <w:rsid w:val="2A632F63"/>
    <w:rsid w:val="2A634FB4"/>
    <w:rsid w:val="2A750ED8"/>
    <w:rsid w:val="2AA23EDC"/>
    <w:rsid w:val="2AA40306"/>
    <w:rsid w:val="2AB4353A"/>
    <w:rsid w:val="2B0D1934"/>
    <w:rsid w:val="2B1A4E3E"/>
    <w:rsid w:val="2B3109E2"/>
    <w:rsid w:val="2B485D2C"/>
    <w:rsid w:val="2B502A31"/>
    <w:rsid w:val="2B6B47AA"/>
    <w:rsid w:val="2B6E4E4A"/>
    <w:rsid w:val="2B892091"/>
    <w:rsid w:val="2BA936A8"/>
    <w:rsid w:val="2BB92785"/>
    <w:rsid w:val="2BD05454"/>
    <w:rsid w:val="2BE772F2"/>
    <w:rsid w:val="2BEA1DB1"/>
    <w:rsid w:val="2BF00C7D"/>
    <w:rsid w:val="2BF41B0E"/>
    <w:rsid w:val="2C21664B"/>
    <w:rsid w:val="2C315A5A"/>
    <w:rsid w:val="2C41145B"/>
    <w:rsid w:val="2C4119FE"/>
    <w:rsid w:val="2C4A1639"/>
    <w:rsid w:val="2CBB4937"/>
    <w:rsid w:val="2CC833BA"/>
    <w:rsid w:val="2CD87DAD"/>
    <w:rsid w:val="2CD95DE6"/>
    <w:rsid w:val="2CF40EA6"/>
    <w:rsid w:val="2CF47F19"/>
    <w:rsid w:val="2D015255"/>
    <w:rsid w:val="2D1D4CB6"/>
    <w:rsid w:val="2D39592C"/>
    <w:rsid w:val="2D59439C"/>
    <w:rsid w:val="2D726228"/>
    <w:rsid w:val="2D803DFB"/>
    <w:rsid w:val="2D9120A2"/>
    <w:rsid w:val="2D9E56F5"/>
    <w:rsid w:val="2DA41976"/>
    <w:rsid w:val="2DC8158C"/>
    <w:rsid w:val="2DE449F5"/>
    <w:rsid w:val="2E2760CC"/>
    <w:rsid w:val="2E440A2C"/>
    <w:rsid w:val="2E666BF4"/>
    <w:rsid w:val="2E667F96"/>
    <w:rsid w:val="2E8226AB"/>
    <w:rsid w:val="2EC25147"/>
    <w:rsid w:val="2EE160FC"/>
    <w:rsid w:val="2F1D58AF"/>
    <w:rsid w:val="2F3F3366"/>
    <w:rsid w:val="2F4B200F"/>
    <w:rsid w:val="2F50545C"/>
    <w:rsid w:val="2F633D0C"/>
    <w:rsid w:val="2F7B047E"/>
    <w:rsid w:val="2F832C79"/>
    <w:rsid w:val="2F974B8C"/>
    <w:rsid w:val="2F9C692C"/>
    <w:rsid w:val="2FA01C92"/>
    <w:rsid w:val="2FAE447F"/>
    <w:rsid w:val="2FB66BF0"/>
    <w:rsid w:val="2FDC69C9"/>
    <w:rsid w:val="2FEF2D58"/>
    <w:rsid w:val="2FF07E35"/>
    <w:rsid w:val="3016768F"/>
    <w:rsid w:val="30385B0C"/>
    <w:rsid w:val="30463944"/>
    <w:rsid w:val="30534132"/>
    <w:rsid w:val="30580BC9"/>
    <w:rsid w:val="307A7390"/>
    <w:rsid w:val="30A12166"/>
    <w:rsid w:val="30CC6AB7"/>
    <w:rsid w:val="30D3191A"/>
    <w:rsid w:val="30DC4F4C"/>
    <w:rsid w:val="311E2ED7"/>
    <w:rsid w:val="312B7C81"/>
    <w:rsid w:val="312E6B81"/>
    <w:rsid w:val="313C605B"/>
    <w:rsid w:val="31475AA2"/>
    <w:rsid w:val="3154791B"/>
    <w:rsid w:val="31573C7C"/>
    <w:rsid w:val="315C449C"/>
    <w:rsid w:val="316B62D0"/>
    <w:rsid w:val="316C7A8A"/>
    <w:rsid w:val="3197098C"/>
    <w:rsid w:val="319D54FA"/>
    <w:rsid w:val="31A95A41"/>
    <w:rsid w:val="31B52BF2"/>
    <w:rsid w:val="31B82709"/>
    <w:rsid w:val="31C12394"/>
    <w:rsid w:val="31E5172B"/>
    <w:rsid w:val="32014BF5"/>
    <w:rsid w:val="32081D71"/>
    <w:rsid w:val="321C75CA"/>
    <w:rsid w:val="323D7C6C"/>
    <w:rsid w:val="32400B34"/>
    <w:rsid w:val="32513F85"/>
    <w:rsid w:val="32586854"/>
    <w:rsid w:val="32847649"/>
    <w:rsid w:val="328D2E09"/>
    <w:rsid w:val="32926377"/>
    <w:rsid w:val="329E6876"/>
    <w:rsid w:val="32AC2232"/>
    <w:rsid w:val="32AC2D9E"/>
    <w:rsid w:val="32D03FA6"/>
    <w:rsid w:val="32F3060F"/>
    <w:rsid w:val="32FD11AA"/>
    <w:rsid w:val="33204AD0"/>
    <w:rsid w:val="332D5F33"/>
    <w:rsid w:val="332D7214"/>
    <w:rsid w:val="338D4068"/>
    <w:rsid w:val="338D69D1"/>
    <w:rsid w:val="33A818E4"/>
    <w:rsid w:val="33AA0325"/>
    <w:rsid w:val="33B421B0"/>
    <w:rsid w:val="33D42D55"/>
    <w:rsid w:val="33D934D4"/>
    <w:rsid w:val="33DC25F0"/>
    <w:rsid w:val="33E44C78"/>
    <w:rsid w:val="33FE2F6A"/>
    <w:rsid w:val="34300994"/>
    <w:rsid w:val="3431297F"/>
    <w:rsid w:val="3451239B"/>
    <w:rsid w:val="34574764"/>
    <w:rsid w:val="345D349D"/>
    <w:rsid w:val="34667FEC"/>
    <w:rsid w:val="346D4B82"/>
    <w:rsid w:val="348C04CF"/>
    <w:rsid w:val="34E65D63"/>
    <w:rsid w:val="34E93222"/>
    <w:rsid w:val="350C616C"/>
    <w:rsid w:val="354A2E91"/>
    <w:rsid w:val="35843E04"/>
    <w:rsid w:val="35A47592"/>
    <w:rsid w:val="35AD5109"/>
    <w:rsid w:val="35B5220F"/>
    <w:rsid w:val="35E46CF7"/>
    <w:rsid w:val="35E94B1F"/>
    <w:rsid w:val="35F44CB1"/>
    <w:rsid w:val="36074A7F"/>
    <w:rsid w:val="36331F4F"/>
    <w:rsid w:val="368B5818"/>
    <w:rsid w:val="36923549"/>
    <w:rsid w:val="36B75FBF"/>
    <w:rsid w:val="36D87F64"/>
    <w:rsid w:val="36FB4891"/>
    <w:rsid w:val="3718335F"/>
    <w:rsid w:val="37235683"/>
    <w:rsid w:val="37272AE0"/>
    <w:rsid w:val="37280466"/>
    <w:rsid w:val="373C7107"/>
    <w:rsid w:val="375E1532"/>
    <w:rsid w:val="376561BD"/>
    <w:rsid w:val="37697818"/>
    <w:rsid w:val="37826A49"/>
    <w:rsid w:val="382D2F86"/>
    <w:rsid w:val="38332BAE"/>
    <w:rsid w:val="38366B33"/>
    <w:rsid w:val="38660D2A"/>
    <w:rsid w:val="38877F29"/>
    <w:rsid w:val="388E0A55"/>
    <w:rsid w:val="38B14F10"/>
    <w:rsid w:val="38B20228"/>
    <w:rsid w:val="38B56769"/>
    <w:rsid w:val="38B95B73"/>
    <w:rsid w:val="38F12CD3"/>
    <w:rsid w:val="38F94775"/>
    <w:rsid w:val="392515F3"/>
    <w:rsid w:val="392971ED"/>
    <w:rsid w:val="394A4F2E"/>
    <w:rsid w:val="39502E39"/>
    <w:rsid w:val="39736B31"/>
    <w:rsid w:val="39933B11"/>
    <w:rsid w:val="3996045D"/>
    <w:rsid w:val="39C57535"/>
    <w:rsid w:val="39E90113"/>
    <w:rsid w:val="39EE5CF0"/>
    <w:rsid w:val="3A127C30"/>
    <w:rsid w:val="3A1A7F04"/>
    <w:rsid w:val="3A431D3B"/>
    <w:rsid w:val="3A4F7CF4"/>
    <w:rsid w:val="3A5A5133"/>
    <w:rsid w:val="3A5D280D"/>
    <w:rsid w:val="3A6314D3"/>
    <w:rsid w:val="3A67301A"/>
    <w:rsid w:val="3A8219F4"/>
    <w:rsid w:val="3A856EF8"/>
    <w:rsid w:val="3A881CA1"/>
    <w:rsid w:val="3A8D5C2B"/>
    <w:rsid w:val="3AB523D7"/>
    <w:rsid w:val="3B033FCD"/>
    <w:rsid w:val="3B2F1766"/>
    <w:rsid w:val="3B3763D1"/>
    <w:rsid w:val="3B50798F"/>
    <w:rsid w:val="3B587BEB"/>
    <w:rsid w:val="3B9603ED"/>
    <w:rsid w:val="3BAB17ED"/>
    <w:rsid w:val="3BAB40DA"/>
    <w:rsid w:val="3BE22603"/>
    <w:rsid w:val="3BF42A3D"/>
    <w:rsid w:val="3C277297"/>
    <w:rsid w:val="3C2B2A7E"/>
    <w:rsid w:val="3C634979"/>
    <w:rsid w:val="3C664263"/>
    <w:rsid w:val="3C667F2B"/>
    <w:rsid w:val="3C8B44FD"/>
    <w:rsid w:val="3CA9217D"/>
    <w:rsid w:val="3CCA404E"/>
    <w:rsid w:val="3CCB1742"/>
    <w:rsid w:val="3CD647D0"/>
    <w:rsid w:val="3CDA245A"/>
    <w:rsid w:val="3CEE0A37"/>
    <w:rsid w:val="3CF36529"/>
    <w:rsid w:val="3CFA03C2"/>
    <w:rsid w:val="3D042809"/>
    <w:rsid w:val="3D40255E"/>
    <w:rsid w:val="3D6B50FC"/>
    <w:rsid w:val="3D86512B"/>
    <w:rsid w:val="3D8F570E"/>
    <w:rsid w:val="3D93482D"/>
    <w:rsid w:val="3D9755B6"/>
    <w:rsid w:val="3DBF3C2B"/>
    <w:rsid w:val="3DC02315"/>
    <w:rsid w:val="3DC72AE0"/>
    <w:rsid w:val="3E1F4937"/>
    <w:rsid w:val="3E1F7EA1"/>
    <w:rsid w:val="3E3775E9"/>
    <w:rsid w:val="3E3829F2"/>
    <w:rsid w:val="3E483328"/>
    <w:rsid w:val="3E9152DA"/>
    <w:rsid w:val="3EA931DF"/>
    <w:rsid w:val="3EB273D4"/>
    <w:rsid w:val="3EBD5197"/>
    <w:rsid w:val="3EC44C53"/>
    <w:rsid w:val="3ECC4CEE"/>
    <w:rsid w:val="3EE34364"/>
    <w:rsid w:val="3F085C42"/>
    <w:rsid w:val="3F1E0E25"/>
    <w:rsid w:val="3F660E74"/>
    <w:rsid w:val="3F6E4D5B"/>
    <w:rsid w:val="3F8853DE"/>
    <w:rsid w:val="3F890D4B"/>
    <w:rsid w:val="3F90314D"/>
    <w:rsid w:val="3F925F38"/>
    <w:rsid w:val="3F9D133A"/>
    <w:rsid w:val="3FA01FBB"/>
    <w:rsid w:val="3FA62141"/>
    <w:rsid w:val="3FB05EB7"/>
    <w:rsid w:val="3FD349F2"/>
    <w:rsid w:val="3FDF4CAD"/>
    <w:rsid w:val="3FDF51CD"/>
    <w:rsid w:val="3FFC7BD2"/>
    <w:rsid w:val="400D6E74"/>
    <w:rsid w:val="401C7CC5"/>
    <w:rsid w:val="403728E2"/>
    <w:rsid w:val="404C1369"/>
    <w:rsid w:val="407A6407"/>
    <w:rsid w:val="40A271FE"/>
    <w:rsid w:val="40AD1B8E"/>
    <w:rsid w:val="4113030A"/>
    <w:rsid w:val="413B1DEB"/>
    <w:rsid w:val="41434B73"/>
    <w:rsid w:val="414474C9"/>
    <w:rsid w:val="414C2283"/>
    <w:rsid w:val="41504943"/>
    <w:rsid w:val="418D471D"/>
    <w:rsid w:val="41A22AB5"/>
    <w:rsid w:val="41BA3030"/>
    <w:rsid w:val="41BF3135"/>
    <w:rsid w:val="4203494E"/>
    <w:rsid w:val="42161167"/>
    <w:rsid w:val="423A3BCC"/>
    <w:rsid w:val="423C42D2"/>
    <w:rsid w:val="4243778C"/>
    <w:rsid w:val="424B3CDF"/>
    <w:rsid w:val="42751F08"/>
    <w:rsid w:val="427A01BF"/>
    <w:rsid w:val="42A706A9"/>
    <w:rsid w:val="43056584"/>
    <w:rsid w:val="4316131F"/>
    <w:rsid w:val="431D0ECB"/>
    <w:rsid w:val="43254360"/>
    <w:rsid w:val="432A6EAF"/>
    <w:rsid w:val="433A6FE6"/>
    <w:rsid w:val="4350713C"/>
    <w:rsid w:val="43610766"/>
    <w:rsid w:val="4366315A"/>
    <w:rsid w:val="436653E0"/>
    <w:rsid w:val="43AB65E2"/>
    <w:rsid w:val="43C5704B"/>
    <w:rsid w:val="43CB4EB2"/>
    <w:rsid w:val="43F83C52"/>
    <w:rsid w:val="440F77C7"/>
    <w:rsid w:val="443239D6"/>
    <w:rsid w:val="44361F53"/>
    <w:rsid w:val="44443C5A"/>
    <w:rsid w:val="44602FAE"/>
    <w:rsid w:val="44775239"/>
    <w:rsid w:val="447E40FA"/>
    <w:rsid w:val="448B6CAF"/>
    <w:rsid w:val="44CD14E0"/>
    <w:rsid w:val="44EB2DEB"/>
    <w:rsid w:val="44F60B16"/>
    <w:rsid w:val="44FC551F"/>
    <w:rsid w:val="451D6F62"/>
    <w:rsid w:val="45285217"/>
    <w:rsid w:val="452971D5"/>
    <w:rsid w:val="45547A33"/>
    <w:rsid w:val="45695003"/>
    <w:rsid w:val="456D21BF"/>
    <w:rsid w:val="45723C79"/>
    <w:rsid w:val="458216A2"/>
    <w:rsid w:val="458946E9"/>
    <w:rsid w:val="45A12BCF"/>
    <w:rsid w:val="45B413B1"/>
    <w:rsid w:val="45C41312"/>
    <w:rsid w:val="45E127F2"/>
    <w:rsid w:val="45EA5F6C"/>
    <w:rsid w:val="45EC3323"/>
    <w:rsid w:val="462A2CDD"/>
    <w:rsid w:val="462F1B6A"/>
    <w:rsid w:val="463E71C8"/>
    <w:rsid w:val="464510DC"/>
    <w:rsid w:val="465E76B7"/>
    <w:rsid w:val="4672149D"/>
    <w:rsid w:val="467414D1"/>
    <w:rsid w:val="467F35A9"/>
    <w:rsid w:val="4699780A"/>
    <w:rsid w:val="46D44A10"/>
    <w:rsid w:val="46D955A7"/>
    <w:rsid w:val="47133957"/>
    <w:rsid w:val="471A0D3E"/>
    <w:rsid w:val="471B2A91"/>
    <w:rsid w:val="47354F01"/>
    <w:rsid w:val="473C6C17"/>
    <w:rsid w:val="47552708"/>
    <w:rsid w:val="476E6A41"/>
    <w:rsid w:val="4779329E"/>
    <w:rsid w:val="4796233D"/>
    <w:rsid w:val="47A07E0C"/>
    <w:rsid w:val="47D33A3E"/>
    <w:rsid w:val="47DC685D"/>
    <w:rsid w:val="47E82D27"/>
    <w:rsid w:val="481951DF"/>
    <w:rsid w:val="48244CDD"/>
    <w:rsid w:val="486976DD"/>
    <w:rsid w:val="4870272E"/>
    <w:rsid w:val="487641DC"/>
    <w:rsid w:val="489B5C61"/>
    <w:rsid w:val="48AE4FC8"/>
    <w:rsid w:val="48CC7BFD"/>
    <w:rsid w:val="48CD44FD"/>
    <w:rsid w:val="48D16F09"/>
    <w:rsid w:val="48F34DFD"/>
    <w:rsid w:val="48F97A99"/>
    <w:rsid w:val="49643612"/>
    <w:rsid w:val="49961480"/>
    <w:rsid w:val="49AD1A85"/>
    <w:rsid w:val="49DC3DB7"/>
    <w:rsid w:val="49DC7715"/>
    <w:rsid w:val="49F17CFF"/>
    <w:rsid w:val="4A023139"/>
    <w:rsid w:val="4A197C7A"/>
    <w:rsid w:val="4A3035D0"/>
    <w:rsid w:val="4A384FDF"/>
    <w:rsid w:val="4A5120AF"/>
    <w:rsid w:val="4A565917"/>
    <w:rsid w:val="4A623EFC"/>
    <w:rsid w:val="4A714699"/>
    <w:rsid w:val="4A7B576F"/>
    <w:rsid w:val="4A8D13EF"/>
    <w:rsid w:val="4A9106FD"/>
    <w:rsid w:val="4A9E6413"/>
    <w:rsid w:val="4AA5064D"/>
    <w:rsid w:val="4AC82401"/>
    <w:rsid w:val="4AD557D5"/>
    <w:rsid w:val="4B0A0ABA"/>
    <w:rsid w:val="4B3A7D12"/>
    <w:rsid w:val="4B4932F9"/>
    <w:rsid w:val="4B4E5E14"/>
    <w:rsid w:val="4B7A1E26"/>
    <w:rsid w:val="4B7C578C"/>
    <w:rsid w:val="4B8F4951"/>
    <w:rsid w:val="4B995A3C"/>
    <w:rsid w:val="4BA3317B"/>
    <w:rsid w:val="4BA830FC"/>
    <w:rsid w:val="4BD72A88"/>
    <w:rsid w:val="4BED5E07"/>
    <w:rsid w:val="4C0D62B5"/>
    <w:rsid w:val="4C2F570A"/>
    <w:rsid w:val="4C4752AE"/>
    <w:rsid w:val="4C4A0649"/>
    <w:rsid w:val="4C5D7084"/>
    <w:rsid w:val="4C716A38"/>
    <w:rsid w:val="4C9316DD"/>
    <w:rsid w:val="4C9B07A7"/>
    <w:rsid w:val="4CC55B46"/>
    <w:rsid w:val="4CD34FFD"/>
    <w:rsid w:val="4CD86AB8"/>
    <w:rsid w:val="4CE470D3"/>
    <w:rsid w:val="4CE51E03"/>
    <w:rsid w:val="4D3E47A3"/>
    <w:rsid w:val="4D4D4DDF"/>
    <w:rsid w:val="4D695962"/>
    <w:rsid w:val="4D782630"/>
    <w:rsid w:val="4DA35BE5"/>
    <w:rsid w:val="4DBF1A26"/>
    <w:rsid w:val="4DC2364E"/>
    <w:rsid w:val="4DEC4FB0"/>
    <w:rsid w:val="4E075D8A"/>
    <w:rsid w:val="4E1968FC"/>
    <w:rsid w:val="4E304397"/>
    <w:rsid w:val="4E3715BC"/>
    <w:rsid w:val="4E3F5FE8"/>
    <w:rsid w:val="4E4D0333"/>
    <w:rsid w:val="4E4D7031"/>
    <w:rsid w:val="4E4F0F98"/>
    <w:rsid w:val="4E5B57DC"/>
    <w:rsid w:val="4E784D57"/>
    <w:rsid w:val="4E7D554F"/>
    <w:rsid w:val="4E80078E"/>
    <w:rsid w:val="4EBC3E15"/>
    <w:rsid w:val="4EE2777A"/>
    <w:rsid w:val="4F127C46"/>
    <w:rsid w:val="4F2C4E99"/>
    <w:rsid w:val="4F2E0C11"/>
    <w:rsid w:val="4F4026F2"/>
    <w:rsid w:val="4F757BE7"/>
    <w:rsid w:val="4F7E2035"/>
    <w:rsid w:val="4F925E4B"/>
    <w:rsid w:val="4F986F84"/>
    <w:rsid w:val="4FA30049"/>
    <w:rsid w:val="4FA45757"/>
    <w:rsid w:val="4FC62A8C"/>
    <w:rsid w:val="4FDB338E"/>
    <w:rsid w:val="4FE07570"/>
    <w:rsid w:val="4FE20F0D"/>
    <w:rsid w:val="4FE44141"/>
    <w:rsid w:val="4FF405EF"/>
    <w:rsid w:val="4FFC5476"/>
    <w:rsid w:val="50057AD7"/>
    <w:rsid w:val="50191DB5"/>
    <w:rsid w:val="50504C4B"/>
    <w:rsid w:val="50732D76"/>
    <w:rsid w:val="50782FF7"/>
    <w:rsid w:val="508809D7"/>
    <w:rsid w:val="509C6E7C"/>
    <w:rsid w:val="509D51B1"/>
    <w:rsid w:val="50B52B1E"/>
    <w:rsid w:val="50C83670"/>
    <w:rsid w:val="50E1789B"/>
    <w:rsid w:val="50F70BD7"/>
    <w:rsid w:val="51092E77"/>
    <w:rsid w:val="51347EE8"/>
    <w:rsid w:val="51392332"/>
    <w:rsid w:val="513B2322"/>
    <w:rsid w:val="514A29E9"/>
    <w:rsid w:val="51505F79"/>
    <w:rsid w:val="51536535"/>
    <w:rsid w:val="5162104E"/>
    <w:rsid w:val="51702166"/>
    <w:rsid w:val="51901536"/>
    <w:rsid w:val="519A07DF"/>
    <w:rsid w:val="51A274D3"/>
    <w:rsid w:val="51AC39B5"/>
    <w:rsid w:val="51C82C4F"/>
    <w:rsid w:val="51DE6F86"/>
    <w:rsid w:val="51E71B9C"/>
    <w:rsid w:val="51F60D85"/>
    <w:rsid w:val="51FE255E"/>
    <w:rsid w:val="520D3CAC"/>
    <w:rsid w:val="52156668"/>
    <w:rsid w:val="523745DC"/>
    <w:rsid w:val="52420B76"/>
    <w:rsid w:val="524633AA"/>
    <w:rsid w:val="52500E9E"/>
    <w:rsid w:val="525E1F85"/>
    <w:rsid w:val="527B5E4B"/>
    <w:rsid w:val="52A80B6B"/>
    <w:rsid w:val="52AF14DB"/>
    <w:rsid w:val="52BA3384"/>
    <w:rsid w:val="52E00765"/>
    <w:rsid w:val="52F70215"/>
    <w:rsid w:val="53032F5E"/>
    <w:rsid w:val="533A3E3D"/>
    <w:rsid w:val="53532FFC"/>
    <w:rsid w:val="535F41AD"/>
    <w:rsid w:val="536858A3"/>
    <w:rsid w:val="53950EFF"/>
    <w:rsid w:val="53966943"/>
    <w:rsid w:val="53A039CC"/>
    <w:rsid w:val="53A1505A"/>
    <w:rsid w:val="54056921"/>
    <w:rsid w:val="54063E08"/>
    <w:rsid w:val="540B4BA4"/>
    <w:rsid w:val="543437E8"/>
    <w:rsid w:val="543640EE"/>
    <w:rsid w:val="54425A65"/>
    <w:rsid w:val="544F1550"/>
    <w:rsid w:val="54553489"/>
    <w:rsid w:val="54603211"/>
    <w:rsid w:val="54635AED"/>
    <w:rsid w:val="5466640E"/>
    <w:rsid w:val="546934B5"/>
    <w:rsid w:val="54B814E6"/>
    <w:rsid w:val="54C80111"/>
    <w:rsid w:val="54DF133D"/>
    <w:rsid w:val="54E91CA3"/>
    <w:rsid w:val="55366C60"/>
    <w:rsid w:val="55581592"/>
    <w:rsid w:val="555962BC"/>
    <w:rsid w:val="556E43EF"/>
    <w:rsid w:val="55942F11"/>
    <w:rsid w:val="559B174B"/>
    <w:rsid w:val="559C55C2"/>
    <w:rsid w:val="55A74B06"/>
    <w:rsid w:val="55B0280D"/>
    <w:rsid w:val="55CE0CF4"/>
    <w:rsid w:val="55E04FA0"/>
    <w:rsid w:val="55E20665"/>
    <w:rsid w:val="561465EC"/>
    <w:rsid w:val="56254F08"/>
    <w:rsid w:val="56471FF4"/>
    <w:rsid w:val="56494582"/>
    <w:rsid w:val="56845C9B"/>
    <w:rsid w:val="56B22A9C"/>
    <w:rsid w:val="56DE4CCA"/>
    <w:rsid w:val="56F42740"/>
    <w:rsid w:val="56FB0016"/>
    <w:rsid w:val="56FD7AF5"/>
    <w:rsid w:val="570853DD"/>
    <w:rsid w:val="574761CB"/>
    <w:rsid w:val="574F5BC8"/>
    <w:rsid w:val="575B3F6A"/>
    <w:rsid w:val="57637240"/>
    <w:rsid w:val="57637A25"/>
    <w:rsid w:val="57680A38"/>
    <w:rsid w:val="57721347"/>
    <w:rsid w:val="57B13C22"/>
    <w:rsid w:val="57B72A76"/>
    <w:rsid w:val="57BF3021"/>
    <w:rsid w:val="57C57C38"/>
    <w:rsid w:val="57DE61E7"/>
    <w:rsid w:val="584077DE"/>
    <w:rsid w:val="589F5AF1"/>
    <w:rsid w:val="58AC2BA6"/>
    <w:rsid w:val="58D14DFF"/>
    <w:rsid w:val="58D70D01"/>
    <w:rsid w:val="58EA247B"/>
    <w:rsid w:val="58EA5261"/>
    <w:rsid w:val="59063E6A"/>
    <w:rsid w:val="590B3889"/>
    <w:rsid w:val="591C4E62"/>
    <w:rsid w:val="592F7A5F"/>
    <w:rsid w:val="59370F2E"/>
    <w:rsid w:val="59515D65"/>
    <w:rsid w:val="59685A19"/>
    <w:rsid w:val="598D56D0"/>
    <w:rsid w:val="59A64662"/>
    <w:rsid w:val="59CE409E"/>
    <w:rsid w:val="59D30FAC"/>
    <w:rsid w:val="59D623BF"/>
    <w:rsid w:val="59D81680"/>
    <w:rsid w:val="5A001CFE"/>
    <w:rsid w:val="5A0667DA"/>
    <w:rsid w:val="5A132EDD"/>
    <w:rsid w:val="5A1F3552"/>
    <w:rsid w:val="5A244119"/>
    <w:rsid w:val="5A2D5E09"/>
    <w:rsid w:val="5A3C747D"/>
    <w:rsid w:val="5A463080"/>
    <w:rsid w:val="5A567173"/>
    <w:rsid w:val="5A570E53"/>
    <w:rsid w:val="5A6E45B7"/>
    <w:rsid w:val="5A743EE8"/>
    <w:rsid w:val="5A7475D0"/>
    <w:rsid w:val="5A7F6687"/>
    <w:rsid w:val="5A9603F4"/>
    <w:rsid w:val="5A9B1124"/>
    <w:rsid w:val="5AB62737"/>
    <w:rsid w:val="5ABE2233"/>
    <w:rsid w:val="5ACC7530"/>
    <w:rsid w:val="5ADC69F9"/>
    <w:rsid w:val="5ADF06F4"/>
    <w:rsid w:val="5AF1783B"/>
    <w:rsid w:val="5B276D18"/>
    <w:rsid w:val="5B372E41"/>
    <w:rsid w:val="5B450603"/>
    <w:rsid w:val="5B4D1CA2"/>
    <w:rsid w:val="5B5A2D8E"/>
    <w:rsid w:val="5B6A2A2F"/>
    <w:rsid w:val="5B6D20D2"/>
    <w:rsid w:val="5B7B37E4"/>
    <w:rsid w:val="5BBE52C6"/>
    <w:rsid w:val="5BCA28CD"/>
    <w:rsid w:val="5BCB7DB8"/>
    <w:rsid w:val="5BDF5D95"/>
    <w:rsid w:val="5BED1419"/>
    <w:rsid w:val="5BF14AA0"/>
    <w:rsid w:val="5C19442B"/>
    <w:rsid w:val="5C1D2DF1"/>
    <w:rsid w:val="5C2D7C8F"/>
    <w:rsid w:val="5C2F3ED8"/>
    <w:rsid w:val="5C6E4D42"/>
    <w:rsid w:val="5C7D4F86"/>
    <w:rsid w:val="5C9243E0"/>
    <w:rsid w:val="5CD12277"/>
    <w:rsid w:val="5CE0458A"/>
    <w:rsid w:val="5CF85B9A"/>
    <w:rsid w:val="5CFF6964"/>
    <w:rsid w:val="5D283047"/>
    <w:rsid w:val="5D3552C6"/>
    <w:rsid w:val="5D3F6F7E"/>
    <w:rsid w:val="5D606F51"/>
    <w:rsid w:val="5D8365CC"/>
    <w:rsid w:val="5DA14033"/>
    <w:rsid w:val="5DAC1464"/>
    <w:rsid w:val="5DAF1D40"/>
    <w:rsid w:val="5DB35CED"/>
    <w:rsid w:val="5DF87A0F"/>
    <w:rsid w:val="5E343C69"/>
    <w:rsid w:val="5E4558C6"/>
    <w:rsid w:val="5E684504"/>
    <w:rsid w:val="5E79352B"/>
    <w:rsid w:val="5E8819C0"/>
    <w:rsid w:val="5E977DB7"/>
    <w:rsid w:val="5EAA381F"/>
    <w:rsid w:val="5EAA389B"/>
    <w:rsid w:val="5EAC28D1"/>
    <w:rsid w:val="5EBC126E"/>
    <w:rsid w:val="5EC21376"/>
    <w:rsid w:val="5EC75F06"/>
    <w:rsid w:val="5F00223E"/>
    <w:rsid w:val="5F033E46"/>
    <w:rsid w:val="5F1A2B43"/>
    <w:rsid w:val="5F304531"/>
    <w:rsid w:val="5F561DD5"/>
    <w:rsid w:val="5F591B3A"/>
    <w:rsid w:val="5FA160A2"/>
    <w:rsid w:val="5FA647F3"/>
    <w:rsid w:val="5FB837BB"/>
    <w:rsid w:val="5FCC35C1"/>
    <w:rsid w:val="60173560"/>
    <w:rsid w:val="60203E8B"/>
    <w:rsid w:val="60262315"/>
    <w:rsid w:val="60326087"/>
    <w:rsid w:val="606C0869"/>
    <w:rsid w:val="60763B67"/>
    <w:rsid w:val="607C41C4"/>
    <w:rsid w:val="6086109E"/>
    <w:rsid w:val="608B3359"/>
    <w:rsid w:val="60B03D86"/>
    <w:rsid w:val="60B62814"/>
    <w:rsid w:val="60C56CF4"/>
    <w:rsid w:val="61001CE1"/>
    <w:rsid w:val="6102425A"/>
    <w:rsid w:val="6103286A"/>
    <w:rsid w:val="61096DE8"/>
    <w:rsid w:val="611E05AD"/>
    <w:rsid w:val="612244B8"/>
    <w:rsid w:val="61442089"/>
    <w:rsid w:val="6147113D"/>
    <w:rsid w:val="61563A1F"/>
    <w:rsid w:val="615D174F"/>
    <w:rsid w:val="61B956A8"/>
    <w:rsid w:val="61BB4469"/>
    <w:rsid w:val="61C34F67"/>
    <w:rsid w:val="61F70C4A"/>
    <w:rsid w:val="62007DEB"/>
    <w:rsid w:val="621517BC"/>
    <w:rsid w:val="621E7194"/>
    <w:rsid w:val="62222F3A"/>
    <w:rsid w:val="62364782"/>
    <w:rsid w:val="6261196E"/>
    <w:rsid w:val="62671381"/>
    <w:rsid w:val="626C0B12"/>
    <w:rsid w:val="62946B14"/>
    <w:rsid w:val="62E31A7F"/>
    <w:rsid w:val="637E6DA4"/>
    <w:rsid w:val="63A27C79"/>
    <w:rsid w:val="63A63014"/>
    <w:rsid w:val="63D40BE9"/>
    <w:rsid w:val="63D5282B"/>
    <w:rsid w:val="63D80CF3"/>
    <w:rsid w:val="63D93BC8"/>
    <w:rsid w:val="63E0211F"/>
    <w:rsid w:val="63FE3473"/>
    <w:rsid w:val="642946B0"/>
    <w:rsid w:val="64446389"/>
    <w:rsid w:val="64657690"/>
    <w:rsid w:val="6491057F"/>
    <w:rsid w:val="64B67287"/>
    <w:rsid w:val="64F179BC"/>
    <w:rsid w:val="652C2777"/>
    <w:rsid w:val="652D674E"/>
    <w:rsid w:val="65311CC7"/>
    <w:rsid w:val="65313143"/>
    <w:rsid w:val="65373578"/>
    <w:rsid w:val="653C3A58"/>
    <w:rsid w:val="653D75B9"/>
    <w:rsid w:val="655B614F"/>
    <w:rsid w:val="657615C7"/>
    <w:rsid w:val="65894870"/>
    <w:rsid w:val="658D03F3"/>
    <w:rsid w:val="659312C7"/>
    <w:rsid w:val="65C36DFC"/>
    <w:rsid w:val="662E2F39"/>
    <w:rsid w:val="66490CBF"/>
    <w:rsid w:val="664A412A"/>
    <w:rsid w:val="665A5356"/>
    <w:rsid w:val="66BC66AA"/>
    <w:rsid w:val="66C6333C"/>
    <w:rsid w:val="66C67203"/>
    <w:rsid w:val="66CE0C41"/>
    <w:rsid w:val="66D165FA"/>
    <w:rsid w:val="66DB3022"/>
    <w:rsid w:val="66ED434B"/>
    <w:rsid w:val="67177D7A"/>
    <w:rsid w:val="673F2C7A"/>
    <w:rsid w:val="67433876"/>
    <w:rsid w:val="674D7681"/>
    <w:rsid w:val="675277C0"/>
    <w:rsid w:val="675C3383"/>
    <w:rsid w:val="67770676"/>
    <w:rsid w:val="678B767D"/>
    <w:rsid w:val="67912BEC"/>
    <w:rsid w:val="679B332C"/>
    <w:rsid w:val="67A70AA3"/>
    <w:rsid w:val="67AC51BE"/>
    <w:rsid w:val="680A4D20"/>
    <w:rsid w:val="681F6961"/>
    <w:rsid w:val="682848AE"/>
    <w:rsid w:val="68604F86"/>
    <w:rsid w:val="68610A2F"/>
    <w:rsid w:val="68805514"/>
    <w:rsid w:val="688651C2"/>
    <w:rsid w:val="68A3517F"/>
    <w:rsid w:val="68AF026D"/>
    <w:rsid w:val="68B30949"/>
    <w:rsid w:val="68C14ED1"/>
    <w:rsid w:val="68F83EEA"/>
    <w:rsid w:val="69090450"/>
    <w:rsid w:val="6911490C"/>
    <w:rsid w:val="692073C4"/>
    <w:rsid w:val="69220EA4"/>
    <w:rsid w:val="693911BD"/>
    <w:rsid w:val="693F4ECF"/>
    <w:rsid w:val="694E2071"/>
    <w:rsid w:val="69581AA5"/>
    <w:rsid w:val="69602435"/>
    <w:rsid w:val="697A3B33"/>
    <w:rsid w:val="699E2456"/>
    <w:rsid w:val="69A41DA4"/>
    <w:rsid w:val="69C716E9"/>
    <w:rsid w:val="69C75A92"/>
    <w:rsid w:val="69FE283B"/>
    <w:rsid w:val="6A051A5F"/>
    <w:rsid w:val="6A127D2E"/>
    <w:rsid w:val="6A244627"/>
    <w:rsid w:val="6A535737"/>
    <w:rsid w:val="6A54118B"/>
    <w:rsid w:val="6A556D8A"/>
    <w:rsid w:val="6A6E03A5"/>
    <w:rsid w:val="6A7166C7"/>
    <w:rsid w:val="6AB623DF"/>
    <w:rsid w:val="6AD20EBA"/>
    <w:rsid w:val="6B1104B4"/>
    <w:rsid w:val="6B322639"/>
    <w:rsid w:val="6B4B624F"/>
    <w:rsid w:val="6B5356D2"/>
    <w:rsid w:val="6B672CAD"/>
    <w:rsid w:val="6B6D17AC"/>
    <w:rsid w:val="6B7C460B"/>
    <w:rsid w:val="6BA37F5F"/>
    <w:rsid w:val="6BA92389"/>
    <w:rsid w:val="6BAB060E"/>
    <w:rsid w:val="6BC95436"/>
    <w:rsid w:val="6BCB366B"/>
    <w:rsid w:val="6BCC07F7"/>
    <w:rsid w:val="6BE5257B"/>
    <w:rsid w:val="6BF560F5"/>
    <w:rsid w:val="6C1C0317"/>
    <w:rsid w:val="6C314E7A"/>
    <w:rsid w:val="6C5A2BED"/>
    <w:rsid w:val="6C636C38"/>
    <w:rsid w:val="6C7316C6"/>
    <w:rsid w:val="6C781916"/>
    <w:rsid w:val="6CD92E29"/>
    <w:rsid w:val="6CF2783C"/>
    <w:rsid w:val="6CFD2200"/>
    <w:rsid w:val="6D0A279C"/>
    <w:rsid w:val="6D1014FE"/>
    <w:rsid w:val="6D1B05CF"/>
    <w:rsid w:val="6D20458E"/>
    <w:rsid w:val="6D3A1599"/>
    <w:rsid w:val="6D590646"/>
    <w:rsid w:val="6D6B1FDD"/>
    <w:rsid w:val="6D8D4522"/>
    <w:rsid w:val="6DB34098"/>
    <w:rsid w:val="6DB545B6"/>
    <w:rsid w:val="6DF130DE"/>
    <w:rsid w:val="6DF2413B"/>
    <w:rsid w:val="6DFC5E42"/>
    <w:rsid w:val="6E2E7CC1"/>
    <w:rsid w:val="6E4375A0"/>
    <w:rsid w:val="6E506F2B"/>
    <w:rsid w:val="6E514CED"/>
    <w:rsid w:val="6E79491A"/>
    <w:rsid w:val="6E8A5020"/>
    <w:rsid w:val="6EB563D5"/>
    <w:rsid w:val="6EDA6F7E"/>
    <w:rsid w:val="6F060E0B"/>
    <w:rsid w:val="6F1A48B6"/>
    <w:rsid w:val="6F225983"/>
    <w:rsid w:val="6F5F6032"/>
    <w:rsid w:val="6F741C1C"/>
    <w:rsid w:val="6F7B2DFD"/>
    <w:rsid w:val="6F7B68ED"/>
    <w:rsid w:val="6F7C57D6"/>
    <w:rsid w:val="6F8A6D33"/>
    <w:rsid w:val="6FA94EA0"/>
    <w:rsid w:val="6FCF744E"/>
    <w:rsid w:val="6FF632B8"/>
    <w:rsid w:val="6FFC5590"/>
    <w:rsid w:val="7000585A"/>
    <w:rsid w:val="70141AC7"/>
    <w:rsid w:val="70147557"/>
    <w:rsid w:val="702545FC"/>
    <w:rsid w:val="702A7A17"/>
    <w:rsid w:val="70301DA3"/>
    <w:rsid w:val="70313C65"/>
    <w:rsid w:val="7036127C"/>
    <w:rsid w:val="70375785"/>
    <w:rsid w:val="705014D9"/>
    <w:rsid w:val="70683FC8"/>
    <w:rsid w:val="706D1DD0"/>
    <w:rsid w:val="70700C31"/>
    <w:rsid w:val="70855CBF"/>
    <w:rsid w:val="70856B87"/>
    <w:rsid w:val="70B6384D"/>
    <w:rsid w:val="70BE13B6"/>
    <w:rsid w:val="70D527EE"/>
    <w:rsid w:val="70F5346D"/>
    <w:rsid w:val="7108462D"/>
    <w:rsid w:val="71171359"/>
    <w:rsid w:val="71313929"/>
    <w:rsid w:val="713C1A43"/>
    <w:rsid w:val="713C664E"/>
    <w:rsid w:val="7145474D"/>
    <w:rsid w:val="714F5978"/>
    <w:rsid w:val="715B5300"/>
    <w:rsid w:val="715F4BD7"/>
    <w:rsid w:val="71797077"/>
    <w:rsid w:val="71811E32"/>
    <w:rsid w:val="71C806C0"/>
    <w:rsid w:val="71CF667C"/>
    <w:rsid w:val="71D22FDF"/>
    <w:rsid w:val="71D27F8A"/>
    <w:rsid w:val="71F744C6"/>
    <w:rsid w:val="71F960CF"/>
    <w:rsid w:val="71FD0C88"/>
    <w:rsid w:val="720518C1"/>
    <w:rsid w:val="72760AA9"/>
    <w:rsid w:val="728B79A4"/>
    <w:rsid w:val="72C66FE6"/>
    <w:rsid w:val="72C829BE"/>
    <w:rsid w:val="72E66559"/>
    <w:rsid w:val="73125FD0"/>
    <w:rsid w:val="731D4F3E"/>
    <w:rsid w:val="731F5D5E"/>
    <w:rsid w:val="73612414"/>
    <w:rsid w:val="737335FF"/>
    <w:rsid w:val="73792C0C"/>
    <w:rsid w:val="73997498"/>
    <w:rsid w:val="73AD40A8"/>
    <w:rsid w:val="73C10152"/>
    <w:rsid w:val="73C4335D"/>
    <w:rsid w:val="73D508E9"/>
    <w:rsid w:val="73DB0AB8"/>
    <w:rsid w:val="73E01C2A"/>
    <w:rsid w:val="73E11809"/>
    <w:rsid w:val="73ED07EB"/>
    <w:rsid w:val="740D5924"/>
    <w:rsid w:val="741E793C"/>
    <w:rsid w:val="742A7388"/>
    <w:rsid w:val="742C30C1"/>
    <w:rsid w:val="74787A61"/>
    <w:rsid w:val="747F58E7"/>
    <w:rsid w:val="748C1DB2"/>
    <w:rsid w:val="74AF26C7"/>
    <w:rsid w:val="74E474F8"/>
    <w:rsid w:val="74EE4198"/>
    <w:rsid w:val="75115E30"/>
    <w:rsid w:val="752359B7"/>
    <w:rsid w:val="752E5521"/>
    <w:rsid w:val="75586606"/>
    <w:rsid w:val="75866E22"/>
    <w:rsid w:val="758D75E2"/>
    <w:rsid w:val="75C87C85"/>
    <w:rsid w:val="75E05DC1"/>
    <w:rsid w:val="75EF407E"/>
    <w:rsid w:val="75FF0C10"/>
    <w:rsid w:val="75FF4B71"/>
    <w:rsid w:val="760E1E60"/>
    <w:rsid w:val="763933D7"/>
    <w:rsid w:val="76425769"/>
    <w:rsid w:val="766A1E62"/>
    <w:rsid w:val="767427BE"/>
    <w:rsid w:val="768E1E11"/>
    <w:rsid w:val="768F005F"/>
    <w:rsid w:val="76AF56C5"/>
    <w:rsid w:val="76CC5950"/>
    <w:rsid w:val="76DD06A3"/>
    <w:rsid w:val="770A32B2"/>
    <w:rsid w:val="77144843"/>
    <w:rsid w:val="771A7603"/>
    <w:rsid w:val="77270325"/>
    <w:rsid w:val="774D3A7A"/>
    <w:rsid w:val="77762421"/>
    <w:rsid w:val="77847CED"/>
    <w:rsid w:val="778A3D2B"/>
    <w:rsid w:val="77947164"/>
    <w:rsid w:val="77AC1E41"/>
    <w:rsid w:val="77B7199D"/>
    <w:rsid w:val="77DC6BAC"/>
    <w:rsid w:val="77E02CA2"/>
    <w:rsid w:val="77F9113C"/>
    <w:rsid w:val="780F09F4"/>
    <w:rsid w:val="784571D9"/>
    <w:rsid w:val="78547024"/>
    <w:rsid w:val="785D03D3"/>
    <w:rsid w:val="787272BA"/>
    <w:rsid w:val="7886490C"/>
    <w:rsid w:val="789C4F47"/>
    <w:rsid w:val="78A64125"/>
    <w:rsid w:val="78A90480"/>
    <w:rsid w:val="78B83176"/>
    <w:rsid w:val="78C729E3"/>
    <w:rsid w:val="78F55068"/>
    <w:rsid w:val="791B3ED3"/>
    <w:rsid w:val="792F2052"/>
    <w:rsid w:val="79300590"/>
    <w:rsid w:val="794E5888"/>
    <w:rsid w:val="795964B1"/>
    <w:rsid w:val="795F1BBD"/>
    <w:rsid w:val="79661FAA"/>
    <w:rsid w:val="79701613"/>
    <w:rsid w:val="79811327"/>
    <w:rsid w:val="79955265"/>
    <w:rsid w:val="79D75714"/>
    <w:rsid w:val="7A0E4775"/>
    <w:rsid w:val="7A337F73"/>
    <w:rsid w:val="7A364017"/>
    <w:rsid w:val="7A41392D"/>
    <w:rsid w:val="7A4C12F6"/>
    <w:rsid w:val="7A6A624B"/>
    <w:rsid w:val="7A6C65C0"/>
    <w:rsid w:val="7A801FB3"/>
    <w:rsid w:val="7A8265E1"/>
    <w:rsid w:val="7A9D2044"/>
    <w:rsid w:val="7AC06CFB"/>
    <w:rsid w:val="7AD71C17"/>
    <w:rsid w:val="7AE364A4"/>
    <w:rsid w:val="7AEF3A4F"/>
    <w:rsid w:val="7AF46821"/>
    <w:rsid w:val="7AF50549"/>
    <w:rsid w:val="7AF53541"/>
    <w:rsid w:val="7B054DBB"/>
    <w:rsid w:val="7B3F62EE"/>
    <w:rsid w:val="7B686D42"/>
    <w:rsid w:val="7B6A0170"/>
    <w:rsid w:val="7B755707"/>
    <w:rsid w:val="7B841746"/>
    <w:rsid w:val="7BCF3D54"/>
    <w:rsid w:val="7BDF3223"/>
    <w:rsid w:val="7BFB635A"/>
    <w:rsid w:val="7C1C2ABD"/>
    <w:rsid w:val="7C1F2E16"/>
    <w:rsid w:val="7CB2284F"/>
    <w:rsid w:val="7D0239FF"/>
    <w:rsid w:val="7D0F187B"/>
    <w:rsid w:val="7D20753B"/>
    <w:rsid w:val="7D3956EA"/>
    <w:rsid w:val="7D5E40CD"/>
    <w:rsid w:val="7D6440C4"/>
    <w:rsid w:val="7D693BED"/>
    <w:rsid w:val="7D7C73AE"/>
    <w:rsid w:val="7D7E1735"/>
    <w:rsid w:val="7D8B0AA6"/>
    <w:rsid w:val="7D8D3846"/>
    <w:rsid w:val="7DA03370"/>
    <w:rsid w:val="7DA65030"/>
    <w:rsid w:val="7DAF48B2"/>
    <w:rsid w:val="7DCF326A"/>
    <w:rsid w:val="7DD15CE9"/>
    <w:rsid w:val="7DD212B0"/>
    <w:rsid w:val="7DD27BDA"/>
    <w:rsid w:val="7DE74669"/>
    <w:rsid w:val="7E1846B6"/>
    <w:rsid w:val="7E2E2C3C"/>
    <w:rsid w:val="7E37134A"/>
    <w:rsid w:val="7E4A3B1C"/>
    <w:rsid w:val="7E6065AE"/>
    <w:rsid w:val="7E676E21"/>
    <w:rsid w:val="7E6C254E"/>
    <w:rsid w:val="7E9A67DC"/>
    <w:rsid w:val="7E9B2601"/>
    <w:rsid w:val="7EC469CB"/>
    <w:rsid w:val="7EE501E3"/>
    <w:rsid w:val="7F196E88"/>
    <w:rsid w:val="7F1D649E"/>
    <w:rsid w:val="7F3C4650"/>
    <w:rsid w:val="7F4129D9"/>
    <w:rsid w:val="7F942D35"/>
    <w:rsid w:val="7FA170DF"/>
    <w:rsid w:val="7FA8165C"/>
    <w:rsid w:val="7FD30895"/>
    <w:rsid w:val="7FD837E3"/>
    <w:rsid w:val="7FDF723A"/>
    <w:rsid w:val="7FE47E50"/>
    <w:rsid w:val="7FF2485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f">
      <v:fill on="t" focussize="0,0"/>
      <v:stroke on="f"/>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ocked="1"/>
    <w:lsdException w:qFormat="1" w:unhideWhenUsed="0" w:uiPriority="6" w:semiHidden="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sdException w:unhideWhenUsed="0" w:uiPriority="0" w:semiHidden="0" w:name="index 2"/>
    <w:lsdException w:unhideWhenUsed="0" w:uiPriority="0" w:semiHidden="0" w:name="index 3"/>
    <w:lsdException w:qFormat="1"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ocked="1"/>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qFormat="1" w:uiPriority="99"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ocked="1"/>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ocked="1"/>
    <w:lsdException w:unhideWhenUsed="0" w:uiPriority="0" w:semiHidden="0" w:name="Salutation"/>
    <w:lsdException w:qFormat="1" w:unhideWhenUsed="0" w:uiPriority="0" w:semiHidden="0" w:name="Date"/>
    <w:lsdException w:qFormat="1" w:uiPriority="99"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ocked="1"/>
    <w:lsdException w:qFormat="1" w:unhideWhenUsed="0" w:uiPriority="0" w:semiHidden="0" w:name="Emphasis" w:locked="1"/>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9">
    <w:name w:val="heading 1"/>
    <w:basedOn w:val="1"/>
    <w:next w:val="1"/>
    <w:qFormat/>
    <w:uiPriority w:val="0"/>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10">
    <w:name w:val="heading 2"/>
    <w:basedOn w:val="1"/>
    <w:next w:val="1"/>
    <w:link w:val="38"/>
    <w:unhideWhenUsed/>
    <w:qFormat/>
    <w:locked/>
    <w:uiPriority w:val="0"/>
    <w:pPr>
      <w:keepNext/>
      <w:keepLines/>
      <w:spacing w:before="260" w:after="260" w:line="416" w:lineRule="auto"/>
      <w:outlineLvl w:val="1"/>
    </w:pPr>
    <w:rPr>
      <w:rFonts w:ascii="Cambria" w:hAnsi="Cambria"/>
      <w:b/>
      <w:bCs/>
      <w:sz w:val="32"/>
      <w:szCs w:val="32"/>
    </w:rPr>
  </w:style>
  <w:style w:type="paragraph" w:styleId="11">
    <w:name w:val="heading 3"/>
    <w:basedOn w:val="1"/>
    <w:next w:val="1"/>
    <w:qFormat/>
    <w:locked/>
    <w:uiPriority w:val="6"/>
    <w:pPr>
      <w:keepNext/>
      <w:keepLines/>
      <w:widowControl/>
      <w:tabs>
        <w:tab w:val="left" w:pos="2340"/>
      </w:tabs>
      <w:adjustRightInd w:val="0"/>
      <w:snapToGrid w:val="0"/>
      <w:spacing w:before="24" w:after="24" w:line="360" w:lineRule="auto"/>
      <w:ind w:left="480"/>
      <w:outlineLvl w:val="2"/>
    </w:pPr>
    <w:rPr>
      <w:b/>
      <w:bCs/>
      <w:color w:val="000000"/>
      <w:sz w:val="28"/>
      <w:szCs w:val="30"/>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2">
    <w:name w:val="Body Text Indent"/>
    <w:basedOn w:val="1"/>
    <w:next w:val="3"/>
    <w:link w:val="40"/>
    <w:semiHidden/>
    <w:qFormat/>
    <w:uiPriority w:val="0"/>
    <w:pPr>
      <w:spacing w:after="120"/>
      <w:ind w:left="420" w:leftChars="200"/>
    </w:pPr>
  </w:style>
  <w:style w:type="paragraph" w:customStyle="1" w:styleId="3">
    <w:name w:val="xl97"/>
    <w:basedOn w:val="1"/>
    <w:next w:val="4"/>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kern w:val="0"/>
      <w:sz w:val="20"/>
      <w:szCs w:val="20"/>
    </w:rPr>
  </w:style>
  <w:style w:type="paragraph" w:customStyle="1" w:styleId="4">
    <w:name w:val="xl127"/>
    <w:basedOn w:val="5"/>
    <w:next w:val="7"/>
    <w:qFormat/>
    <w:uiPriority w:val="0"/>
    <w:pPr>
      <w:spacing w:before="100" w:beforeAutospacing="1" w:after="100" w:afterAutospacing="1"/>
      <w:jc w:val="left"/>
      <w:textAlignment w:val="center"/>
    </w:pPr>
  </w:style>
  <w:style w:type="paragraph" w:styleId="5">
    <w:name w:val="Body Text"/>
    <w:basedOn w:val="1"/>
    <w:next w:val="6"/>
    <w:link w:val="37"/>
    <w:qFormat/>
    <w:uiPriority w:val="0"/>
    <w:pPr>
      <w:widowControl/>
      <w:snapToGrid w:val="0"/>
      <w:spacing w:before="60" w:after="160" w:line="259" w:lineRule="auto"/>
      <w:ind w:right="113"/>
    </w:pPr>
    <w:rPr>
      <w:kern w:val="0"/>
      <w:sz w:val="18"/>
      <w:szCs w:val="18"/>
    </w:rPr>
  </w:style>
  <w:style w:type="paragraph" w:styleId="6">
    <w:name w:val="annotation text"/>
    <w:basedOn w:val="1"/>
    <w:next w:val="1"/>
    <w:link w:val="39"/>
    <w:semiHidden/>
    <w:qFormat/>
    <w:uiPriority w:val="0"/>
    <w:pPr>
      <w:jc w:val="left"/>
    </w:pPr>
    <w:rPr>
      <w:kern w:val="0"/>
      <w:sz w:val="20"/>
    </w:rPr>
  </w:style>
  <w:style w:type="paragraph" w:customStyle="1" w:styleId="7">
    <w:name w:val="1"/>
    <w:basedOn w:val="8"/>
    <w:next w:val="1"/>
    <w:qFormat/>
    <w:uiPriority w:val="0"/>
    <w:pPr>
      <w:ind w:left="420" w:leftChars="200"/>
    </w:pPr>
  </w:style>
  <w:style w:type="paragraph" w:styleId="8">
    <w:name w:val="Body Text 2"/>
    <w:basedOn w:val="1"/>
    <w:qFormat/>
    <w:uiPriority w:val="0"/>
    <w:pPr>
      <w:spacing w:after="120" w:line="480" w:lineRule="auto"/>
    </w:pPr>
  </w:style>
  <w:style w:type="paragraph" w:styleId="12">
    <w:name w:val="table of authorities"/>
    <w:basedOn w:val="1"/>
    <w:next w:val="1"/>
    <w:unhideWhenUsed/>
    <w:qFormat/>
    <w:uiPriority w:val="99"/>
    <w:pPr>
      <w:spacing w:line="560" w:lineRule="exact"/>
      <w:ind w:left="420" w:leftChars="200"/>
    </w:pPr>
    <w:rPr>
      <w:sz w:val="24"/>
      <w:szCs w:val="21"/>
    </w:rPr>
  </w:style>
  <w:style w:type="paragraph" w:styleId="13">
    <w:name w:val="Normal Indent"/>
    <w:basedOn w:val="1"/>
    <w:next w:val="14"/>
    <w:qFormat/>
    <w:uiPriority w:val="0"/>
    <w:pPr>
      <w:spacing w:line="480" w:lineRule="exact"/>
      <w:ind w:left="480" w:right="12" w:rightChars="12" w:firstLine="192" w:firstLineChars="192"/>
    </w:pPr>
    <w:rPr>
      <w:bCs/>
      <w:sz w:val="24"/>
    </w:rPr>
  </w:style>
  <w:style w:type="paragraph" w:customStyle="1" w:styleId="14">
    <w:name w:val="样式 正文文本 + 首行缩进:  2 字符"/>
    <w:qFormat/>
    <w:uiPriority w:val="99"/>
    <w:pPr>
      <w:spacing w:after="200" w:line="480" w:lineRule="exact"/>
      <w:ind w:firstLine="480" w:firstLineChars="200"/>
    </w:pPr>
    <w:rPr>
      <w:rFonts w:ascii="Times New Roman" w:hAnsi="Times New Roman" w:eastAsia="微软雅黑" w:cs="Times New Roman"/>
      <w:sz w:val="24"/>
      <w:szCs w:val="22"/>
      <w:lang w:val="en-US" w:eastAsia="zh-CN" w:bidi="ar-SA"/>
    </w:rPr>
  </w:style>
  <w:style w:type="paragraph" w:styleId="15">
    <w:name w:val="caption"/>
    <w:basedOn w:val="1"/>
    <w:next w:val="1"/>
    <w:qFormat/>
    <w:locked/>
    <w:uiPriority w:val="0"/>
    <w:pPr>
      <w:jc w:val="center"/>
    </w:pPr>
    <w:rPr>
      <w:rFonts w:eastAsia="黑体"/>
      <w:sz w:val="24"/>
    </w:rPr>
  </w:style>
  <w:style w:type="paragraph" w:styleId="16">
    <w:name w:val="Block Text"/>
    <w:basedOn w:val="1"/>
    <w:qFormat/>
    <w:uiPriority w:val="0"/>
    <w:pPr>
      <w:snapToGrid w:val="0"/>
      <w:spacing w:line="420" w:lineRule="exact"/>
      <w:ind w:left="101" w:leftChars="48" w:right="149" w:rightChars="71" w:firstLine="426" w:firstLineChars="202"/>
    </w:pPr>
  </w:style>
  <w:style w:type="paragraph" w:styleId="17">
    <w:name w:val="index 4"/>
    <w:basedOn w:val="1"/>
    <w:next w:val="1"/>
    <w:qFormat/>
    <w:uiPriority w:val="0"/>
    <w:pPr>
      <w:spacing w:line="360" w:lineRule="auto"/>
      <w:ind w:firstLine="480" w:firstLineChars="200"/>
    </w:pPr>
  </w:style>
  <w:style w:type="paragraph" w:styleId="18">
    <w:name w:val="Plain Text"/>
    <w:basedOn w:val="1"/>
    <w:next w:val="1"/>
    <w:qFormat/>
    <w:uiPriority w:val="0"/>
    <w:rPr>
      <w:rFonts w:ascii="宋体" w:hAnsi="Courier New"/>
    </w:rPr>
  </w:style>
  <w:style w:type="paragraph" w:styleId="19">
    <w:name w:val="Date"/>
    <w:basedOn w:val="1"/>
    <w:next w:val="1"/>
    <w:link w:val="41"/>
    <w:qFormat/>
    <w:uiPriority w:val="0"/>
    <w:pPr>
      <w:ind w:left="100" w:leftChars="2500"/>
    </w:pPr>
    <w:rPr>
      <w:kern w:val="0"/>
      <w:sz w:val="20"/>
    </w:rPr>
  </w:style>
  <w:style w:type="paragraph" w:styleId="20">
    <w:name w:val="Body Text Indent 2"/>
    <w:basedOn w:val="1"/>
    <w:next w:val="21"/>
    <w:qFormat/>
    <w:uiPriority w:val="0"/>
    <w:pPr>
      <w:spacing w:line="360" w:lineRule="auto"/>
      <w:ind w:firstLine="480" w:firstLineChars="200"/>
    </w:pPr>
    <w:rPr>
      <w:sz w:val="24"/>
    </w:rPr>
  </w:style>
  <w:style w:type="paragraph" w:styleId="21">
    <w:name w:val="Normal (Web)"/>
    <w:basedOn w:val="1"/>
    <w:link w:val="42"/>
    <w:qFormat/>
    <w:uiPriority w:val="0"/>
    <w:pPr>
      <w:widowControl/>
      <w:spacing w:before="100" w:beforeAutospacing="1" w:after="100" w:afterAutospacing="1"/>
      <w:jc w:val="left"/>
    </w:pPr>
    <w:rPr>
      <w:rFonts w:ascii="宋体" w:hAnsi="宋体"/>
      <w:kern w:val="0"/>
      <w:sz w:val="24"/>
    </w:rPr>
  </w:style>
  <w:style w:type="paragraph" w:styleId="22">
    <w:name w:val="Balloon Text"/>
    <w:basedOn w:val="1"/>
    <w:link w:val="43"/>
    <w:semiHidden/>
    <w:qFormat/>
    <w:uiPriority w:val="0"/>
    <w:rPr>
      <w:sz w:val="18"/>
      <w:szCs w:val="18"/>
    </w:rPr>
  </w:style>
  <w:style w:type="paragraph" w:styleId="23">
    <w:name w:val="footer"/>
    <w:basedOn w:val="1"/>
    <w:link w:val="44"/>
    <w:qFormat/>
    <w:uiPriority w:val="0"/>
    <w:pPr>
      <w:tabs>
        <w:tab w:val="center" w:pos="4153"/>
        <w:tab w:val="right" w:pos="8306"/>
      </w:tabs>
      <w:snapToGrid w:val="0"/>
      <w:jc w:val="left"/>
    </w:pPr>
    <w:rPr>
      <w:sz w:val="18"/>
      <w:szCs w:val="18"/>
    </w:rPr>
  </w:style>
  <w:style w:type="paragraph" w:styleId="24">
    <w:name w:val="header"/>
    <w:basedOn w:val="1"/>
    <w:link w:val="45"/>
    <w:qFormat/>
    <w:uiPriority w:val="0"/>
    <w:pPr>
      <w:pBdr>
        <w:bottom w:val="single" w:color="auto" w:sz="6" w:space="1"/>
      </w:pBdr>
      <w:tabs>
        <w:tab w:val="center" w:pos="4153"/>
        <w:tab w:val="right" w:pos="8306"/>
      </w:tabs>
      <w:snapToGrid w:val="0"/>
      <w:jc w:val="center"/>
    </w:pPr>
    <w:rPr>
      <w:sz w:val="18"/>
      <w:szCs w:val="18"/>
    </w:rPr>
  </w:style>
  <w:style w:type="paragraph" w:styleId="25">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kern w:val="0"/>
      <w:sz w:val="24"/>
    </w:rPr>
  </w:style>
  <w:style w:type="paragraph" w:styleId="26">
    <w:name w:val="annotation subject"/>
    <w:basedOn w:val="6"/>
    <w:next w:val="6"/>
    <w:link w:val="46"/>
    <w:semiHidden/>
    <w:qFormat/>
    <w:uiPriority w:val="0"/>
    <w:rPr>
      <w:b/>
      <w:bCs/>
    </w:rPr>
  </w:style>
  <w:style w:type="paragraph" w:styleId="27">
    <w:name w:val="Body Text First Indent"/>
    <w:basedOn w:val="1"/>
    <w:unhideWhenUsed/>
    <w:qFormat/>
    <w:uiPriority w:val="99"/>
    <w:pPr>
      <w:widowControl/>
      <w:tabs>
        <w:tab w:val="left" w:pos="2340"/>
      </w:tabs>
      <w:adjustRightInd w:val="0"/>
      <w:snapToGrid w:val="0"/>
      <w:spacing w:line="360" w:lineRule="auto"/>
      <w:ind w:firstLine="200" w:firstLineChars="200"/>
    </w:pPr>
    <w:rPr>
      <w:color w:val="000000"/>
      <w:sz w:val="24"/>
    </w:rPr>
  </w:style>
  <w:style w:type="paragraph" w:styleId="28">
    <w:name w:val="Body Text First Indent 2"/>
    <w:basedOn w:val="1"/>
    <w:next w:val="1"/>
    <w:qFormat/>
    <w:uiPriority w:val="0"/>
    <w:pPr>
      <w:spacing w:after="120" w:line="460" w:lineRule="exact"/>
      <w:ind w:left="420" w:leftChars="200" w:firstLine="420"/>
    </w:pPr>
    <w:rPr>
      <w:rFonts w:ascii="仿宋_GB2312" w:eastAsia="仿宋_GB2312"/>
    </w:rPr>
  </w:style>
  <w:style w:type="table" w:styleId="30">
    <w:name w:val="Table Grid"/>
    <w:basedOn w:val="29"/>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2">
    <w:name w:val="Strong"/>
    <w:basedOn w:val="31"/>
    <w:qFormat/>
    <w:locked/>
    <w:uiPriority w:val="0"/>
    <w:rPr>
      <w:b/>
    </w:rPr>
  </w:style>
  <w:style w:type="character" w:styleId="33">
    <w:name w:val="page number"/>
    <w:qFormat/>
    <w:uiPriority w:val="0"/>
  </w:style>
  <w:style w:type="character" w:styleId="34">
    <w:name w:val="Emphasis"/>
    <w:qFormat/>
    <w:locked/>
    <w:uiPriority w:val="0"/>
    <w:rPr>
      <w:color w:val="CC0000"/>
    </w:rPr>
  </w:style>
  <w:style w:type="character" w:styleId="35">
    <w:name w:val="Hyperlink"/>
    <w:qFormat/>
    <w:uiPriority w:val="0"/>
    <w:rPr>
      <w:color w:val="0000FF"/>
      <w:u w:val="single"/>
    </w:rPr>
  </w:style>
  <w:style w:type="character" w:styleId="36">
    <w:name w:val="annotation reference"/>
    <w:semiHidden/>
    <w:qFormat/>
    <w:uiPriority w:val="0"/>
    <w:rPr>
      <w:sz w:val="21"/>
    </w:rPr>
  </w:style>
  <w:style w:type="character" w:customStyle="1" w:styleId="37">
    <w:name w:val="正文文本 字符"/>
    <w:link w:val="5"/>
    <w:qFormat/>
    <w:locked/>
    <w:uiPriority w:val="0"/>
    <w:rPr>
      <w:sz w:val="18"/>
    </w:rPr>
  </w:style>
  <w:style w:type="character" w:customStyle="1" w:styleId="38">
    <w:name w:val="标题 2 字符"/>
    <w:link w:val="10"/>
    <w:semiHidden/>
    <w:qFormat/>
    <w:uiPriority w:val="0"/>
    <w:rPr>
      <w:rFonts w:ascii="Cambria" w:hAnsi="Cambria" w:eastAsia="宋体" w:cs="Times New Roman"/>
      <w:b/>
      <w:bCs/>
      <w:kern w:val="2"/>
      <w:sz w:val="32"/>
      <w:szCs w:val="32"/>
    </w:rPr>
  </w:style>
  <w:style w:type="character" w:customStyle="1" w:styleId="39">
    <w:name w:val="批注文字 字符"/>
    <w:link w:val="6"/>
    <w:qFormat/>
    <w:locked/>
    <w:uiPriority w:val="0"/>
    <w:rPr>
      <w:rFonts w:ascii="Times New Roman" w:hAnsi="Times New Roman" w:eastAsia="宋体"/>
      <w:sz w:val="24"/>
    </w:rPr>
  </w:style>
  <w:style w:type="character" w:customStyle="1" w:styleId="40">
    <w:name w:val="正文文本缩进 字符"/>
    <w:link w:val="2"/>
    <w:semiHidden/>
    <w:qFormat/>
    <w:locked/>
    <w:uiPriority w:val="0"/>
    <w:rPr>
      <w:rFonts w:ascii="Times New Roman" w:hAnsi="Times New Roman" w:eastAsia="宋体" w:cs="Times New Roman"/>
      <w:sz w:val="24"/>
      <w:szCs w:val="24"/>
    </w:rPr>
  </w:style>
  <w:style w:type="character" w:customStyle="1" w:styleId="41">
    <w:name w:val="日期 字符1"/>
    <w:link w:val="19"/>
    <w:qFormat/>
    <w:locked/>
    <w:uiPriority w:val="0"/>
    <w:rPr>
      <w:rFonts w:ascii="Times New Roman" w:hAnsi="Times New Roman" w:eastAsia="宋体"/>
      <w:sz w:val="24"/>
    </w:rPr>
  </w:style>
  <w:style w:type="character" w:customStyle="1" w:styleId="42">
    <w:name w:val="普通(网站) 字符"/>
    <w:link w:val="21"/>
    <w:qFormat/>
    <w:locked/>
    <w:uiPriority w:val="0"/>
    <w:rPr>
      <w:rFonts w:ascii="宋体" w:hAnsi="宋体" w:eastAsia="宋体"/>
      <w:sz w:val="24"/>
    </w:rPr>
  </w:style>
  <w:style w:type="character" w:customStyle="1" w:styleId="43">
    <w:name w:val="批注框文本 字符"/>
    <w:link w:val="22"/>
    <w:semiHidden/>
    <w:qFormat/>
    <w:locked/>
    <w:uiPriority w:val="0"/>
    <w:rPr>
      <w:rFonts w:ascii="Times New Roman" w:hAnsi="Times New Roman" w:eastAsia="宋体" w:cs="Times New Roman"/>
      <w:sz w:val="18"/>
      <w:szCs w:val="18"/>
    </w:rPr>
  </w:style>
  <w:style w:type="character" w:customStyle="1" w:styleId="44">
    <w:name w:val="页脚 字符"/>
    <w:link w:val="23"/>
    <w:qFormat/>
    <w:locked/>
    <w:uiPriority w:val="0"/>
    <w:rPr>
      <w:rFonts w:cs="Times New Roman"/>
      <w:sz w:val="18"/>
      <w:szCs w:val="18"/>
    </w:rPr>
  </w:style>
  <w:style w:type="character" w:customStyle="1" w:styleId="45">
    <w:name w:val="页眉 字符"/>
    <w:link w:val="24"/>
    <w:qFormat/>
    <w:locked/>
    <w:uiPriority w:val="0"/>
    <w:rPr>
      <w:rFonts w:cs="Times New Roman"/>
      <w:sz w:val="18"/>
      <w:szCs w:val="18"/>
    </w:rPr>
  </w:style>
  <w:style w:type="character" w:customStyle="1" w:styleId="46">
    <w:name w:val="批注主题 字符"/>
    <w:link w:val="26"/>
    <w:semiHidden/>
    <w:qFormat/>
    <w:locked/>
    <w:uiPriority w:val="0"/>
    <w:rPr>
      <w:rFonts w:cs="Times New Roman"/>
      <w:b/>
      <w:bCs/>
      <w:kern w:val="2"/>
      <w:szCs w:val="24"/>
    </w:rPr>
  </w:style>
  <w:style w:type="paragraph" w:customStyle="1" w:styleId="47">
    <w:name w:val="Default"/>
    <w:basedOn w:val="48"/>
    <w:qFormat/>
    <w:uiPriority w:val="0"/>
    <w:pPr>
      <w:autoSpaceDE w:val="0"/>
      <w:autoSpaceDN w:val="0"/>
      <w:adjustRightInd w:val="0"/>
    </w:pPr>
    <w:rPr>
      <w:rFonts w:hAnsi="Times New Roman" w:cs="宋体"/>
      <w:color w:val="000000"/>
      <w:sz w:val="24"/>
      <w:szCs w:val="24"/>
    </w:rPr>
  </w:style>
  <w:style w:type="paragraph" w:customStyle="1" w:styleId="48">
    <w:name w:val="纯文本1"/>
    <w:basedOn w:val="1"/>
    <w:qFormat/>
    <w:uiPriority w:val="0"/>
    <w:pPr>
      <w:textAlignment w:val="baseline"/>
    </w:pPr>
    <w:rPr>
      <w:rFonts w:ascii="宋体" w:hAnsi="Courier New"/>
      <w:szCs w:val="20"/>
    </w:rPr>
  </w:style>
  <w:style w:type="paragraph" w:customStyle="1" w:styleId="49">
    <w:name w:val="表格文字"/>
    <w:basedOn w:val="13"/>
    <w:next w:val="1"/>
    <w:qFormat/>
    <w:uiPriority w:val="0"/>
    <w:pPr>
      <w:spacing w:line="0" w:lineRule="atLeast"/>
      <w:jc w:val="center"/>
    </w:pPr>
  </w:style>
  <w:style w:type="character" w:customStyle="1" w:styleId="50">
    <w:name w:val="日期 字符"/>
    <w:semiHidden/>
    <w:qFormat/>
    <w:uiPriority w:val="0"/>
    <w:rPr>
      <w:rFonts w:ascii="Times New Roman" w:hAnsi="Times New Roman" w:eastAsia="宋体" w:cs="Times New Roman"/>
      <w:sz w:val="24"/>
      <w:szCs w:val="24"/>
    </w:rPr>
  </w:style>
  <w:style w:type="character" w:customStyle="1" w:styleId="51">
    <w:name w:val="正文文本 字符1"/>
    <w:semiHidden/>
    <w:qFormat/>
    <w:uiPriority w:val="0"/>
    <w:rPr>
      <w:rFonts w:ascii="Times New Roman" w:hAnsi="Times New Roman" w:eastAsia="宋体" w:cs="Times New Roman"/>
      <w:sz w:val="24"/>
      <w:szCs w:val="24"/>
    </w:rPr>
  </w:style>
  <w:style w:type="paragraph" w:customStyle="1" w:styleId="52">
    <w:name w:val="普通(网站)2"/>
    <w:basedOn w:val="1"/>
    <w:qFormat/>
    <w:uiPriority w:val="0"/>
    <w:pPr>
      <w:widowControl/>
      <w:spacing w:before="100" w:beforeAutospacing="1" w:after="100" w:afterAutospacing="1"/>
      <w:jc w:val="left"/>
    </w:pPr>
    <w:rPr>
      <w:rFonts w:ascii="宋体" w:hAnsi="宋体"/>
      <w:sz w:val="24"/>
      <w:szCs w:val="20"/>
    </w:rPr>
  </w:style>
  <w:style w:type="character" w:customStyle="1" w:styleId="53">
    <w:name w:val="表格 Char"/>
    <w:link w:val="54"/>
    <w:qFormat/>
    <w:locked/>
    <w:uiPriority w:val="0"/>
    <w:rPr>
      <w:rFonts w:ascii="宋体"/>
      <w:sz w:val="21"/>
    </w:rPr>
  </w:style>
  <w:style w:type="paragraph" w:customStyle="1" w:styleId="54">
    <w:name w:val="表格"/>
    <w:basedOn w:val="1"/>
    <w:link w:val="53"/>
    <w:qFormat/>
    <w:uiPriority w:val="0"/>
    <w:pPr>
      <w:adjustRightInd w:val="0"/>
      <w:snapToGrid w:val="0"/>
      <w:spacing w:beforeLines="10" w:afterLines="10" w:line="259" w:lineRule="auto"/>
      <w:jc w:val="center"/>
    </w:pPr>
    <w:rPr>
      <w:rFonts w:ascii="宋体"/>
      <w:kern w:val="0"/>
      <w:sz w:val="20"/>
      <w:szCs w:val="21"/>
    </w:rPr>
  </w:style>
  <w:style w:type="character" w:customStyle="1" w:styleId="55">
    <w:name w:val="批注文字 字符1"/>
    <w:semiHidden/>
    <w:qFormat/>
    <w:uiPriority w:val="0"/>
    <w:rPr>
      <w:rFonts w:ascii="Times New Roman" w:hAnsi="Times New Roman" w:eastAsia="宋体" w:cs="Times New Roman"/>
      <w:sz w:val="24"/>
      <w:szCs w:val="24"/>
    </w:rPr>
  </w:style>
  <w:style w:type="character" w:customStyle="1" w:styleId="56">
    <w:name w:val="普通(网站) Char"/>
    <w:qFormat/>
    <w:locked/>
    <w:uiPriority w:val="0"/>
    <w:rPr>
      <w:rFonts w:ascii="宋体" w:hAnsi="宋体" w:eastAsia="宋体"/>
      <w:sz w:val="24"/>
    </w:rPr>
  </w:style>
  <w:style w:type="paragraph" w:customStyle="1" w:styleId="57">
    <w:name w:val="li_正文"/>
    <w:basedOn w:val="1"/>
    <w:qFormat/>
    <w:uiPriority w:val="0"/>
    <w:pPr>
      <w:tabs>
        <w:tab w:val="left" w:pos="2340"/>
        <w:tab w:val="left" w:pos="4320"/>
      </w:tabs>
      <w:ind w:firstLine="530" w:firstLineChars="200"/>
      <w:jc w:val="left"/>
    </w:pPr>
    <w:rPr>
      <w:rFonts w:ascii="Calibri" w:hAnsi="Calibri"/>
      <w:sz w:val="28"/>
      <w:szCs w:val="28"/>
    </w:rPr>
  </w:style>
  <w:style w:type="paragraph" w:customStyle="1" w:styleId="58">
    <w:name w:val="Char Char Char Char Char Char1 Char Char Char Char"/>
    <w:basedOn w:val="1"/>
    <w:next w:val="1"/>
    <w:semiHidden/>
    <w:qFormat/>
    <w:uiPriority w:val="0"/>
    <w:pPr>
      <w:spacing w:line="360" w:lineRule="auto"/>
      <w:ind w:firstLine="200" w:firstLineChars="200"/>
    </w:pPr>
    <w:rPr>
      <w:rFonts w:ascii="宋体" w:hAnsi="宋体" w:cs="宋体"/>
      <w:szCs w:val="21"/>
    </w:rPr>
  </w:style>
  <w:style w:type="paragraph" w:customStyle="1" w:styleId="59">
    <w:name w:val="报告表表格文字"/>
    <w:qFormat/>
    <w:uiPriority w:val="0"/>
    <w:pPr>
      <w:jc w:val="center"/>
    </w:pPr>
    <w:rPr>
      <w:rFonts w:ascii="Times New Roman" w:hAnsi="Times New Roman" w:eastAsia="宋体" w:cs="Times New Roman"/>
      <w:kern w:val="2"/>
      <w:sz w:val="21"/>
      <w:szCs w:val="21"/>
      <w:lang w:val="en-US" w:eastAsia="zh-CN" w:bidi="ar-SA"/>
    </w:rPr>
  </w:style>
  <w:style w:type="paragraph" w:customStyle="1" w:styleId="60">
    <w:name w:val="a表头"/>
    <w:basedOn w:val="1"/>
    <w:qFormat/>
    <w:uiPriority w:val="0"/>
    <w:pPr>
      <w:adjustRightInd w:val="0"/>
      <w:jc w:val="center"/>
      <w:textAlignment w:val="baseline"/>
    </w:pPr>
    <w:rPr>
      <w:b/>
      <w:spacing w:val="4"/>
      <w:sz w:val="24"/>
      <w:szCs w:val="20"/>
    </w:rPr>
  </w:style>
  <w:style w:type="paragraph" w:customStyle="1" w:styleId="61">
    <w:name w:val="a正文"/>
    <w:basedOn w:val="1"/>
    <w:qFormat/>
    <w:uiPriority w:val="0"/>
    <w:pPr>
      <w:adjustRightInd w:val="0"/>
      <w:spacing w:line="360" w:lineRule="auto"/>
      <w:ind w:firstLine="200" w:firstLineChars="200"/>
      <w:textAlignment w:val="baseline"/>
    </w:pPr>
    <w:rPr>
      <w:sz w:val="24"/>
    </w:rPr>
  </w:style>
  <w:style w:type="paragraph" w:customStyle="1" w:styleId="62">
    <w:name w:val="样式2"/>
    <w:basedOn w:val="1"/>
    <w:qFormat/>
    <w:uiPriority w:val="0"/>
    <w:pPr>
      <w:spacing w:line="400" w:lineRule="exact"/>
      <w:ind w:firstLine="200" w:firstLineChars="200"/>
    </w:pPr>
    <w:rPr>
      <w:sz w:val="24"/>
    </w:rPr>
  </w:style>
  <w:style w:type="paragraph" w:customStyle="1" w:styleId="63">
    <w:name w:val="Table Paragraph"/>
    <w:basedOn w:val="1"/>
    <w:qFormat/>
    <w:uiPriority w:val="1"/>
    <w:pPr>
      <w:jc w:val="center"/>
    </w:pPr>
    <w:rPr>
      <w:rFonts w:ascii="宋体" w:hAnsi="宋体" w:cs="宋体"/>
    </w:rPr>
  </w:style>
  <w:style w:type="paragraph" w:customStyle="1" w:styleId="64">
    <w:name w:val="00表内字体"/>
    <w:basedOn w:val="1"/>
    <w:qFormat/>
    <w:uiPriority w:val="0"/>
    <w:pPr>
      <w:widowControl/>
    </w:pPr>
    <w:rPr>
      <w:rFonts w:ascii="Calibri" w:hAnsi="Calibri" w:cs="Calibri"/>
    </w:rPr>
  </w:style>
  <w:style w:type="paragraph" w:customStyle="1" w:styleId="65">
    <w:name w:val="文本"/>
    <w:basedOn w:val="1"/>
    <w:qFormat/>
    <w:uiPriority w:val="0"/>
    <w:pPr>
      <w:spacing w:line="360" w:lineRule="auto"/>
      <w:ind w:firstLine="560" w:firstLineChars="200"/>
    </w:pPr>
    <w:rPr>
      <w:kern w:val="0"/>
    </w:rPr>
  </w:style>
  <w:style w:type="paragraph" w:customStyle="1" w:styleId="66">
    <w:name w:val="环评 表格"/>
    <w:basedOn w:val="67"/>
    <w:qFormat/>
    <w:uiPriority w:val="0"/>
    <w:pPr>
      <w:pBdr>
        <w:top w:val="none" w:color="auto" w:sz="0" w:space="1"/>
        <w:left w:val="dashed" w:color="FFFFFF" w:sz="4" w:space="4"/>
        <w:bottom w:val="none" w:color="auto" w:sz="0" w:space="1"/>
        <w:right w:val="dashed" w:color="FFFFFF" w:sz="4" w:space="4"/>
      </w:pBdr>
      <w:ind w:firstLine="0" w:firstLineChars="0"/>
      <w:jc w:val="center"/>
    </w:pPr>
    <w:rPr>
      <w:sz w:val="21"/>
      <w:szCs w:val="21"/>
      <w:lang w:eastAsia="en-US"/>
    </w:rPr>
  </w:style>
  <w:style w:type="paragraph" w:customStyle="1" w:styleId="67">
    <w:name w:val="无间隔1"/>
    <w:qFormat/>
    <w:uiPriority w:val="1"/>
    <w:pPr>
      <w:widowControl w:val="0"/>
      <w:ind w:firstLine="200" w:firstLineChars="200"/>
      <w:jc w:val="both"/>
    </w:pPr>
    <w:rPr>
      <w:rFonts w:ascii="Calibri" w:hAnsi="Calibri" w:eastAsia="宋体" w:cs="Calibri"/>
      <w:kern w:val="2"/>
      <w:sz w:val="24"/>
      <w:szCs w:val="24"/>
      <w:lang w:val="en-US" w:eastAsia="zh-CN" w:bidi="ar-SA"/>
    </w:rPr>
  </w:style>
  <w:style w:type="paragraph" w:customStyle="1" w:styleId="68">
    <w:name w:val="表格文字1"/>
    <w:basedOn w:val="1"/>
    <w:qFormat/>
    <w:uiPriority w:val="0"/>
    <w:pPr>
      <w:spacing w:line="400" w:lineRule="atLeast"/>
      <w:jc w:val="center"/>
    </w:pPr>
    <w:rPr>
      <w:szCs w:val="21"/>
    </w:rPr>
  </w:style>
  <w:style w:type="paragraph" w:customStyle="1" w:styleId="69">
    <w:name w:val="a表格内容"/>
    <w:basedOn w:val="1"/>
    <w:qFormat/>
    <w:uiPriority w:val="0"/>
    <w:pPr>
      <w:autoSpaceDE w:val="0"/>
      <w:autoSpaceDN w:val="0"/>
      <w:adjustRightInd w:val="0"/>
      <w:jc w:val="center"/>
      <w:textAlignment w:val="baseline"/>
    </w:pPr>
    <w:rPr>
      <w:kern w:val="0"/>
      <w:szCs w:val="20"/>
    </w:rPr>
  </w:style>
  <w:style w:type="paragraph" w:customStyle="1" w:styleId="70">
    <w:name w:val="表体（居中）"/>
    <w:basedOn w:val="1"/>
    <w:next w:val="1"/>
    <w:autoRedefine/>
    <w:qFormat/>
    <w:uiPriority w:val="0"/>
    <w:pPr>
      <w:jc w:val="center"/>
      <w:textAlignment w:val="center"/>
    </w:pPr>
    <w:rPr>
      <w:snapToGrid w:val="0"/>
      <w:kern w:val="0"/>
      <w:szCs w:val="21"/>
    </w:rPr>
  </w:style>
  <w:style w:type="paragraph" w:customStyle="1" w:styleId="71">
    <w:name w:val="SWK表文"/>
    <w:next w:val="72"/>
    <w:qFormat/>
    <w:uiPriority w:val="0"/>
    <w:pPr>
      <w:adjustRightInd w:val="0"/>
      <w:snapToGrid w:val="0"/>
      <w:jc w:val="center"/>
    </w:pPr>
    <w:rPr>
      <w:rFonts w:ascii="宋体" w:hAnsi="仿宋" w:eastAsia="宋体" w:cs="Times New Roman"/>
      <w:kern w:val="2"/>
      <w:sz w:val="21"/>
      <w:szCs w:val="21"/>
      <w:lang w:val="en-US" w:eastAsia="zh-CN" w:bidi="ar-SA"/>
    </w:rPr>
  </w:style>
  <w:style w:type="paragraph" w:customStyle="1" w:styleId="72">
    <w:name w:val="SWK正文"/>
    <w:qFormat/>
    <w:uiPriority w:val="0"/>
    <w:pPr>
      <w:spacing w:line="360" w:lineRule="auto"/>
      <w:ind w:firstLine="200" w:firstLineChars="200"/>
      <w:jc w:val="both"/>
    </w:pPr>
    <w:rPr>
      <w:rFonts w:ascii="宋体" w:hAnsi="Times New Roman" w:eastAsia="宋体" w:cs="Times New Roman"/>
      <w:bCs/>
      <w:color w:val="000000"/>
      <w:kern w:val="2"/>
      <w:sz w:val="24"/>
      <w:szCs w:val="32"/>
      <w:lang w:val="en-US" w:eastAsia="zh-CN" w:bidi="ar-SA"/>
    </w:rPr>
  </w:style>
  <w:style w:type="paragraph" w:customStyle="1" w:styleId="73">
    <w:name w:val="正文1"/>
    <w:qFormat/>
    <w:uiPriority w:val="0"/>
    <w:pPr>
      <w:jc w:val="both"/>
    </w:pPr>
    <w:rPr>
      <w:rFonts w:ascii="宋体" w:hAnsi="宋体" w:eastAsia="宋体" w:cs="宋体"/>
      <w:kern w:val="2"/>
      <w:sz w:val="21"/>
      <w:szCs w:val="21"/>
      <w:lang w:val="en-US" w:eastAsia="zh-CN" w:bidi="ar-SA"/>
    </w:rPr>
  </w:style>
  <w:style w:type="character" w:customStyle="1" w:styleId="74">
    <w:name w:val="font21"/>
    <w:basedOn w:val="31"/>
    <w:qFormat/>
    <w:uiPriority w:val="0"/>
    <w:rPr>
      <w:rFonts w:ascii="宋体" w:hAnsi="宋体" w:eastAsia="宋体" w:cs="宋体"/>
      <w:color w:val="000000"/>
      <w:sz w:val="22"/>
      <w:szCs w:val="22"/>
      <w:u w:val="none"/>
    </w:rPr>
  </w:style>
  <w:style w:type="character" w:customStyle="1" w:styleId="75">
    <w:name w:val="font01"/>
    <w:basedOn w:val="31"/>
    <w:qFormat/>
    <w:uiPriority w:val="0"/>
    <w:rPr>
      <w:rFonts w:hint="eastAsia" w:ascii="宋体" w:hAnsi="宋体" w:eastAsia="宋体" w:cs="宋体"/>
      <w:color w:val="000000"/>
      <w:sz w:val="22"/>
      <w:szCs w:val="22"/>
      <w:u w:val="none"/>
    </w:rPr>
  </w:style>
  <w:style w:type="paragraph" w:customStyle="1" w:styleId="76">
    <w:name w:val="Other|1"/>
    <w:basedOn w:val="1"/>
    <w:qFormat/>
    <w:uiPriority w:val="0"/>
    <w:pPr>
      <w:jc w:val="center"/>
    </w:pPr>
    <w:rPr>
      <w:sz w:val="14"/>
      <w:szCs w:val="14"/>
    </w:rPr>
  </w:style>
  <w:style w:type="paragraph" w:customStyle="1" w:styleId="77">
    <w:name w:val="Table Text"/>
    <w:basedOn w:val="1"/>
    <w:semiHidden/>
    <w:qFormat/>
    <w:uiPriority w:val="0"/>
    <w:rPr>
      <w:rFonts w:ascii="宋体" w:hAnsi="宋体" w:cs="宋体"/>
      <w:sz w:val="24"/>
      <w:lang w:eastAsia="en-US"/>
    </w:rPr>
  </w:style>
  <w:style w:type="table" w:customStyle="1" w:styleId="78">
    <w:name w:val="Table Normal"/>
    <w:semiHidden/>
    <w:unhideWhenUsed/>
    <w:qFormat/>
    <w:uiPriority w:val="0"/>
    <w:tblPr>
      <w:tblCellMar>
        <w:top w:w="0" w:type="dxa"/>
        <w:left w:w="0" w:type="dxa"/>
        <w:bottom w:w="0" w:type="dxa"/>
        <w:right w:w="0" w:type="dxa"/>
      </w:tblCellMar>
    </w:tblPr>
  </w:style>
  <w:style w:type="paragraph" w:styleId="79">
    <w:name w:val="List Paragraph"/>
    <w:basedOn w:val="1"/>
    <w:next w:val="80"/>
    <w:autoRedefine/>
    <w:qFormat/>
    <w:uiPriority w:val="34"/>
    <w:pPr>
      <w:ind w:firstLine="420" w:firstLineChars="200"/>
    </w:pPr>
  </w:style>
  <w:style w:type="paragraph" w:customStyle="1" w:styleId="80">
    <w:name w:val="报告正文"/>
    <w:basedOn w:val="1"/>
    <w:autoRedefine/>
    <w:qFormat/>
    <w:uiPriority w:val="0"/>
    <w:pPr>
      <w:ind w:firstLine="520" w:firstLineChars="200"/>
    </w:pPr>
    <w:rPr>
      <w:spacing w:val="10"/>
      <w:kern w:val="0"/>
      <w:sz w:val="24"/>
      <w:szCs w:val="20"/>
    </w:rPr>
  </w:style>
  <w:style w:type="paragraph" w:customStyle="1" w:styleId="81">
    <w:name w:val="正文格式3"/>
    <w:basedOn w:val="1"/>
    <w:autoRedefine/>
    <w:qFormat/>
    <w:uiPriority w:val="0"/>
    <w:pPr>
      <w:spacing w:line="480" w:lineRule="exact"/>
      <w:ind w:firstLine="567"/>
    </w:pPr>
    <w:rPr>
      <w:rFonts w:eastAsia="仿宋_GB2312"/>
    </w:rPr>
  </w:style>
  <w:style w:type="paragraph" w:customStyle="1" w:styleId="82">
    <w:name w:val="ALT Z"/>
    <w:basedOn w:val="1"/>
    <w:autoRedefine/>
    <w:qFormat/>
    <w:uiPriority w:val="0"/>
    <w:pPr>
      <w:spacing w:line="500" w:lineRule="exact"/>
      <w:ind w:firstLine="200" w:firstLineChars="200"/>
    </w:pPr>
    <w:rPr>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3" Type="http://schemas.openxmlformats.org/officeDocument/2006/relationships/fontTable" Target="fontTable.xml"/><Relationship Id="rId22" Type="http://schemas.openxmlformats.org/officeDocument/2006/relationships/customXml" Target="../customXml/item3.xml"/><Relationship Id="rId21" Type="http://schemas.openxmlformats.org/officeDocument/2006/relationships/customXml" Target="../customXml/item2.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6d0370b4-8b23-4661-b4d3-52e6edce48fe</errorID>
      <errorWord>。</errorWord>
      <group>L1_Format</group>
      <groupName>格式问题</groupName>
      <ability>L2_HalfPunc</ability>
      <abilityName>全半角检查</abilityName>
      <candidateList>
        <item>.</item>
      </candidateList>
      <explain>文本全半角错误。</explain>
      <paraID>6301314B</paraID>
      <start>2</start>
      <end>3</end>
      <status>unmodified</status>
      <modifiedWord/>
      <trackRevisions>false</trackRevisions>
    </reviewItem>
    <reviewItem>
      <errorID>01b2c925-bcaf-4367-a98e-3929655a757b</errorID>
      <errorWord>《</errorWord>
      <group>L1_Punc</group>
      <groupName>标点问题</groupName>
      <ability>L2_Punc</ability>
      <abilityName>标点符号检查</abilityName>
      <candidateList/>
      <explain>此处标点可能未正确匹配，请检查句子中是否存在标点冗余、缺失或使用错误的情况。</explain>
      <paraID>15B270E1</paraID>
      <start>95</start>
      <end>96</end>
      <status>unmodified</status>
      <modifiedWord/>
      <trackRevisions>false</trackRevisions>
    </reviewItem>
    <reviewItem>
      <errorID>f857480c-8703-42ca-8306-6ef48649292e</errorID>
      <errorWord>(</errorWord>
      <group>L1_Format</group>
      <groupName>格式问题</groupName>
      <ability>L2_HalfPunc</ability>
      <abilityName>全半角检查</abilityName>
      <candidateList>
        <item>（</item>
      </candidateList>
      <explain>文本全半角错误。</explain>
      <paraID>111F7426</paraID>
      <start>18</start>
      <end>19</end>
      <status>unmodified</status>
      <modifiedWord/>
      <trackRevisions>false</trackRevisions>
    </reviewItem>
    <reviewItem>
      <errorID>51a68219-af42-4538-912f-bfbffece83ef</errorID>
      <errorWord>)</errorWord>
      <group>L1_Format</group>
      <groupName>格式问题</groupName>
      <ability>L2_HalfPunc</ability>
      <abilityName>全半角检查</abilityName>
      <candidateList>
        <item>）</item>
      </candidateList>
      <explain>文本全半角错误。</explain>
      <paraID>111F7426</paraID>
      <start>20</start>
      <end>21</end>
      <status>unmodified</status>
      <modifiedWord/>
      <trackRevisions>false</trackRevisions>
    </reviewItem>
    <reviewItem>
      <errorID>d534563f-d457-4112-9a43-8a620c0a36e5</errorID>
      <errorWord>(</errorWord>
      <group>L1_Format</group>
      <groupName>格式问题</groupName>
      <ability>L2_HalfPunc</ability>
      <abilityName>全半角检查</abilityName>
      <candidateList>
        <item>（</item>
      </candidateList>
      <explain>文本全半角错误。</explain>
      <paraID>111F7426</paraID>
      <start>28</start>
      <end>29</end>
      <status>unmodified</status>
      <modifiedWord/>
      <trackRevisions>false</trackRevisions>
    </reviewItem>
    <reviewItem>
      <errorID>76061b28-0970-4f14-915e-4f5d3cdd4d07</errorID>
      <errorWord>)</errorWord>
      <group>L1_Format</group>
      <groupName>格式问题</groupName>
      <ability>L2_HalfPunc</ability>
      <abilityName>全半角检查</abilityName>
      <candidateList>
        <item>）</item>
      </candidateList>
      <explain>文本全半角错误。</explain>
      <paraID>111F7426</paraID>
      <start>44</start>
      <end>45</end>
      <status>unmodified</status>
      <modifiedWord/>
      <trackRevisions>false</trackRevisions>
    </reviewItem>
    <reviewItem>
      <errorID>99b1490a-1964-4642-8dab-64857974f898</errorID>
      <errorWord>(</errorWord>
      <group>L1_Format</group>
      <groupName>格式问题</groupName>
      <ability>L2_HalfPunc</ability>
      <abilityName>全半角检查</abilityName>
      <candidateList>
        <item>（</item>
      </candidateList>
      <explain>文本全半角错误。</explain>
      <paraID>111F7426</paraID>
      <start>48</start>
      <end>49</end>
      <status>unmodified</status>
      <modifiedWord/>
      <trackRevisions>false</trackRevisions>
    </reviewItem>
    <reviewItem>
      <errorID>ae4052ad-571b-494e-930a-26b15d8d7eed</errorID>
      <errorWord>)</errorWord>
      <group>L1_Format</group>
      <groupName>格式问题</groupName>
      <ability>L2_HalfPunc</ability>
      <abilityName>全半角检查</abilityName>
      <candidateList>
        <item>）</item>
      </candidateList>
      <explain>文本全半角错误。</explain>
      <paraID>111F7426</paraID>
      <start>71</start>
      <end>72</end>
      <status>unmodified</status>
      <modifiedWord/>
      <trackRevisions>false</trackRevisions>
    </reviewItem>
    <reviewItem>
      <errorID>51e1b749-3ddb-4001-bfa2-3779437ea684</errorID>
      <errorWord>(</errorWord>
      <group>L1_Format</group>
      <groupName>格式问题</groupName>
      <ability>L2_HalfPunc</ability>
      <abilityName>全半角检查</abilityName>
      <candidateList>
        <item>（</item>
      </candidateList>
      <explain>文本全半角错误。</explain>
      <paraID>2DFFC559</paraID>
      <start>13</start>
      <end>14</end>
      <status>unmodified</status>
      <modifiedWord/>
      <trackRevisions>false</trackRevisions>
    </reviewItem>
    <reviewItem>
      <errorID>a61a7bff-119d-4ad6-81cf-5b8e199144b5</errorID>
      <errorWord>)</errorWord>
      <group>L1_Format</group>
      <groupName>格式问题</groupName>
      <ability>L2_HalfPunc</ability>
      <abilityName>全半角检查</abilityName>
      <candidateList>
        <item>）</item>
      </candidateList>
      <explain>文本全半角错误。</explain>
      <paraID>2DFFC559</paraID>
      <start>18</start>
      <end>19</end>
      <status>unmodified</status>
      <modifiedWord/>
      <trackRevisions>false</trackRevisions>
    </reviewItem>
    <reviewItem>
      <errorID>f9e9de67-84d9-4cb9-9054-78daf3304091</errorID>
      <errorWord>(</errorWord>
      <group>L1_Format</group>
      <groupName>格式问题</groupName>
      <ability>L2_HalfPunc</ability>
      <abilityName>全半角检查</abilityName>
      <candidateList>
        <item>（</item>
      </candidateList>
      <explain>文本全半角错误。</explain>
      <paraID>2DFFC559</paraID>
      <start>87</start>
      <end>88</end>
      <status>unmodified</status>
      <modifiedWord/>
      <trackRevisions>false</trackRevisions>
    </reviewItem>
    <reviewItem>
      <errorID>eaaadb79-d938-4744-bc37-d49a02a7434a</errorID>
      <errorWord>)</errorWord>
      <group>L1_Format</group>
      <groupName>格式问题</groupName>
      <ability>L2_HalfPunc</ability>
      <abilityName>全半角检查</abilityName>
      <candidateList>
        <item>）</item>
      </candidateList>
      <explain>文本全半角错误。</explain>
      <paraID>2DFFC559</paraID>
      <start>98</start>
      <end>99</end>
      <status>unmodified</status>
      <modifiedWord/>
      <trackRevisions>false</trackRevisions>
    </reviewItem>
    <reviewItem>
      <errorID>6aaec425-d5ff-40c1-8284-7214a6c5c24d</errorID>
      <errorWord>(</errorWord>
      <group>L1_Format</group>
      <groupName>格式问题</groupName>
      <ability>L2_HalfPunc</ability>
      <abilityName>全半角检查</abilityName>
      <candidateList>
        <item>（</item>
      </candidateList>
      <explain>文本全半角错误。</explain>
      <paraID>24034805</paraID>
      <start>5</start>
      <end>6</end>
      <status>unmodified</status>
      <modifiedWord/>
      <trackRevisions>false</trackRevisions>
    </reviewItem>
    <reviewItem>
      <errorID>1b0c30c4-ca7a-414e-b153-0e4694fa6350</errorID>
      <errorWord>)</errorWord>
      <group>L1_Format</group>
      <groupName>格式问题</groupName>
      <ability>L2_HalfPunc</ability>
      <abilityName>全半角检查</abilityName>
      <candidateList>
        <item>）</item>
      </candidateList>
      <explain>文本全半角错误。</explain>
      <paraID>24034805</paraID>
      <start>29</start>
      <end>30</end>
      <status>unmodified</status>
      <modifiedWord/>
      <trackRevisions>false</trackRevisions>
    </reviewItem>
    <reviewItem>
      <errorID>42b6f243-28af-441a-af7d-3a8a25adacfa</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65C24330</paraID>
      <start>213</start>
      <end>214</end>
      <status>unmodified</status>
      <modifiedWord/>
      <trackRevisions>false</trackRevisions>
    </reviewItem>
    <reviewItem>
      <errorID>82a25fb5-e85d-4067-acb3-2e863b6bb54b</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5AE9FF7C</paraID>
      <start>306</start>
      <end>307</end>
      <status>unmodified</status>
      <modifiedWord/>
      <trackRevisions>false</trackRevisions>
    </reviewItem>
    <reviewItem>
      <errorID>e5b4b3c5-d393-484d-921c-6f02d48d5727</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19C68D3D</paraID>
      <start>39</start>
      <end>40</end>
      <status>unmodified</status>
      <modifiedWord/>
      <trackRevisions>false</trackRevisions>
    </reviewItem>
    <reviewItem>
      <errorID>79e8a507-7490-44b7-b359-e2958893a2a7</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73FC2EB5</paraID>
      <start>39</start>
      <end>40</end>
      <status>unmodified</status>
      <modifiedWord/>
      <trackRevisions>false</trackRevisions>
    </reviewItem>
    <reviewItem>
      <errorID>ff9937ef-790b-4839-b41f-3f60050dc26b</errorID>
      <errorWord>：</errorWord>
      <group>L1_Format</group>
      <groupName>格式问题</groupName>
      <ability>L2_HalfPunc</ability>
      <abilityName>全半角检查</abilityName>
      <candidateList>
        <item>:</item>
      </candidateList>
      <explain>文本全半角错误。</explain>
      <paraID>6A7A5E2C</paraID>
      <start>72</start>
      <end>73</end>
      <status>unmodified</status>
      <modifiedWord/>
      <trackRevisions>false</trackRevisions>
    </reviewItem>
    <reviewItem>
      <errorID>0890bcb4-8dab-4120-922c-5994885740c7</errorID>
      <errorWord>：</errorWord>
      <group>L1_Format</group>
      <groupName>格式问题</groupName>
      <ability>L2_HalfPunc</ability>
      <abilityName>全半角检查</abilityName>
      <candidateList>
        <item>:</item>
      </candidateList>
      <explain>文本全半角错误。</explain>
      <paraID>6A7A5E2C</paraID>
      <start>93</start>
      <end>94</end>
      <status>unmodified</status>
      <modifiedWord/>
      <trackRevisions>false</trackRevisions>
    </reviewItem>
    <reviewItem>
      <errorID>e4940415-10e2-4b35-9768-205bce56424a</errorID>
      <errorWord>：</errorWord>
      <group>L1_Format</group>
      <groupName>格式问题</groupName>
      <ability>L2_HalfPunc</ability>
      <abilityName>全半角检查</abilityName>
      <candidateList>
        <item>:</item>
      </candidateList>
      <explain>文本全半角错误。</explain>
      <paraID>6A7A5E2C</paraID>
      <start>114</start>
      <end>115</end>
      <status>unmodified</status>
      <modifiedWord/>
      <trackRevisions>false</trackRevisions>
    </reviewItem>
    <reviewItem>
      <errorID>54f0201f-8713-45ce-890b-ffc48747bf67</errorID>
      <errorWord>（</errorWord>
      <group>L1_Format</group>
      <groupName>格式问题</groupName>
      <ability>L2_HalfPunc</ability>
      <abilityName>全半角检查</abilityName>
      <candidateList>
        <item>(</item>
      </candidateList>
      <explain>文本全半角错误。</explain>
      <paraID> B76A09E</paraID>
      <start>0</start>
      <end>1</end>
      <status>unmodified</status>
      <modifiedWord/>
      <trackRevisions>false</trackRevisions>
    </reviewItem>
    <reviewItem>
      <errorID>d56d9224-1921-492a-a1b6-82ccb5f3b15d</errorID>
      <errorWord>）</errorWord>
      <group>L1_Format</group>
      <groupName>格式问题</groupName>
      <ability>L2_HalfPunc</ability>
      <abilityName>全半角检查</abilityName>
      <candidateList>
        <item>)</item>
      </candidateList>
      <explain>文本全半角错误。</explain>
      <paraID> B76A09E</paraID>
      <start>6</start>
      <end>7</end>
      <status>unmodified</status>
      <modifiedWord/>
      <trackRevisions>false</trackRevisions>
    </reviewItem>
    <reviewItem>
      <errorID>d8dd49a9-3123-401c-8696-faefaace8c46</errorID>
      <errorWord>（</errorWord>
      <group>L1_Format</group>
      <groupName>格式问题</groupName>
      <ability>L2_HalfPunc</ability>
      <abilityName>全半角检查</abilityName>
      <candidateList>
        <item>(</item>
      </candidateList>
      <explain>文本全半角错误。</explain>
      <paraID>37547C32</paraID>
      <start>0</start>
      <end>1</end>
      <status>unmodified</status>
      <modifiedWord/>
      <trackRevisions>false</trackRevisions>
    </reviewItem>
    <reviewItem>
      <errorID>fe6aa238-20b9-41ac-9234-2e51fd3fe519</errorID>
      <errorWord>）</errorWord>
      <group>L1_Format</group>
      <groupName>格式问题</groupName>
      <ability>L2_HalfPunc</ability>
      <abilityName>全半角检查</abilityName>
      <candidateList>
        <item>)</item>
      </candidateList>
      <explain>文本全半角错误。</explain>
      <paraID>37547C32</paraID>
      <start>6</start>
      <end>7</end>
      <status>unmodified</status>
      <modifiedWord/>
      <trackRevisions>false</trackRevisions>
    </reviewItem>
    <reviewItem>
      <errorID>ba326983-cf4e-4ed9-8142-0a60f594b2c4</errorID>
      <errorWord>（</errorWord>
      <group>L1_Format</group>
      <groupName>格式问题</groupName>
      <ability>L2_HalfPunc</ability>
      <abilityName>全半角检查</abilityName>
      <candidateList>
        <item>(</item>
      </candidateList>
      <explain>文本全半角错误。</explain>
      <paraID>40A69078</paraID>
      <start>0</start>
      <end>1</end>
      <status>unmodified</status>
      <modifiedWord/>
      <trackRevisions>false</trackRevisions>
    </reviewItem>
    <reviewItem>
      <errorID>4704bdf2-da45-4e6e-af54-56ac338b70cb</errorID>
      <errorWord>）</errorWord>
      <group>L1_Format</group>
      <groupName>格式问题</groupName>
      <ability>L2_HalfPunc</ability>
      <abilityName>全半角检查</abilityName>
      <candidateList>
        <item>)</item>
      </candidateList>
      <explain>文本全半角错误。</explain>
      <paraID>40A69078</paraID>
      <start>6</start>
      <end>7</end>
      <status>unmodified</status>
      <modifiedWord/>
      <trackRevisions>false</trackRevisions>
    </reviewItem>
    <reviewItem>
      <errorID>bdcc055d-df2a-4638-9805-fd51ac29c60b</errorID>
      <errorWord>（</errorWord>
      <group>L1_Format</group>
      <groupName>格式问题</groupName>
      <ability>L2_HalfPunc</ability>
      <abilityName>全半角检查</abilityName>
      <candidateList>
        <item>(</item>
      </candidateList>
      <explain>文本全半角错误。</explain>
      <paraID>7281E318</paraID>
      <start>0</start>
      <end>1</end>
      <status>unmodified</status>
      <modifiedWord/>
      <trackRevisions>false</trackRevisions>
    </reviewItem>
    <reviewItem>
      <errorID>b1409ef4-31f6-4869-bd13-92cb91f94362</errorID>
      <errorWord>）</errorWord>
      <group>L1_Format</group>
      <groupName>格式问题</groupName>
      <ability>L2_HalfPunc</ability>
      <abilityName>全半角检查</abilityName>
      <candidateList>
        <item>)</item>
      </candidateList>
      <explain>文本全半角错误。</explain>
      <paraID>7281E318</paraID>
      <start>6</start>
      <end>7</end>
      <status>unmodified</status>
      <modifiedWord/>
      <trackRevisions>false</trackRevisions>
    </reviewItem>
    <reviewItem>
      <errorID>9b5e4ccf-5c1b-4236-9d23-02824928a810</errorID>
      <errorWord>（</errorWord>
      <group>L1_Format</group>
      <groupName>格式问题</groupName>
      <ability>L2_HalfPunc</ability>
      <abilityName>全半角检查</abilityName>
      <candidateList>
        <item>(</item>
      </candidateList>
      <explain>文本全半角错误。</explain>
      <paraID>4C7A2D9B</paraID>
      <start>0</start>
      <end>1</end>
      <status>unmodified</status>
      <modifiedWord/>
      <trackRevisions>false</trackRevisions>
    </reviewItem>
    <reviewItem>
      <errorID>1294d9db-154e-49cd-b669-c8380904f8a0</errorID>
      <errorWord>）</errorWord>
      <group>L1_Format</group>
      <groupName>格式问题</groupName>
      <ability>L2_HalfPunc</ability>
      <abilityName>全半角检查</abilityName>
      <candidateList>
        <item>)</item>
      </candidateList>
      <explain>文本全半角错误。</explain>
      <paraID>4C7A2D9B</paraID>
      <start>3</start>
      <end>4</end>
      <status>unmodified</status>
      <modifiedWord/>
      <trackRevisions>false</trackRevisions>
    </reviewItem>
    <reviewItem>
      <errorID>1cd19591-1738-4e5c-b979-ac3c4dc79bba</errorID>
      <errorWord>（</errorWord>
      <group>L1_Format</group>
      <groupName>格式问题</groupName>
      <ability>L2_HalfPunc</ability>
      <abilityName>全半角检查</abilityName>
      <candidateList>
        <item>(</item>
      </candidateList>
      <explain>文本全半角错误。</explain>
      <paraID>5D5976E3</paraID>
      <start>0</start>
      <end>1</end>
      <status>unmodified</status>
      <modifiedWord/>
      <trackRevisions>false</trackRevisions>
    </reviewItem>
    <reviewItem>
      <errorID>1d8ae1f6-de35-4348-9f70-66ff85becb1a</errorID>
      <errorWord>）</errorWord>
      <group>L1_Format</group>
      <groupName>格式问题</groupName>
      <ability>L2_HalfPunc</ability>
      <abilityName>全半角检查</abilityName>
      <candidateList>
        <item>)</item>
      </candidateList>
      <explain>文本全半角错误。</explain>
      <paraID>5D5976E3</paraID>
      <start>6</start>
      <end>7</end>
      <status>unmodified</status>
      <modifiedWord/>
      <trackRevisions>false</trackRevisions>
    </reviewItem>
    <reviewItem>
      <errorID>40bc1b1f-57db-4b27-8575-158caaac7972</errorID>
      <errorWord>（</errorWord>
      <group>L1_Format</group>
      <groupName>格式问题</groupName>
      <ability>L2_HalfPunc</ability>
      <abilityName>全半角检查</abilityName>
      <candidateList>
        <item>(</item>
      </candidateList>
      <explain>文本全半角错误。</explain>
      <paraID>6ECDE3A0</paraID>
      <start>0</start>
      <end>1</end>
      <status>unmodified</status>
      <modifiedWord/>
      <trackRevisions>false</trackRevisions>
    </reviewItem>
    <reviewItem>
      <errorID>0002ec76-c003-4078-9fe9-d37412367c12</errorID>
      <errorWord>）</errorWord>
      <group>L1_Format</group>
      <groupName>格式问题</groupName>
      <ability>L2_HalfPunc</ability>
      <abilityName>全半角检查</abilityName>
      <candidateList>
        <item>)</item>
      </candidateList>
      <explain>文本全半角错误。</explain>
      <paraID>6ECDE3A0</paraID>
      <start>3</start>
      <end>4</end>
      <status>unmodified</status>
      <modifiedWord/>
      <trackRevisions>false</trackRevisions>
    </reviewItem>
    <reviewItem>
      <errorID>372a6e28-44bd-4a05-be99-ba5a5571912b</errorID>
      <errorWord>（</errorWord>
      <group>L1_Format</group>
      <groupName>格式问题</groupName>
      <ability>L2_HalfPunc</ability>
      <abilityName>全半角检查</abilityName>
      <candidateList>
        <item>(</item>
      </candidateList>
      <explain>文本全半角错误。</explain>
      <paraID>31C94532</paraID>
      <start>0</start>
      <end>1</end>
      <status>unmodified</status>
      <modifiedWord/>
      <trackRevisions>false</trackRevisions>
    </reviewItem>
    <reviewItem>
      <errorID>d6efba6a-7f35-456d-998d-047ef003d0c2</errorID>
      <errorWord>）</errorWord>
      <group>L1_Format</group>
      <groupName>格式问题</groupName>
      <ability>L2_HalfPunc</ability>
      <abilityName>全半角检查</abilityName>
      <candidateList>
        <item>)</item>
      </candidateList>
      <explain>文本全半角错误。</explain>
      <paraID>31C94532</paraID>
      <start>6</start>
      <end>7</end>
      <status>unmodified</status>
      <modifiedWord/>
      <trackRevisions>false</trackRevisions>
    </reviewItem>
    <reviewItem>
      <errorID>062992aa-e492-46d4-8a09-a3125ffd224e</errorID>
      <errorWord>（</errorWord>
      <group>L1_Format</group>
      <groupName>格式问题</groupName>
      <ability>L2_HalfPunc</ability>
      <abilityName>全半角检查</abilityName>
      <candidateList>
        <item>(</item>
      </candidateList>
      <explain>文本全半角错误。</explain>
      <paraID>22F02F36</paraID>
      <start>0</start>
      <end>1</end>
      <status>unmodified</status>
      <modifiedWord/>
      <trackRevisions>false</trackRevisions>
    </reviewItem>
    <reviewItem>
      <errorID>f4d6c25a-02ab-4c76-83bb-f2e8293772bc</errorID>
      <errorWord>）</errorWord>
      <group>L1_Format</group>
      <groupName>格式问题</groupName>
      <ability>L2_HalfPunc</ability>
      <abilityName>全半角检查</abilityName>
      <candidateList>
        <item>)</item>
      </candidateList>
      <explain>文本全半角错误。</explain>
      <paraID>22F02F36</paraID>
      <start>6</start>
      <end>7</end>
      <status>unmodified</status>
      <modifiedWord/>
      <trackRevisions>false</trackRevisions>
    </reviewItem>
    <reviewItem>
      <errorID>ad2a6557-4027-44fb-b6c8-4c8dfed41a75</errorID>
      <errorWord>（</errorWord>
      <group>L1_Format</group>
      <groupName>格式问题</groupName>
      <ability>L2_HalfPunc</ability>
      <abilityName>全半角检查</abilityName>
      <candidateList>
        <item>(</item>
      </candidateList>
      <explain>文本全半角错误。</explain>
      <paraID>790D6801</paraID>
      <start>0</start>
      <end>1</end>
      <status>unmodified</status>
      <modifiedWord/>
      <trackRevisions>false</trackRevisions>
    </reviewItem>
    <reviewItem>
      <errorID>b902f4a1-0949-4e5b-800b-b4ca94db0daf</errorID>
      <errorWord>）</errorWord>
      <group>L1_Format</group>
      <groupName>格式问题</groupName>
      <ability>L2_HalfPunc</ability>
      <abilityName>全半角检查</abilityName>
      <candidateList>
        <item>)</item>
      </candidateList>
      <explain>文本全半角错误。</explain>
      <paraID>790D6801</paraID>
      <start>6</start>
      <end>7</end>
      <status>unmodified</status>
      <modifiedWord/>
      <trackRevisions>false</trackRevisions>
    </reviewItem>
    <reviewItem>
      <errorID>f28275e3-98e7-4791-881f-88ddb3f6612e</errorID>
      <errorWord>（</errorWord>
      <group>L1_Format</group>
      <groupName>格式问题</groupName>
      <ability>L2_HalfPunc</ability>
      <abilityName>全半角检查</abilityName>
      <candidateList>
        <item>(</item>
      </candidateList>
      <explain>文本全半角错误。</explain>
      <paraID>5F403611</paraID>
      <start>0</start>
      <end>1</end>
      <status>unmodified</status>
      <modifiedWord/>
      <trackRevisions>false</trackRevisions>
    </reviewItem>
    <reviewItem>
      <errorID>4f571fac-2cf7-43de-8bd6-99eabe409273</errorID>
      <errorWord>）</errorWord>
      <group>L1_Format</group>
      <groupName>格式问题</groupName>
      <ability>L2_HalfPunc</ability>
      <abilityName>全半角检查</abilityName>
      <candidateList>
        <item>)</item>
      </candidateList>
      <explain>文本全半角错误。</explain>
      <paraID>5F403611</paraID>
      <start>3</start>
      <end>4</end>
      <status>unmodified</status>
      <modifiedWord/>
      <trackRevisions>false</trackRevisions>
    </reviewItem>
    <reviewItem>
      <errorID>a1c16035-9372-4349-bbf1-9cbcc77bb969</errorID>
      <errorWord>（</errorWord>
      <group>L1_Format</group>
      <groupName>格式问题</groupName>
      <ability>L2_HalfPunc</ability>
      <abilityName>全半角检查</abilityName>
      <candidateList>
        <item>(</item>
      </candidateList>
      <explain>文本全半角错误。</explain>
      <paraID>7C42FD2C</paraID>
      <start>0</start>
      <end>1</end>
      <status>unmodified</status>
      <modifiedWord/>
      <trackRevisions>false</trackRevisions>
    </reviewItem>
    <reviewItem>
      <errorID>3e14ecfa-62f9-4abe-8e65-d24f9fce1951</errorID>
      <errorWord>）</errorWord>
      <group>L1_Format</group>
      <groupName>格式问题</groupName>
      <ability>L2_HalfPunc</ability>
      <abilityName>全半角检查</abilityName>
      <candidateList>
        <item>)</item>
      </candidateList>
      <explain>文本全半角错误。</explain>
      <paraID>7C42FD2C</paraID>
      <start>2</start>
      <end>3</end>
      <status>unmodified</status>
      <modifiedWord/>
      <trackRevisions>false</trackRevisions>
    </reviewItem>
    <reviewItem>
      <errorID>d2a40c7d-65b7-453b-8dea-8bf623953ef4</errorID>
      <errorWord>（</errorWord>
      <group>L1_Format</group>
      <groupName>格式问题</groupName>
      <ability>L2_HalfPunc</ability>
      <abilityName>全半角检查</abilityName>
      <candidateList>
        <item>(</item>
      </candidateList>
      <explain>文本全半角错误。</explain>
      <paraID>6180912A</paraID>
      <start>0</start>
      <end>1</end>
      <status>unmodified</status>
      <modifiedWord/>
      <trackRevisions>false</trackRevisions>
    </reviewItem>
    <reviewItem>
      <errorID>12b6edf1-9bb1-410a-982a-41e2f032b29f</errorID>
      <errorWord>）</errorWord>
      <group>L1_Format</group>
      <groupName>格式问题</groupName>
      <ability>L2_HalfPunc</ability>
      <abilityName>全半角检查</abilityName>
      <candidateList>
        <item>)</item>
      </candidateList>
      <explain>文本全半角错误。</explain>
      <paraID>6180912A</paraID>
      <start>6</start>
      <end>7</end>
      <status>unmodified</status>
      <modifiedWord/>
      <trackRevisions>false</trackRevisions>
    </reviewItem>
    <reviewItem>
      <errorID>e266a6f9-af7a-4283-9469-871090f4d88b</errorID>
      <errorWord>（</errorWord>
      <group>L1_Format</group>
      <groupName>格式问题</groupName>
      <ability>L2_HalfPunc</ability>
      <abilityName>全半角检查</abilityName>
      <candidateList>
        <item>(</item>
      </candidateList>
      <explain>文本全半角错误。</explain>
      <paraID>6FED2760</paraID>
      <start>0</start>
      <end>1</end>
      <status>unmodified</status>
      <modifiedWord/>
      <trackRevisions>false</trackRevisions>
    </reviewItem>
    <reviewItem>
      <errorID>53f9696f-7c41-42ca-81a0-48c1791e81b3</errorID>
      <errorWord>）</errorWord>
      <group>L1_Format</group>
      <groupName>格式问题</groupName>
      <ability>L2_HalfPunc</ability>
      <abilityName>全半角检查</abilityName>
      <candidateList>
        <item>)</item>
      </candidateList>
      <explain>文本全半角错误。</explain>
      <paraID>6FED2760</paraID>
      <start>6</start>
      <end>7</end>
      <status>unmodified</status>
      <modifiedWord/>
      <trackRevisions>false</trackRevisions>
    </reviewItem>
    <reviewItem>
      <errorID>f7a12582-1b94-43a5-9625-a3a367748593</errorID>
      <errorWord>（</errorWord>
      <group>L1_Format</group>
      <groupName>格式问题</groupName>
      <ability>L2_HalfPunc</ability>
      <abilityName>全半角检查</abilityName>
      <candidateList>
        <item>(</item>
      </candidateList>
      <explain>文本全半角错误。</explain>
      <paraID>6E62DADA</paraID>
      <start>0</start>
      <end>1</end>
      <status>unmodified</status>
      <modifiedWord/>
      <trackRevisions>false</trackRevisions>
    </reviewItem>
    <reviewItem>
      <errorID>f1d27b06-49dc-4b4e-b5ca-bfe2d2b6e973</errorID>
      <errorWord>）</errorWord>
      <group>L1_Format</group>
      <groupName>格式问题</groupName>
      <ability>L2_HalfPunc</ability>
      <abilityName>全半角检查</abilityName>
      <candidateList>
        <item>)</item>
      </candidateList>
      <explain>文本全半角错误。</explain>
      <paraID>6E62DADA</paraID>
      <start>7</start>
      <end>8</end>
      <status>unmodified</status>
      <modifiedWord/>
      <trackRevisions>false</trackRevisions>
    </reviewItem>
    <reviewItem>
      <errorID>95250cbc-3bb4-42e0-9cc5-494be3020fdc</errorID>
      <errorWord>（</errorWord>
      <group>L1_Format</group>
      <groupName>格式问题</groupName>
      <ability>L2_HalfPunc</ability>
      <abilityName>全半角检查</abilityName>
      <candidateList>
        <item>(</item>
      </candidateList>
      <explain>文本全半角错误。</explain>
      <paraID>1625BA5F</paraID>
      <start>0</start>
      <end>1</end>
      <status>unmodified</status>
      <modifiedWord/>
      <trackRevisions>false</trackRevisions>
    </reviewItem>
    <reviewItem>
      <errorID>bdcb9312-fc32-44d2-840b-568ce695419d</errorID>
      <errorWord>）</errorWord>
      <group>L1_Format</group>
      <groupName>格式问题</groupName>
      <ability>L2_HalfPunc</ability>
      <abilityName>全半角检查</abilityName>
      <candidateList>
        <item>)</item>
      </candidateList>
      <explain>文本全半角错误。</explain>
      <paraID>1625BA5F</paraID>
      <start>6</start>
      <end>7</end>
      <status>unmodified</status>
      <modifiedWord/>
      <trackRevisions>false</trackRevisions>
    </reviewItem>
    <reviewItem>
      <errorID>61f735a7-de08-4d5b-8e77-b91ba1b87026</errorID>
      <errorWord>（</errorWord>
      <group>L1_Format</group>
      <groupName>格式问题</groupName>
      <ability>L2_HalfPunc</ability>
      <abilityName>全半角检查</abilityName>
      <candidateList>
        <item>(</item>
      </candidateList>
      <explain>文本全半角错误。</explain>
      <paraID>2F3A565C</paraID>
      <start>0</start>
      <end>1</end>
      <status>unmodified</status>
      <modifiedWord/>
      <trackRevisions>false</trackRevisions>
    </reviewItem>
    <reviewItem>
      <errorID>f2dabf9d-447d-44c4-857a-b1da48ee0dd2</errorID>
      <errorWord>）</errorWord>
      <group>L1_Format</group>
      <groupName>格式问题</groupName>
      <ability>L2_HalfPunc</ability>
      <abilityName>全半角检查</abilityName>
      <candidateList>
        <item>)</item>
      </candidateList>
      <explain>文本全半角错误。</explain>
      <paraID>2F3A565C</paraID>
      <start>3</start>
      <end>4</end>
      <status>unmodified</status>
      <modifiedWord/>
      <trackRevisions>false</trackRevisions>
    </reviewItem>
    <reviewItem>
      <errorID>cd10505f-096f-492b-8f9b-8c49a2e1cbcc</errorID>
      <errorWord>（</errorWord>
      <group>L1_Format</group>
      <groupName>格式问题</groupName>
      <ability>L2_HalfPunc</ability>
      <abilityName>全半角检查</abilityName>
      <candidateList>
        <item>(</item>
      </candidateList>
      <explain>文本全半角错误。</explain>
      <paraID> 794F0B3</paraID>
      <start>0</start>
      <end>1</end>
      <status>unmodified</status>
      <modifiedWord/>
      <trackRevisions>false</trackRevisions>
    </reviewItem>
    <reviewItem>
      <errorID>f8bb8c44-42a2-453f-ab0e-33f5bca1b277</errorID>
      <errorWord>）</errorWord>
      <group>L1_Format</group>
      <groupName>格式问题</groupName>
      <ability>L2_HalfPunc</ability>
      <abilityName>全半角检查</abilityName>
      <candidateList>
        <item>)</item>
      </candidateList>
      <explain>文本全半角错误。</explain>
      <paraID> 794F0B3</paraID>
      <start>5</start>
      <end>6</end>
      <status>unmodified</status>
      <modifiedWord/>
      <trackRevisions>false</trackRevisions>
    </reviewItem>
    <reviewItem>
      <errorID>480fdfb8-dad6-41e7-aefa-a1b97f7a7458</errorID>
      <errorWord>（</errorWord>
      <group>L1_Format</group>
      <groupName>格式问题</groupName>
      <ability>L2_HalfPunc</ability>
      <abilityName>全半角检查</abilityName>
      <candidateList>
        <item>(</item>
      </candidateList>
      <explain>文本全半角错误。</explain>
      <paraID>6C4F8923</paraID>
      <start>0</start>
      <end>1</end>
      <status>unmodified</status>
      <modifiedWord/>
      <trackRevisions>false</trackRevisions>
    </reviewItem>
    <reviewItem>
      <errorID>275afc25-be09-4d27-ab4f-8f2c712311b3</errorID>
      <errorWord>）</errorWord>
      <group>L1_Format</group>
      <groupName>格式问题</groupName>
      <ability>L2_HalfPunc</ability>
      <abilityName>全半角检查</abilityName>
      <candidateList>
        <item>)</item>
      </candidateList>
      <explain>文本全半角错误。</explain>
      <paraID>6C4F8923</paraID>
      <start>3</start>
      <end>4</end>
      <status>unmodified</status>
      <modifiedWord/>
      <trackRevisions>false</trackRevisions>
    </reviewItem>
    <reviewItem>
      <errorID>2005c157-d1bf-4dd2-917a-af047fd2bb15</errorID>
      <errorWord>（</errorWord>
      <group>L1_Format</group>
      <groupName>格式问题</groupName>
      <ability>L2_HalfPunc</ability>
      <abilityName>全半角检查</abilityName>
      <candidateList>
        <item>(</item>
      </candidateList>
      <explain>文本全半角错误。</explain>
      <paraID>79707A5F</paraID>
      <start>0</start>
      <end>1</end>
      <status>unmodified</status>
      <modifiedWord/>
      <trackRevisions>false</trackRevisions>
    </reviewItem>
    <reviewItem>
      <errorID>c63f567a-0a5d-40a7-9603-dbcd867b6563</errorID>
      <errorWord>）</errorWord>
      <group>L1_Format</group>
      <groupName>格式问题</groupName>
      <ability>L2_HalfPunc</ability>
      <abilityName>全半角检查</abilityName>
      <candidateList>
        <item>)</item>
      </candidateList>
      <explain>文本全半角错误。</explain>
      <paraID>79707A5F</paraID>
      <start>6</start>
      <end>7</end>
      <status>unmodified</status>
      <modifiedWord/>
      <trackRevisions>false</trackRevisions>
    </reviewItem>
    <reviewItem>
      <errorID>3d8394db-24a0-43b1-b0df-1227ec0d9ed0</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40CCD8C2</paraID>
      <start>52</start>
      <end>53</end>
      <status>unmodified</status>
      <modifiedWord/>
      <trackRevisions>false</trackRevisions>
    </reviewItem>
    <reviewItem>
      <errorID>047d525f-1059-4ed7-97d4-9c61b99b56d4</errorID>
      <errorWord>：</errorWord>
      <group>L1_Format</group>
      <groupName>格式问题</groupName>
      <ability>L2_HalfPunc</ability>
      <abilityName>全半角检查</abilityName>
      <candidateList>
        <item>:</item>
      </candidateList>
      <explain>文本全半角错误。</explain>
      <paraID>75C7D91F</paraID>
      <start>19</start>
      <end>20</end>
      <status>unmodified</status>
      <modifiedWord/>
      <trackRevisions>false</trackRevisions>
    </reviewItem>
    <reviewItem>
      <errorID>838708b8-7866-448e-bafe-914fe978c415</errorID>
      <errorWord>：</errorWord>
      <group>L1_Format</group>
      <groupName>格式问题</groupName>
      <ability>L2_HalfPunc</ability>
      <abilityName>全半角检查</abilityName>
      <candidateList>
        <item>:</item>
      </candidateList>
      <explain>文本全半角错误。</explain>
      <paraID>75C7D91F</paraID>
      <start>40</start>
      <end>41</end>
      <status>unmodified</status>
      <modifiedWord/>
      <trackRevisions>false</trackRevisions>
    </reviewItem>
    <reviewItem>
      <errorID>c0c65ade-77ac-47e0-8e80-37dfae187190</errorID>
      <errorWord>：</errorWord>
      <group>L1_Format</group>
      <groupName>格式问题</groupName>
      <ability>L2_HalfPunc</ability>
      <abilityName>全半角检查</abilityName>
      <candidateList>
        <item>:</item>
      </candidateList>
      <explain>文本全半角错误。</explain>
      <paraID>75C7D91F</paraID>
      <start>61</start>
      <end>62</end>
      <status>unmodified</status>
      <modifiedWord/>
      <trackRevisions>false</trackRevisions>
    </reviewItem>
    <reviewItem>
      <errorID>6ab94488-12ef-4fcc-b795-efafde620851</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53426DA0</paraID>
      <start>89</start>
      <end>90</end>
      <status>unmodified</status>
      <modifiedWord/>
      <trackRevisions>false</trackRevisions>
    </reviewItem>
    <reviewItem>
      <errorID>f564a4b4-5b21-4ff0-bd92-c1027819f403</errorID>
      <errorWord>年12年</errorWord>
      <group>L1_Word</group>
      <groupName>字词问题</groupName>
      <ability>L2_Typo</ability>
      <abilityName>字词错误</abilityName>
      <candidateList>
        <item>年12月</item>
      </candidateList>
      <explain/>
      <paraID>4B187AC2</paraID>
      <start>204</start>
      <end>208</end>
      <status>unmodified</status>
      <modifiedWord/>
      <trackRevisions>false</trackRevisions>
    </reviewItem>
    <reviewItem>
      <errorID>3238ca3e-5c53-483f-b897-bc80edf216ec</errorID>
      <errorWord>盘石</errorWord>
      <group>L1_Word</group>
      <groupName>字词问题</groupName>
      <ability>L2_Variant</ability>
      <abilityName>异形词</abilityName>
      <candidateList>
        <item>磐石</item>
      </candidateList>
      <explain>词汇[盘石]的规范词形写作[磐石]。</explain>
      <paraID>1B1171AC</paraID>
      <start>143</start>
      <end>145</end>
      <status>unmodified</status>
      <modifiedWord/>
      <trackRevisions>false</trackRevisions>
    </reviewItem>
    <reviewItem>
      <errorID>9c622505-3651-4187-b86f-6b23a465a0a9</errorID>
      <errorWord>盘石</errorWord>
      <group>L1_Word</group>
      <groupName>字词问题</groupName>
      <ability>L2_Variant</ability>
      <abilityName>异形词</abilityName>
      <candidateList>
        <item>磐石</item>
      </candidateList>
      <explain>词汇[盘石]的规范词形写作[磐石]。</explain>
      <paraID>1B1171AC</paraID>
      <start>147</start>
      <end>149</end>
      <status>unmodified</status>
      <modifiedWord/>
      <trackRevisions>false</trackRevisions>
    </reviewItem>
    <reviewItem>
      <errorID>73692982-689f-4e20-91d1-0f62999d6cd3</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12CAB144</paraID>
      <start>73</start>
      <end>74</end>
      <status>unmodified</status>
      <modifiedWord/>
      <trackRevisions>false</trackRevisions>
    </reviewItem>
    <reviewItem>
      <errorID>3cf3ea82-9cfe-4110-b87e-1076c2e49732</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7414DBC8</paraID>
      <start>145</start>
      <end>146</end>
      <status>unmodified</status>
      <modifiedWord/>
      <trackRevisions>false</trackRevisions>
    </reviewItem>
    <reviewItem>
      <errorID>42981f4e-3b9c-4aeb-93db-9c540f2a8de0</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2207088C</paraID>
      <start>115</start>
      <end>116</end>
      <status>unmodified</status>
      <modifiedWord/>
      <trackRevisions>false</trackRevisions>
    </reviewItem>
    <reviewItem>
      <errorID>6935a743-7841-462e-a6a0-13cb2f3f09db</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1E873C1E</paraID>
      <start>133</start>
      <end>134</end>
      <status>unmodified</status>
      <modifiedWord/>
      <trackRevisions>false</trackRevisions>
    </reviewItem>
    <reviewItem>
      <errorID>22728d72-3db5-460f-b88a-e9af9cf53dd7</errorID>
      <errorWord>(</errorWord>
      <group>L1_Format</group>
      <groupName>格式问题</groupName>
      <ability>L2_HalfPunc</ability>
      <abilityName>全半角检查</abilityName>
      <candidateList>
        <item>（</item>
      </candidateList>
      <explain>文本全半角错误。</explain>
      <paraID> 691D008</paraID>
      <start>2</start>
      <end>3</end>
      <status>unmodified</status>
      <modifiedWord/>
      <trackRevisions>false</trackRevisions>
    </reviewItem>
    <reviewItem>
      <errorID>a2e8c428-d402-4252-a9cf-c64c937ee3d8</errorID>
      <errorWord>)</errorWord>
      <group>L1_Format</group>
      <groupName>格式问题</groupName>
      <ability>L2_HalfPunc</ability>
      <abilityName>全半角检查</abilityName>
      <candidateList>
        <item>）</item>
      </candidateList>
      <explain>文本全半角错误。</explain>
      <paraID> 691D008</paraID>
      <start>6</start>
      <end>7</end>
      <status>unmodified</status>
      <modifiedWord/>
      <trackRevisions>false</trackRevisions>
    </reviewItem>
    <reviewItem>
      <errorID>3b9f457c-4cdf-4be8-98de-4e7a72986093</errorID>
      <errorWord>（</errorWord>
      <group>L1_Punc</group>
      <groupName>标点问题</groupName>
      <ability>L2_Punc</ability>
      <abilityName>标点符号检查</abilityName>
      <candidateList/>
      <explain>同一形式括号套用。</explain>
      <paraID>2FB11EAE</paraID>
      <start>43</start>
      <end>44</end>
      <status>unmodified</status>
      <modifiedWord/>
      <trackRevisions>false</trackRevisions>
    </reviewItem>
    <reviewItem>
      <errorID>2488d010-3769-4d27-b0a9-2a0012b36556</errorID>
      <errorWord>）</errorWord>
      <group>L1_Punc</group>
      <groupName>标点问题</groupName>
      <ability>L2_Punc</ability>
      <abilityName>标点符号检查</abilityName>
      <candidateList/>
      <explain>同一形式括号套用。</explain>
      <paraID>2FB11EAE</paraID>
      <start>53</start>
      <end>54</end>
      <status>unmodified</status>
      <modifiedWord/>
      <trackRevisions>false</trackRevisions>
    </reviewItem>
    <reviewItem>
      <errorID>b1656d1e-42eb-4633-896c-6ca93ac09dd9</errorID>
      <errorWord>（</errorWord>
      <group>L1_Format</group>
      <groupName>格式问题</groupName>
      <ability>L2_HalfPunc</ability>
      <abilityName>全半角检查</abilityName>
      <candidateList>
        <item>(</item>
      </candidateList>
      <explain>文本全半角错误。</explain>
      <paraID>5A088207</paraID>
      <start>14</start>
      <end>15</end>
      <status>unmodified</status>
      <modifiedWord/>
      <trackRevisions>false</trackRevisions>
    </reviewItem>
    <reviewItem>
      <errorID>2e2867a8-7161-4f1e-851c-37e8b103b9b4</errorID>
      <errorWord>）</errorWord>
      <group>L1_Format</group>
      <groupName>格式问题</groupName>
      <ability>L2_HalfPunc</ability>
      <abilityName>全半角检查</abilityName>
      <candidateList>
        <item>)</item>
      </candidateList>
      <explain>文本全半角错误。</explain>
      <paraID>5A088207</paraID>
      <start>18</start>
      <end>19</end>
      <status>unmodified</status>
      <modifiedWord/>
      <trackRevisions>false</trackRevisions>
    </reviewItem>
    <reviewItem>
      <errorID>43bda93e-90e5-40f4-9b1b-ba51d1107709</errorID>
      <errorWord>（</errorWord>
      <group>L1_Punc</group>
      <groupName>标点问题</groupName>
      <ability>L2_Punc</ability>
      <abilityName>标点符号检查</abilityName>
      <candidateList/>
      <explain>同一形式括号套用。</explain>
      <paraID> 67879FB</paraID>
      <start>31</start>
      <end>32</end>
      <status>unmodified</status>
      <modifiedWord/>
      <trackRevisions>false</trackRevisions>
    </reviewItem>
    <reviewItem>
      <errorID>d14377e3-809e-40c7-ab40-bdb0aef7c3bb</errorID>
      <errorWord>）</errorWord>
      <group>L1_Punc</group>
      <groupName>标点问题</groupName>
      <ability>L2_Punc</ability>
      <abilityName>标点符号检查</abilityName>
      <candidateList/>
      <explain>同一形式括号套用。</explain>
      <paraID> 67879FB</paraID>
      <start>41</start>
      <end>42</end>
      <status>unmodified</status>
      <modifiedWord/>
      <trackRevisions>false</trackRevisions>
    </reviewItem>
    <reviewItem>
      <errorID>ffd22a85-a500-4fc3-9812-d6c4f403def9</errorID>
      <errorWord>（</errorWord>
      <group>L1_Format</group>
      <groupName>格式问题</groupName>
      <ability>L2_HalfPunc</ability>
      <abilityName>全半角检查</abilityName>
      <candidateList>
        <item>(</item>
      </candidateList>
      <explain>文本全半角错误。</explain>
      <paraID> A6062A2</paraID>
      <start>23</start>
      <end>24</end>
      <status>unmodified</status>
      <modifiedWord/>
      <trackRevisions>false</trackRevisions>
    </reviewItem>
    <reviewItem>
      <errorID>c0322f7a-60c6-4078-8893-dae6f5870be7</errorID>
      <errorWord>）</errorWord>
      <group>L1_Format</group>
      <groupName>格式问题</groupName>
      <ability>L2_HalfPunc</ability>
      <abilityName>全半角检查</abilityName>
      <candidateList>
        <item>)</item>
      </candidateList>
      <explain>文本全半角错误。</explain>
      <paraID> A6062A2</paraID>
      <start>27</start>
      <end>28</end>
      <status>unmodified</status>
      <modifiedWord/>
      <trackRevisions>false</trackRevisions>
    </reviewItem>
    <reviewItem>
      <errorID>c7451a40-ba24-4f22-a36f-4974fe36fe90</errorID>
      <errorWord>（</errorWord>
      <group>L1_Format</group>
      <groupName>格式问题</groupName>
      <ability>L2_HalfPunc</ability>
      <abilityName>全半角检查</abilityName>
      <candidateList>
        <item>(</item>
      </candidateList>
      <explain>文本全半角错误。</explain>
      <paraID> A6062A2</paraID>
      <start>29</start>
      <end>30</end>
      <status>unmodified</status>
      <modifiedWord/>
      <trackRevisions>false</trackRevisions>
    </reviewItem>
    <reviewItem>
      <errorID>d50268f7-037c-4b17-bc98-7d891969e0a6</errorID>
      <errorWord>）</errorWord>
      <group>L1_Format</group>
      <groupName>格式问题</groupName>
      <ability>L2_HalfPunc</ability>
      <abilityName>全半角检查</abilityName>
      <candidateList>
        <item>)</item>
      </candidateList>
      <explain>文本全半角错误。</explain>
      <paraID> A6062A2</paraID>
      <start>35</start>
      <end>36</end>
      <status>unmodified</status>
      <modifiedWord/>
      <trackRevisions>false</trackRevisions>
    </reviewItem>
    <reviewItem>
      <errorID>67dc6c17-efeb-4884-9544-2af79d5660cf</errorID>
      <errorWord>)</errorWord>
      <group>L1_Format</group>
      <groupName>格式问题</groupName>
      <ability>L2_HalfPunc</ability>
      <abilityName>全半角检查</abilityName>
      <candidateList>
        <item>）</item>
      </candidateList>
      <explain>文本全半角错误。</explain>
      <paraID>5D2286AC</paraID>
      <start>24</start>
      <end>25</end>
      <status>unmodified</status>
      <modifiedWord/>
      <trackRevisions>false</trackRevisions>
    </reviewItem>
    <reviewItem>
      <errorID>b00d5401-0ec3-4b1d-bd8b-bdd3ea95030a</errorID>
      <errorWord>)</errorWord>
      <group>L1_Format</group>
      <groupName>格式问题</groupName>
      <ability>L2_HalfPunc</ability>
      <abilityName>全半角检查</abilityName>
      <candidateList>
        <item>）</item>
      </candidateList>
      <explain>文本全半角错误。</explain>
      <paraID>1C20F4D2</paraID>
      <start>21</start>
      <end>22</end>
      <status>unmodified</status>
      <modifiedWord/>
      <trackRevisions>false</trackRevisions>
    </reviewItem>
    <reviewItem>
      <errorID>cb704b93-4917-43aa-8dd1-18e57b78749a</errorID>
      <errorWord>)</errorWord>
      <group>L1_Format</group>
      <groupName>格式问题</groupName>
      <ability>L2_HalfPunc</ability>
      <abilityName>全半角检查</abilityName>
      <candidateList>
        <item>）</item>
      </candidateList>
      <explain>文本全半角错误。</explain>
      <paraID>660031E2</paraID>
      <start>51</start>
      <end>52</end>
      <status>unmodified</status>
      <modifiedWord/>
      <trackRevisions>false</trackRevisions>
    </reviewItem>
    <reviewItem>
      <errorID>6b8f2bc6-ad04-49ee-abd4-37fbc485b181</errorID>
      <errorWord>)</errorWord>
      <group>L1_Format</group>
      <groupName>格式问题</groupName>
      <ability>L2_HalfPunc</ability>
      <abilityName>全半角检查</abilityName>
      <candidateList>
        <item>）</item>
      </candidateList>
      <explain>文本全半角错误。</explain>
      <paraID>660031E2</paraID>
      <start>61</start>
      <end>62</end>
      <status>unmodified</status>
      <modifiedWord/>
      <trackRevisions>false</trackRevisions>
    </reviewItem>
    <reviewItem>
      <errorID>b0fcc2cb-79c5-4744-b689-fb91f64973c1</errorID>
      <errorWord>)</errorWord>
      <group>L1_Format</group>
      <groupName>格式问题</groupName>
      <ability>L2_HalfPunc</ability>
      <abilityName>全半角检查</abilityName>
      <candidateList>
        <item>）</item>
      </candidateList>
      <explain>文本全半角错误。</explain>
      <paraID> 69DA07A</paraID>
      <start>28</start>
      <end>29</end>
      <status>unmodified</status>
      <modifiedWord/>
      <trackRevisions>false</trackRevisions>
    </reviewItem>
    <reviewItem>
      <errorID>28ea54e3-7661-4dbf-a461-8022d91e833c</errorID>
      <errorWord>)</errorWord>
      <group>L1_Format</group>
      <groupName>格式问题</groupName>
      <ability>L2_HalfPunc</ability>
      <abilityName>全半角检查</abilityName>
      <candidateList>
        <item>）</item>
      </candidateList>
      <explain>文本全半角错误。</explain>
      <paraID>5FAF6C78</paraID>
      <start>14</start>
      <end>15</end>
      <status>unmodified</status>
      <modifiedWord/>
      <trackRevisions>false</trackRevisions>
    </reviewItem>
    <reviewItem>
      <errorID>197747d4-92bb-40bc-9707-0997a92af75c</errorID>
      <errorWord>：</errorWord>
      <group>L1_Format</group>
      <groupName>格式问题</groupName>
      <ability>L2_HalfPunc</ability>
      <abilityName>全半角检查</abilityName>
      <candidateList>
        <item>:</item>
      </candidateList>
      <explain>文本全半角错误。</explain>
      <paraID>56C24013</paraID>
      <start>19</start>
      <end>20</end>
      <status>unmodified</status>
      <modifiedWord/>
      <trackRevisions>false</trackRevisions>
    </reviewItem>
    <reviewItem>
      <errorID>c774276c-11bd-424f-bfde-6c0aa5864882</errorID>
      <errorWord>制订</errorWord>
      <group>L1_Word</group>
      <groupName>字词问题</groupName>
      <ability>L2_Typo</ability>
      <abilityName>字词错误</abilityName>
      <candidateList>
        <item>制定</item>
      </candidateList>
      <explain>〈动〉定出（法律、规程、政策等）：～宪法｜～学会章程。</explain>
      <paraID> F7A6C3C</paraID>
      <start>1</start>
      <end>3</end>
      <status>modified</status>
      <modifiedWord>制定</modifiedWord>
      <trackRevisions>false</trackRevisions>
    </reviewItem>
    <reviewItem>
      <errorID>a47cf219-ddd2-424e-a41a-ea62532ebb25</errorID>
      <errorWord>制订</errorWord>
      <group>L1_Word</group>
      <groupName>字词问题</groupName>
      <ability>L2_Typo</ability>
      <abilityName>字词错误</abilityName>
      <candidateList>
        <item>制定</item>
      </candidateList>
      <explain>〈动〉定出（法律、规程、政策等）：～宪法｜～学会章程。</explain>
      <paraID>5C65F92B</paraID>
      <start>2</start>
      <end>4</end>
      <status>modified</status>
      <modifiedWord>制定</modifiedWord>
      <trackRevisions>false</trackRevisions>
    </reviewItem>
    <reviewItem>
      <errorID>b415f5e4-56d5-441a-85b3-7b9224282531</errorID>
      <errorWord>&gt;</errorWord>
      <group>L1_Punc</group>
      <groupName>标点问题</groupName>
      <ability>L2_Punc</ability>
      <abilityName>标点符号检查</abilityName>
      <candidateList/>
      <explain/>
      <paraID>5CCABB3B</paraID>
      <start>0</start>
      <end>1</end>
      <status>unmodified</status>
      <modifiedWord/>
      <trackRevisions>false</trackRevisions>
    </reviewItem>
    <reviewItem>
      <errorID>21ead043-b88a-427c-a61e-7f2d18186863</errorID>
      <errorWord>&gt;</errorWord>
      <group>L1_Punc</group>
      <groupName>标点问题</groupName>
      <ability>L2_Punc</ability>
      <abilityName>标点符号检查</abilityName>
      <candidateList/>
      <explain/>
      <paraID> D15BDE6</paraID>
      <start>0</start>
      <end>1</end>
      <status>unmodified</status>
      <modifiedWord/>
      <trackRevisions>false</trackRevisions>
    </reviewItem>
    <reviewItem>
      <errorID>6c13494b-9526-4e4c-8fdd-5ce626ea4267</errorID>
      <errorWord>&gt;</errorWord>
      <group>L1_Punc</group>
      <groupName>标点问题</groupName>
      <ability>L2_Punc</ability>
      <abilityName>标点符号检查</abilityName>
      <candidateList/>
      <explain/>
      <paraID>5DB6B1EC</paraID>
      <start>0</start>
      <end>1</end>
      <status>unmodified</status>
      <modifiedWord/>
      <trackRevisions>false</trackRevisions>
    </reviewItem>
    <reviewItem>
      <errorID>b32850a1-32d3-4485-800a-ac2b6835fd42</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781BB750</paraID>
      <start>15</start>
      <end>16</end>
      <status>unmodified</status>
      <modifiedWord/>
      <trackRevisions>false</trackRevisions>
    </reviewItem>
    <reviewItem>
      <errorID>f0efc66d-0602-4d0d-8080-6860c351fba4</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AB66DD5</paraID>
      <start>15</start>
      <end>16</end>
      <status>unmodified</status>
      <modifiedWord/>
      <trackRevisions>false</trackRevisions>
    </reviewItem>
    <reviewItem>
      <errorID>d76570be-f4ab-4cf1-bc8d-5af74fbcac0c</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AB66DD5</paraID>
      <start>36</start>
      <end>37</end>
      <status>unmodified</status>
      <modifiedWord/>
      <trackRevisions>false</trackRevisions>
    </reviewItem>
    <reviewItem>
      <errorID>f08d8991-516c-47a7-a285-4628c31a2740</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6C6DB1A2</paraID>
      <start>15</start>
      <end>16</end>
      <status>unmodified</status>
      <modifiedWord/>
      <trackRevisions>false</trackRevisions>
    </reviewItem>
    <reviewItem>
      <errorID>68d6db26-44f7-440f-a894-362af458323a</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6C6DB1A2</paraID>
      <start>37</start>
      <end>38</end>
      <status>unmodified</status>
      <modifiedWord/>
      <trackRevisions>false</trackRevisions>
    </reviewItem>
    <reviewItem>
      <errorID>2ab29616-8753-4edf-89af-1d5477e3f44d</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2C0B4486</paraID>
      <start>15</start>
      <end>16</end>
      <status>unmodified</status>
      <modifiedWord/>
      <trackRevisions>false</trackRevisions>
    </reviewItem>
    <reviewItem>
      <errorID>43d7b572-096e-46a5-b3db-fd6bca99f664</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6BDAECE3</paraID>
      <start>5</start>
      <end>6</end>
      <status>unmodified</status>
      <modifiedWord/>
      <trackRevisions>false</trackRevisions>
    </reviewItem>
    <reviewItem>
      <errorID>cd66d465-2aa0-4370-94dc-b6462ef8fc68</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9327F1C</paraID>
      <start>4</start>
      <end>5</end>
      <status>unmodified</status>
      <modifiedWord/>
      <trackRevisions>false</trackRevisions>
    </reviewItem>
    <reviewItem>
      <errorID>9cebcda2-7919-4119-9b0c-34d542c96b44</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2E92414A</paraID>
      <start>47</start>
      <end>48</end>
      <status>unmodified</status>
      <modifiedWord/>
      <trackRevisions>false</trackRevisions>
    </reviewItem>
    <reviewItem>
      <errorID>c0639f29-e455-415e-a1ee-261bd2790189</errorID>
      <errorWord>(</errorWord>
      <group>L1_Format</group>
      <groupName>格式问题</groupName>
      <ability>L2_HalfPunc</ability>
      <abilityName>全半角检查</abilityName>
      <candidateList>
        <item>（</item>
      </candidateList>
      <explain>文本全半角错误。</explain>
      <paraID>612FF364</paraID>
      <start>17</start>
      <end>18</end>
      <status>unmodified</status>
      <modifiedWord/>
      <trackRevisions>false</trackRevisions>
    </reviewItem>
    <reviewItem>
      <errorID>d05bcfeb-db61-4415-b17a-05a29afa2945</errorID>
      <errorWord>)</errorWord>
      <group>L1_Format</group>
      <groupName>格式问题</groupName>
      <ability>L2_HalfPunc</ability>
      <abilityName>全半角检查</abilityName>
      <candidateList>
        <item>）</item>
      </candidateList>
      <explain>文本全半角错误。</explain>
      <paraID>612FF364</paraID>
      <start>27</start>
      <end>28</end>
      <status>unmodified</status>
      <modifiedWord/>
      <trackRevisions>false</trackRevisions>
    </reviewItem>
    <reviewItem>
      <errorID>17824feb-f61d-4d39-a06a-c280fc9b5620</errorID>
      <errorWord>(</errorWord>
      <group>L1_Format</group>
      <groupName>格式问题</groupName>
      <ability>L2_HalfPunc</ability>
      <abilityName>全半角检查</abilityName>
      <candidateList>
        <item>（</item>
      </candidateList>
      <explain>文本全半角错误。</explain>
      <paraID>612FF364</paraID>
      <start>31</start>
      <end>32</end>
      <status>unmodified</status>
      <modifiedWord/>
      <trackRevisions>false</trackRevisions>
    </reviewItem>
    <reviewItem>
      <errorID>2f733adf-aaed-493a-a865-0304228816a9</errorID>
      <errorWord>)</errorWord>
      <group>L1_Format</group>
      <groupName>格式问题</groupName>
      <ability>L2_HalfPunc</ability>
      <abilityName>全半角检查</abilityName>
      <candidateList>
        <item>）</item>
      </candidateList>
      <explain>文本全半角错误。</explain>
      <paraID>612FF364</paraID>
      <start>42</start>
      <end>43</end>
      <status>unmodified</status>
      <modifiedWord/>
      <trackRevisions>false</trackRevisions>
    </reviewItem>
    <reviewItem>
      <errorID>a5c4ee27-4ba0-48c3-8a9b-6bee6a8f1445</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AC811BB</paraID>
      <start>132</start>
      <end>133</end>
      <status>unmodified</status>
      <modifiedWord/>
      <trackRevisions>false</trackRevisions>
    </reviewItem>
  </reviewItems>
  <config/>
</contractReview>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211b200-ba82-4db8-b6a4-5a6aef09fe34}">
  <ds:schemaRefs/>
</ds:datastoreItem>
</file>

<file path=customXml/itemProps3.xml><?xml version="1.0" encoding="utf-8"?>
<ds:datastoreItem xmlns:ds="http://schemas.openxmlformats.org/officeDocument/2006/customXml" ds:itemID="{136ADD11-7A2C-428C-80D1-889143492671}">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110</Pages>
  <Words>19407</Words>
  <Characters>20383</Characters>
  <Lines>548</Lines>
  <Paragraphs>154</Paragraphs>
  <TotalTime>6</TotalTime>
  <ScaleCrop>false</ScaleCrop>
  <LinksUpToDate>false</LinksUpToDate>
  <CharactersWithSpaces>20494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2026-01-25T17:11:00Z</dcterms:created>
  <dc:creator>lhj</dc:creator>
  <cp:lastModifiedBy>淡定</cp:lastModifiedBy>
  <cp:lastPrinted>2020-12-24T01:50:00Z</cp:lastPrinted>
  <dcterms:modified xsi:type="dcterms:W3CDTF">2026-04-23T01:47:18Z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8FA3FE732CB147BC94A7DF906C97F0AE_13</vt:lpwstr>
  </property>
  <property fmtid="{D5CDD505-2E9C-101B-9397-08002B2CF9AE}" pid="4" name="KSOTemplateDocerSaveRecord">
    <vt:lpwstr>eyJoZGlkIjoiOTJkYTY3Y2FiMzRjZWY5MzA3M2FlZWM5ZWNjNWVjM2UiLCJ1c2VySWQiOiIzNDI3NTg4OTEifQ==</vt:lpwstr>
  </property>
</Properties>
</file>