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46CB8C">
      <w:pPr>
        <w:keepNext w:val="0"/>
        <w:keepLines w:val="0"/>
        <w:pageBreakBefore w:val="0"/>
        <w:widowControl w:val="0"/>
        <w:kinsoku/>
        <w:overflowPunct/>
        <w:topLinePunct w:val="0"/>
        <w:autoSpaceDE/>
        <w:autoSpaceDN/>
        <w:bidi w:val="0"/>
        <w:adjustRightInd/>
        <w:snapToGrid/>
        <w:spacing w:line="240" w:lineRule="auto"/>
        <w:textAlignment w:val="auto"/>
        <w:rPr>
          <w:rFonts w:hint="eastAsia" w:ascii="国标仿宋-GB/T 2312" w:hAnsi="国标仿宋-GB/T 2312" w:eastAsia="国标仿宋-GB/T 2312" w:cs="国标仿宋-GB/T 2312"/>
          <w:sz w:val="32"/>
          <w:szCs w:val="32"/>
        </w:rPr>
      </w:pPr>
    </w:p>
    <w:p w14:paraId="539A5B8D">
      <w:pPr>
        <w:keepNext w:val="0"/>
        <w:keepLines w:val="0"/>
        <w:pageBreakBefore w:val="0"/>
        <w:widowControl w:val="0"/>
        <w:kinsoku/>
        <w:overflowPunct/>
        <w:topLinePunct w:val="0"/>
        <w:autoSpaceDE/>
        <w:autoSpaceDN/>
        <w:bidi w:val="0"/>
        <w:adjustRightInd/>
        <w:snapToGrid/>
        <w:spacing w:line="240" w:lineRule="auto"/>
        <w:textAlignment w:val="auto"/>
        <w:rPr>
          <w:rFonts w:hint="eastAsia" w:ascii="国标仿宋-GB/T 2312" w:hAnsi="国标仿宋-GB/T 2312" w:eastAsia="国标仿宋-GB/T 2312" w:cs="国标仿宋-GB/T 2312"/>
          <w:sz w:val="32"/>
          <w:szCs w:val="32"/>
        </w:rPr>
      </w:pPr>
    </w:p>
    <w:p w14:paraId="2F80E633">
      <w:pPr>
        <w:keepNext w:val="0"/>
        <w:keepLines w:val="0"/>
        <w:pageBreakBefore w:val="0"/>
        <w:widowControl w:val="0"/>
        <w:kinsoku/>
        <w:wordWrap w:val="0"/>
        <w:overflowPunct/>
        <w:topLinePunct w:val="0"/>
        <w:autoSpaceDE/>
        <w:autoSpaceDN/>
        <w:bidi w:val="0"/>
        <w:adjustRightInd/>
        <w:snapToGrid/>
        <w:spacing w:line="240" w:lineRule="auto"/>
        <w:ind w:left="200" w:leftChars="100"/>
        <w:jc w:val="right"/>
        <w:textAlignment w:val="auto"/>
        <w:rPr>
          <w:rFonts w:hint="default" w:ascii="国标仿宋-GB/T 2312" w:hAnsi="国标仿宋-GB/T 2312" w:eastAsia="国标仿宋-GB/T 2312" w:cs="国标仿宋-GB/T 2312"/>
          <w:sz w:val="32"/>
          <w:szCs w:val="32"/>
          <w:lang w:val="en-US" w:eastAsia="zh-CN"/>
        </w:rPr>
      </w:pPr>
      <w:r>
        <w:rPr>
          <w:rFonts w:hint="eastAsia" w:ascii="国标仿宋-GB/T 2312" w:hAnsi="国标仿宋-GB/T 2312" w:eastAsia="国标仿宋-GB/T 2312" w:cs="国标仿宋-GB/T 2312"/>
          <w:sz w:val="32"/>
          <w:szCs w:val="32"/>
        </w:rPr>
        <w:t>阳环盂函〔202</w:t>
      </w:r>
      <w:r>
        <w:rPr>
          <w:rFonts w:hint="eastAsia" w:ascii="国标仿宋-GB/T 2312" w:hAnsi="国标仿宋-GB/T 2312" w:eastAsia="国标仿宋-GB/T 2312" w:cs="国标仿宋-GB/T 2312"/>
          <w:sz w:val="32"/>
          <w:szCs w:val="32"/>
          <w:lang w:val="en-US" w:eastAsia="zh-CN"/>
        </w:rPr>
        <w:t>6</w:t>
      </w:r>
      <w:r>
        <w:rPr>
          <w:rFonts w:hint="eastAsia" w:ascii="国标仿宋-GB/T 2312" w:hAnsi="国标仿宋-GB/T 2312" w:eastAsia="国标仿宋-GB/T 2312" w:cs="国标仿宋-GB/T 2312"/>
          <w:sz w:val="32"/>
          <w:szCs w:val="32"/>
        </w:rPr>
        <w:t>〕</w:t>
      </w:r>
      <w:r>
        <w:rPr>
          <w:rFonts w:hint="eastAsia" w:ascii="国标仿宋-GB/T 2312" w:hAnsi="国标仿宋-GB/T 2312" w:eastAsia="国标仿宋-GB/T 2312" w:cs="国标仿宋-GB/T 2312"/>
          <w:sz w:val="32"/>
          <w:szCs w:val="32"/>
          <w:lang w:val="en-US" w:eastAsia="zh-CN"/>
        </w:rPr>
        <w:t>18</w:t>
      </w:r>
      <w:r>
        <w:rPr>
          <w:rFonts w:hint="eastAsia" w:ascii="国标仿宋-GB/T 2312" w:hAnsi="国标仿宋-GB/T 2312" w:eastAsia="国标仿宋-GB/T 2312" w:cs="国标仿宋-GB/T 2312"/>
          <w:sz w:val="32"/>
          <w:szCs w:val="32"/>
        </w:rPr>
        <w:t>号</w:t>
      </w:r>
      <w:r>
        <w:rPr>
          <w:rFonts w:hint="eastAsia" w:ascii="国标仿宋-GB/T 2312" w:hAnsi="国标仿宋-GB/T 2312" w:eastAsia="国标仿宋-GB/T 2312" w:cs="国标仿宋-GB/T 2312"/>
          <w:sz w:val="32"/>
          <w:szCs w:val="32"/>
          <w:lang w:val="en-US" w:eastAsia="zh-CN"/>
        </w:rPr>
        <w:t xml:space="preserve">  </w:t>
      </w:r>
    </w:p>
    <w:p w14:paraId="5553B84F">
      <w:pPr>
        <w:keepNext w:val="0"/>
        <w:keepLines w:val="0"/>
        <w:pageBreakBefore w:val="0"/>
        <w:widowControl w:val="0"/>
        <w:kinsoku/>
        <w:overflowPunct/>
        <w:topLinePunct w:val="0"/>
        <w:autoSpaceDE/>
        <w:autoSpaceDN/>
        <w:bidi w:val="0"/>
        <w:adjustRightInd/>
        <w:snapToGrid/>
        <w:spacing w:line="240" w:lineRule="auto"/>
        <w:textAlignment w:val="auto"/>
        <w:rPr>
          <w:rFonts w:hint="eastAsia" w:ascii="仿宋_GB2312" w:eastAsia="仿宋_GB2312"/>
          <w:sz w:val="32"/>
          <w:szCs w:val="32"/>
        </w:rPr>
      </w:pPr>
    </w:p>
    <w:p w14:paraId="5E7E498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国标宋体-GB/T 2312" w:hAnsi="国标宋体-GB/T 2312" w:eastAsia="国标宋体-GB/T 2312" w:cs="国标宋体-GB/T 2312"/>
          <w:b/>
          <w:bCs w:val="0"/>
          <w:sz w:val="44"/>
          <w:szCs w:val="44"/>
        </w:rPr>
      </w:pPr>
      <w:r>
        <w:rPr>
          <w:rFonts w:hint="eastAsia" w:ascii="国标宋体-GB/T 2312" w:hAnsi="国标宋体-GB/T 2312" w:eastAsia="国标宋体-GB/T 2312" w:cs="国标宋体-GB/T 2312"/>
          <w:b/>
          <w:bCs w:val="0"/>
          <w:sz w:val="44"/>
          <w:szCs w:val="44"/>
        </w:rPr>
        <w:t>阳泉市生态环境局盂县分局</w:t>
      </w:r>
    </w:p>
    <w:p w14:paraId="31FA3F4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国标宋体-GB/T 2312" w:hAnsi="国标宋体-GB/T 2312" w:eastAsia="国标宋体-GB/T 2312" w:cs="国标宋体-GB/T 2312"/>
          <w:b/>
          <w:bCs w:val="0"/>
          <w:sz w:val="44"/>
          <w:szCs w:val="44"/>
        </w:rPr>
      </w:pPr>
      <w:r>
        <w:rPr>
          <w:rFonts w:hint="eastAsia" w:ascii="国标宋体-GB/T 2312" w:hAnsi="国标宋体-GB/T 2312" w:eastAsia="国标宋体-GB/T 2312" w:cs="国标宋体-GB/T 2312"/>
          <w:b/>
          <w:bCs w:val="0"/>
          <w:sz w:val="44"/>
          <w:szCs w:val="44"/>
        </w:rPr>
        <w:t>关于山西鑫国通混凝土有限公司新型环保</w:t>
      </w:r>
    </w:p>
    <w:p w14:paraId="72ED066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国标宋体-GB/T 2312" w:hAnsi="国标宋体-GB/T 2312" w:eastAsia="国标宋体-GB/T 2312" w:cs="国标宋体-GB/T 2312"/>
          <w:b/>
          <w:bCs w:val="0"/>
          <w:sz w:val="44"/>
          <w:szCs w:val="44"/>
        </w:rPr>
      </w:pPr>
      <w:r>
        <w:rPr>
          <w:rFonts w:hint="eastAsia" w:ascii="国标宋体-GB/T 2312" w:hAnsi="国标宋体-GB/T 2312" w:eastAsia="国标宋体-GB/T 2312" w:cs="国标宋体-GB/T 2312"/>
          <w:b/>
          <w:bCs w:val="0"/>
          <w:sz w:val="44"/>
          <w:szCs w:val="44"/>
        </w:rPr>
        <w:t>建筑材料加工项目环境影响报告表的批复</w:t>
      </w:r>
    </w:p>
    <w:p w14:paraId="1B3F21C9">
      <w:pPr>
        <w:keepNext w:val="0"/>
        <w:keepLines w:val="0"/>
        <w:pageBreakBefore w:val="0"/>
        <w:widowControl w:val="0"/>
        <w:kinsoku/>
        <w:wordWrap/>
        <w:overflowPunct/>
        <w:topLinePunct w:val="0"/>
        <w:autoSpaceDE/>
        <w:autoSpaceDN/>
        <w:bidi w:val="0"/>
        <w:adjustRightInd/>
        <w:snapToGrid/>
        <w:spacing w:line="740" w:lineRule="exact"/>
        <w:jc w:val="both"/>
        <w:textAlignment w:val="auto"/>
        <w:rPr>
          <w:rFonts w:hint="eastAsia" w:ascii="国标仿宋-GB/T 2312" w:hAnsi="国标仿宋-GB/T 2312" w:eastAsia="国标仿宋-GB/T 2312" w:cs="国标仿宋-GB/T 2312"/>
          <w:sz w:val="32"/>
          <w:szCs w:val="32"/>
        </w:rPr>
      </w:pPr>
    </w:p>
    <w:p w14:paraId="2EDBFB7F">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国标仿宋-GB/T 2312" w:hAnsi="国标仿宋-GB/T 2312" w:eastAsia="国标仿宋-GB/T 2312" w:cs="国标仿宋-GB/T 2312"/>
          <w:sz w:val="32"/>
          <w:szCs w:val="32"/>
        </w:rPr>
      </w:pPr>
      <w:r>
        <w:rPr>
          <w:rFonts w:hint="eastAsia" w:ascii="国标仿宋-GB/T 2312" w:hAnsi="国标仿宋-GB/T 2312" w:eastAsia="国标仿宋-GB/T 2312" w:cs="国标仿宋-GB/T 2312"/>
          <w:sz w:val="32"/>
          <w:szCs w:val="32"/>
        </w:rPr>
        <w:t>山西鑫国通混凝土有限公司：</w:t>
      </w:r>
    </w:p>
    <w:p w14:paraId="7A5C86D6">
      <w:pPr>
        <w:pStyle w:val="17"/>
        <w:keepNext w:val="0"/>
        <w:keepLines w:val="0"/>
        <w:pageBreakBefore w:val="0"/>
        <w:kinsoku/>
        <w:wordWrap/>
        <w:overflowPunct/>
        <w:topLinePunct w:val="0"/>
        <w:autoSpaceDE/>
        <w:autoSpaceDN/>
        <w:bidi w:val="0"/>
        <w:adjustRightInd/>
        <w:snapToGrid/>
        <w:spacing w:beforeAutospacing="0" w:afterAutospacing="0" w:line="240" w:lineRule="auto"/>
        <w:ind w:firstLine="640" w:firstLineChars="200"/>
        <w:jc w:val="both"/>
        <w:textAlignment w:val="auto"/>
        <w:rPr>
          <w:rFonts w:hint="eastAsia" w:ascii="国标仿宋-GB/T 2312" w:hAnsi="国标仿宋-GB/T 2312" w:eastAsia="国标仿宋-GB/T 2312" w:cs="国标仿宋-GB/T 2312"/>
          <w:sz w:val="32"/>
          <w:szCs w:val="32"/>
        </w:rPr>
      </w:pPr>
      <w:r>
        <w:rPr>
          <w:rFonts w:hint="eastAsia" w:ascii="国标仿宋-GB/T 2312" w:hAnsi="国标仿宋-GB/T 2312" w:eastAsia="国标仿宋-GB/T 2312" w:cs="国标仿宋-GB/T 2312"/>
          <w:sz w:val="32"/>
          <w:szCs w:val="32"/>
        </w:rPr>
        <w:t>你公司《关于</w:t>
      </w:r>
      <w:r>
        <w:rPr>
          <w:rFonts w:hint="eastAsia" w:ascii="国标仿宋-GB/T 2312" w:hAnsi="国标仿宋-GB/T 2312" w:eastAsia="国标仿宋-GB/T 2312" w:cs="国标仿宋-GB/T 2312"/>
          <w:sz w:val="32"/>
          <w:szCs w:val="32"/>
          <w:lang w:val="en-US" w:eastAsia="zh-CN"/>
        </w:rPr>
        <w:t>&lt;</w:t>
      </w:r>
      <w:r>
        <w:rPr>
          <w:rFonts w:hint="eastAsia" w:ascii="国标仿宋-GB/T 2312" w:hAnsi="国标仿宋-GB/T 2312" w:eastAsia="国标仿宋-GB/T 2312" w:cs="国标仿宋-GB/T 2312"/>
          <w:sz w:val="32"/>
          <w:szCs w:val="32"/>
        </w:rPr>
        <w:t>山西鑫国通混凝土有限公司新型环保建筑材料加工项目环境影响报告表</w:t>
      </w:r>
      <w:r>
        <w:rPr>
          <w:rFonts w:hint="eastAsia" w:ascii="国标仿宋-GB/T 2312" w:hAnsi="国标仿宋-GB/T 2312" w:eastAsia="国标仿宋-GB/T 2312" w:cs="国标仿宋-GB/T 2312"/>
          <w:sz w:val="32"/>
          <w:szCs w:val="32"/>
          <w:lang w:val="en-US" w:eastAsia="zh-CN"/>
        </w:rPr>
        <w:t>&gt;</w:t>
      </w:r>
      <w:r>
        <w:rPr>
          <w:rFonts w:hint="eastAsia" w:ascii="国标仿宋-GB/T 2312" w:hAnsi="国标仿宋-GB/T 2312" w:eastAsia="国标仿宋-GB/T 2312" w:cs="国标仿宋-GB/T 2312"/>
          <w:sz w:val="32"/>
          <w:szCs w:val="32"/>
        </w:rPr>
        <w:t>报批的申请》及相关材料收悉，经研究，现批复如下：</w:t>
      </w:r>
    </w:p>
    <w:p w14:paraId="08DDB67E">
      <w:pPr>
        <w:pStyle w:val="17"/>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640" w:firstLineChars="200"/>
        <w:jc w:val="both"/>
        <w:textAlignment w:val="auto"/>
        <w:rPr>
          <w:rFonts w:hint="eastAsia" w:ascii="国标仿宋-GB/T 2312" w:hAnsi="国标仿宋-GB/T 2312" w:eastAsia="国标仿宋-GB/T 2312" w:cs="国标仿宋-GB/T 2312"/>
          <w:sz w:val="32"/>
          <w:szCs w:val="32"/>
        </w:rPr>
      </w:pPr>
      <w:r>
        <w:rPr>
          <w:rFonts w:hint="eastAsia" w:ascii="国标仿宋-GB/T 2312" w:hAnsi="国标仿宋-GB/T 2312" w:eastAsia="国标仿宋-GB/T 2312" w:cs="国标仿宋-GB/T 2312"/>
          <w:sz w:val="32"/>
          <w:szCs w:val="32"/>
        </w:rPr>
        <w:t>一、该项目由盂县行政审批服务管理局在山西省企业投资信息平台进行备案，项目代码：2504-140322-89-01-927357。地址位于山西省阳泉市盂县秀水镇东城武村，占地面积为4000m</w:t>
      </w:r>
      <w:r>
        <w:rPr>
          <w:rFonts w:hint="eastAsia" w:ascii="国标仿宋-GB/T 2312" w:hAnsi="国标仿宋-GB/T 2312" w:eastAsia="国标仿宋-GB/T 2312" w:cs="国标仿宋-GB/T 2312"/>
          <w:sz w:val="32"/>
          <w:szCs w:val="32"/>
          <w:vertAlign w:val="superscript"/>
        </w:rPr>
        <w:t>2</w:t>
      </w:r>
      <w:r>
        <w:rPr>
          <w:rFonts w:hint="eastAsia" w:ascii="国标仿宋-GB/T 2312" w:hAnsi="国标仿宋-GB/T 2312" w:eastAsia="国标仿宋-GB/T 2312" w:cs="国标仿宋-GB/T 2312"/>
          <w:sz w:val="32"/>
          <w:szCs w:val="32"/>
        </w:rPr>
        <w:t>，</w:t>
      </w:r>
      <w:r>
        <w:rPr>
          <w:rFonts w:hint="eastAsia" w:ascii="国标仿宋-GB/T 2312" w:hAnsi="国标仿宋-GB/T 2312" w:eastAsia="国标仿宋-GB/T 2312" w:cs="国标仿宋-GB/T 2312"/>
          <w:sz w:val="32"/>
          <w:szCs w:val="32"/>
          <w:lang w:eastAsia="zh-CN"/>
        </w:rPr>
        <w:t>本项目</w:t>
      </w:r>
      <w:r>
        <w:rPr>
          <w:rFonts w:hint="eastAsia" w:ascii="国标仿宋-GB/T 2312" w:hAnsi="国标仿宋-GB/T 2312" w:eastAsia="国标仿宋-GB/T 2312" w:cs="国标仿宋-GB/T 2312"/>
          <w:sz w:val="32"/>
          <w:szCs w:val="32"/>
        </w:rPr>
        <w:t>为新建项目。主要建设内容为新建一条商品混凝土生产线，一条水稳生产线。年生产商品混凝土10万方，水稳6万方。项目总投资480万元，环保投资6.25万元。</w:t>
      </w:r>
    </w:p>
    <w:p w14:paraId="4CF15BA8">
      <w:pPr>
        <w:pStyle w:val="17"/>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640" w:firstLineChars="200"/>
        <w:jc w:val="both"/>
        <w:textAlignment w:val="auto"/>
        <w:rPr>
          <w:rFonts w:hint="eastAsia" w:ascii="国标仿宋-GB/T 2312" w:hAnsi="国标仿宋-GB/T 2312" w:eastAsia="国标仿宋-GB/T 2312" w:cs="国标仿宋-GB/T 2312"/>
          <w:color w:val="000000"/>
          <w:sz w:val="32"/>
          <w:szCs w:val="32"/>
        </w:rPr>
      </w:pPr>
      <w:r>
        <w:rPr>
          <w:rFonts w:hint="eastAsia" w:ascii="国标仿宋-GB/T 2312" w:hAnsi="国标仿宋-GB/T 2312" w:eastAsia="国标仿宋-GB/T 2312" w:cs="国标仿宋-GB/T 2312"/>
          <w:sz w:val="32"/>
          <w:szCs w:val="32"/>
        </w:rPr>
        <w:t>二、根据山西碧海蓝天科技有限公司编制</w:t>
      </w:r>
      <w:r>
        <w:rPr>
          <w:rFonts w:hint="eastAsia" w:ascii="国标仿宋-GB/T 2312" w:hAnsi="国标仿宋-GB/T 2312" w:eastAsia="国标仿宋-GB/T 2312" w:cs="国标仿宋-GB/T 2312"/>
          <w:color w:val="000000"/>
          <w:sz w:val="32"/>
          <w:szCs w:val="32"/>
        </w:rPr>
        <w:t>的</w:t>
      </w:r>
      <w:r>
        <w:rPr>
          <w:rFonts w:hint="eastAsia" w:ascii="国标仿宋-GB/T 2312" w:hAnsi="国标仿宋-GB/T 2312" w:eastAsia="国标仿宋-GB/T 2312" w:cs="国标仿宋-GB/T 2312"/>
          <w:sz w:val="32"/>
          <w:szCs w:val="32"/>
        </w:rPr>
        <w:t>《山西鑫国通混凝土有限公司新型环保建筑材料加工项目环境影响报告表》（以下简称</w:t>
      </w:r>
      <w:r>
        <w:rPr>
          <w:rFonts w:hint="eastAsia" w:ascii="国标仿宋-GB/T 2312" w:hAnsi="国标仿宋-GB/T 2312" w:eastAsia="国标仿宋-GB/T 2312" w:cs="国标仿宋-GB/T 2312"/>
          <w:color w:val="000000"/>
          <w:sz w:val="32"/>
          <w:szCs w:val="32"/>
        </w:rPr>
        <w:t>《报告表》</w:t>
      </w:r>
      <w:r>
        <w:rPr>
          <w:rFonts w:hint="eastAsia" w:ascii="国标仿宋-GB/T 2312" w:hAnsi="国标仿宋-GB/T 2312" w:eastAsia="国标仿宋-GB/T 2312" w:cs="国标仿宋-GB/T 2312"/>
          <w:sz w:val="32"/>
          <w:szCs w:val="32"/>
        </w:rPr>
        <w:t>）</w:t>
      </w:r>
      <w:r>
        <w:rPr>
          <w:rFonts w:hint="eastAsia" w:ascii="国标仿宋-GB/T 2312" w:hAnsi="国标仿宋-GB/T 2312" w:eastAsia="国标仿宋-GB/T 2312" w:cs="国标仿宋-GB/T 2312"/>
          <w:color w:val="000000"/>
          <w:sz w:val="32"/>
          <w:szCs w:val="32"/>
        </w:rPr>
        <w:t>评价结论和《报告表》技术审查意见，</w:t>
      </w:r>
    </w:p>
    <w:p w14:paraId="5C4FEF2E">
      <w:pPr>
        <w:pStyle w:val="17"/>
        <w:keepNext w:val="0"/>
        <w:keepLines w:val="0"/>
        <w:pageBreakBefore w:val="0"/>
        <w:kinsoku/>
        <w:wordWrap/>
        <w:overflowPunct/>
        <w:topLinePunct w:val="0"/>
        <w:autoSpaceDE/>
        <w:autoSpaceDN/>
        <w:bidi w:val="0"/>
        <w:adjustRightInd/>
        <w:snapToGrid/>
        <w:spacing w:beforeAutospacing="0" w:afterAutospacing="0" w:line="240" w:lineRule="auto"/>
        <w:jc w:val="both"/>
        <w:textAlignment w:val="auto"/>
        <w:rPr>
          <w:rFonts w:hint="eastAsia" w:ascii="国标仿宋-GB/T 2312" w:hAnsi="国标仿宋-GB/T 2312" w:eastAsia="国标仿宋-GB/T 2312" w:cs="国标仿宋-GB/T 2312"/>
          <w:sz w:val="32"/>
          <w:szCs w:val="32"/>
        </w:rPr>
      </w:pPr>
      <w:r>
        <w:rPr>
          <w:rFonts w:hint="eastAsia" w:ascii="国标仿宋-GB/T 2312" w:hAnsi="国标仿宋-GB/T 2312" w:eastAsia="国标仿宋-GB/T 2312" w:cs="国标仿宋-GB/T 2312"/>
          <w:color w:val="000000"/>
          <w:sz w:val="32"/>
          <w:szCs w:val="32"/>
        </w:rPr>
        <w:t>项目在全面落实《报告表》提出的各项生态环境保护措施及本批复要求的前提下，项目所产生的不利环境影响可以得到一定程度减缓和控制，我局原则同意《报告表》的总体结论和拟采取的各项生态环境保护措施。</w:t>
      </w:r>
    </w:p>
    <w:p w14:paraId="4C973770">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国标仿宋-GB/T 2312" w:hAnsi="国标仿宋-GB/T 2312" w:eastAsia="国标仿宋-GB/T 2312" w:cs="国标仿宋-GB/T 2312"/>
          <w:sz w:val="32"/>
          <w:szCs w:val="32"/>
        </w:rPr>
      </w:pPr>
      <w:r>
        <w:rPr>
          <w:rFonts w:hint="eastAsia" w:ascii="国标仿宋-GB/T 2312" w:hAnsi="国标仿宋-GB/T 2312" w:eastAsia="国标仿宋-GB/T 2312" w:cs="国标仿宋-GB/T 2312"/>
          <w:sz w:val="32"/>
          <w:szCs w:val="32"/>
        </w:rPr>
        <w:t>三、在项目的实施中，全面落实《报告表》提出的各项生态环境保护措施，并做好以下几方面工作：</w:t>
      </w:r>
    </w:p>
    <w:p w14:paraId="4269CA75">
      <w:pPr>
        <w:keepNext w:val="0"/>
        <w:keepLines w:val="0"/>
        <w:pageBreakBefore w:val="0"/>
        <w:kinsoku/>
        <w:wordWrap/>
        <w:overflowPunct/>
        <w:topLinePunct w:val="0"/>
        <w:autoSpaceDE/>
        <w:autoSpaceDN/>
        <w:bidi w:val="0"/>
        <w:adjustRightInd/>
        <w:snapToGrid/>
        <w:spacing w:line="240" w:lineRule="auto"/>
        <w:ind w:firstLine="640" w:firstLineChars="200"/>
        <w:jc w:val="both"/>
        <w:textAlignment w:val="auto"/>
        <w:rPr>
          <w:rFonts w:hint="eastAsia" w:ascii="国标仿宋-GB/T 2312" w:hAnsi="国标仿宋-GB/T 2312" w:eastAsia="国标仿宋-GB/T 2312" w:cs="国标仿宋-GB/T 2312"/>
          <w:sz w:val="32"/>
          <w:szCs w:val="32"/>
        </w:rPr>
      </w:pPr>
      <w:r>
        <w:rPr>
          <w:rFonts w:hint="eastAsia" w:ascii="国标仿宋-GB/T 2312" w:hAnsi="国标仿宋-GB/T 2312" w:eastAsia="国标仿宋-GB/T 2312" w:cs="国标仿宋-GB/T 2312"/>
          <w:sz w:val="32"/>
          <w:szCs w:val="32"/>
        </w:rPr>
        <w:t>1、严格落实大气污染防治措施</w:t>
      </w:r>
    </w:p>
    <w:p w14:paraId="7C31CF6A">
      <w:pPr>
        <w:keepNext w:val="0"/>
        <w:keepLines w:val="0"/>
        <w:pageBreakBefore w:val="0"/>
        <w:kinsoku/>
        <w:wordWrap/>
        <w:overflowPunct/>
        <w:topLinePunct w:val="0"/>
        <w:autoSpaceDE/>
        <w:autoSpaceDN/>
        <w:bidi w:val="0"/>
        <w:adjustRightInd/>
        <w:snapToGrid/>
        <w:spacing w:line="240" w:lineRule="auto"/>
        <w:ind w:firstLine="640" w:firstLineChars="200"/>
        <w:jc w:val="both"/>
        <w:textAlignment w:val="auto"/>
        <w:rPr>
          <w:rFonts w:hint="eastAsia" w:ascii="国标仿宋-GB/T 2312" w:hAnsi="国标仿宋-GB/T 2312" w:eastAsia="国标仿宋-GB/T 2312" w:cs="国标仿宋-GB/T 2312"/>
          <w:sz w:val="32"/>
          <w:szCs w:val="32"/>
        </w:rPr>
      </w:pPr>
      <w:r>
        <w:rPr>
          <w:rFonts w:hint="eastAsia" w:ascii="国标仿宋-GB/T 2312" w:hAnsi="国标仿宋-GB/T 2312" w:eastAsia="国标仿宋-GB/T 2312" w:cs="国标仿宋-GB/T 2312"/>
          <w:sz w:val="32"/>
          <w:szCs w:val="32"/>
        </w:rPr>
        <w:t>施工期：施工现场应满足“六个百分百”的具体要求，做到施工工地周边100%围挡、物料堆放100%覆盖、出入车辆100%冲洗、施工现场地面100%硬化、工地100%湿法作业、渣土车辆100%密闭运输。在风速达四级及以上的天气情况下，应当停止易</w:t>
      </w:r>
      <w:r>
        <w:rPr>
          <w:rFonts w:hint="eastAsia" w:ascii="国标仿宋-GB/T 2312" w:hAnsi="国标仿宋-GB/T 2312" w:eastAsia="国标仿宋-GB/T 2312" w:cs="国标仿宋-GB/T 2312"/>
          <w:spacing w:val="-11"/>
          <w:sz w:val="32"/>
          <w:szCs w:val="32"/>
        </w:rPr>
        <w:t>产生扬尘污染的施工作业，并采取苫盖、洒水等相应的防尘措施。</w:t>
      </w:r>
    </w:p>
    <w:p w14:paraId="07FCAFDC">
      <w:pPr>
        <w:keepNext w:val="0"/>
        <w:keepLines w:val="0"/>
        <w:pageBreakBefore w:val="0"/>
        <w:kinsoku/>
        <w:wordWrap/>
        <w:overflowPunct/>
        <w:topLinePunct w:val="0"/>
        <w:autoSpaceDE/>
        <w:autoSpaceDN/>
        <w:bidi w:val="0"/>
        <w:adjustRightInd/>
        <w:snapToGrid/>
        <w:spacing w:line="240" w:lineRule="auto"/>
        <w:ind w:firstLine="640" w:firstLineChars="200"/>
        <w:jc w:val="both"/>
        <w:textAlignment w:val="auto"/>
        <w:rPr>
          <w:rFonts w:hint="eastAsia" w:ascii="国标仿宋-GB/T 2312" w:hAnsi="国标仿宋-GB/T 2312" w:eastAsia="国标仿宋-GB/T 2312" w:cs="国标仿宋-GB/T 2312"/>
          <w:sz w:val="32"/>
          <w:szCs w:val="32"/>
        </w:rPr>
      </w:pPr>
      <w:r>
        <w:rPr>
          <w:rFonts w:hint="eastAsia" w:ascii="国标仿宋-GB/T 2312" w:hAnsi="国标仿宋-GB/T 2312" w:eastAsia="国标仿宋-GB/T 2312" w:cs="国标仿宋-GB/T 2312"/>
          <w:sz w:val="32"/>
          <w:szCs w:val="32"/>
        </w:rPr>
        <w:t>运营期：运营期废气主要污染物为原料砂石装卸、堆放粉尘</w:t>
      </w:r>
      <w:r>
        <w:rPr>
          <w:rFonts w:hint="eastAsia" w:ascii="国标仿宋-GB/T 2312" w:hAnsi="国标仿宋-GB/T 2312" w:eastAsia="国标仿宋-GB/T 2312" w:cs="国标仿宋-GB/T 2312"/>
          <w:sz w:val="32"/>
          <w:szCs w:val="32"/>
          <w:lang w:val="en-US" w:eastAsia="zh-CN"/>
        </w:rPr>
        <w:t>,</w:t>
      </w:r>
      <w:r>
        <w:rPr>
          <w:rFonts w:hint="eastAsia" w:ascii="国标仿宋-GB/T 2312" w:hAnsi="国标仿宋-GB/T 2312" w:eastAsia="国标仿宋-GB/T 2312" w:cs="国标仿宋-GB/T 2312"/>
          <w:bCs/>
          <w:sz w:val="32"/>
          <w:szCs w:val="32"/>
        </w:rPr>
        <w:t>物料输送粉尘</w:t>
      </w:r>
      <w:r>
        <w:rPr>
          <w:rFonts w:hint="eastAsia" w:ascii="国标仿宋-GB/T 2312" w:hAnsi="国标仿宋-GB/T 2312" w:eastAsia="国标仿宋-GB/T 2312" w:cs="国标仿宋-GB/T 2312"/>
          <w:bCs/>
          <w:sz w:val="32"/>
          <w:szCs w:val="32"/>
          <w:lang w:val="en-US" w:eastAsia="zh-CN"/>
        </w:rPr>
        <w:t>,</w:t>
      </w:r>
      <w:r>
        <w:rPr>
          <w:rFonts w:hint="eastAsia" w:ascii="国标仿宋-GB/T 2312" w:hAnsi="国标仿宋-GB/T 2312" w:eastAsia="国标仿宋-GB/T 2312" w:cs="国标仿宋-GB/T 2312"/>
          <w:bCs/>
          <w:sz w:val="32"/>
          <w:szCs w:val="32"/>
        </w:rPr>
        <w:t>道路运输</w:t>
      </w:r>
      <w:r>
        <w:rPr>
          <w:rFonts w:hint="eastAsia" w:ascii="国标仿宋-GB/T 2312" w:hAnsi="国标仿宋-GB/T 2312" w:eastAsia="国标仿宋-GB/T 2312" w:cs="国标仿宋-GB/T 2312"/>
          <w:sz w:val="32"/>
          <w:szCs w:val="32"/>
        </w:rPr>
        <w:t>扬尘</w:t>
      </w:r>
      <w:r>
        <w:rPr>
          <w:rFonts w:hint="eastAsia" w:ascii="国标仿宋-GB/T 2312" w:hAnsi="国标仿宋-GB/T 2312" w:eastAsia="国标仿宋-GB/T 2312" w:cs="国标仿宋-GB/T 2312"/>
          <w:bCs/>
          <w:sz w:val="32"/>
          <w:szCs w:val="32"/>
          <w:lang w:val="en-US" w:eastAsia="zh-CN"/>
        </w:rPr>
        <w:t>,</w:t>
      </w:r>
      <w:r>
        <w:rPr>
          <w:rFonts w:hint="eastAsia" w:ascii="国标仿宋-GB/T 2312" w:hAnsi="国标仿宋-GB/T 2312" w:eastAsia="国标仿宋-GB/T 2312" w:cs="国标仿宋-GB/T 2312"/>
          <w:bCs/>
          <w:sz w:val="32"/>
          <w:szCs w:val="32"/>
        </w:rPr>
        <w:t>混凝土</w:t>
      </w:r>
      <w:r>
        <w:rPr>
          <w:rFonts w:hint="eastAsia" w:ascii="国标仿宋-GB/T 2312" w:hAnsi="国标仿宋-GB/T 2312" w:eastAsia="国标仿宋-GB/T 2312" w:cs="国标仿宋-GB/T 2312"/>
          <w:bCs/>
          <w:sz w:val="32"/>
          <w:szCs w:val="32"/>
          <w:lang w:eastAsia="zh-CN"/>
        </w:rPr>
        <w:t>及水稳</w:t>
      </w:r>
      <w:r>
        <w:rPr>
          <w:rFonts w:hint="eastAsia" w:ascii="国标仿宋-GB/T 2312" w:hAnsi="国标仿宋-GB/T 2312" w:eastAsia="国标仿宋-GB/T 2312" w:cs="国标仿宋-GB/T 2312"/>
          <w:bCs/>
          <w:sz w:val="32"/>
          <w:szCs w:val="32"/>
        </w:rPr>
        <w:t>生产线粉料筒仓粉尘</w:t>
      </w:r>
      <w:r>
        <w:rPr>
          <w:rFonts w:hint="eastAsia" w:ascii="国标仿宋-GB/T 2312" w:hAnsi="国标仿宋-GB/T 2312" w:eastAsia="国标仿宋-GB/T 2312" w:cs="国标仿宋-GB/T 2312"/>
          <w:bCs/>
          <w:sz w:val="32"/>
          <w:szCs w:val="32"/>
          <w:lang w:eastAsia="zh-CN"/>
        </w:rPr>
        <w:t>和</w:t>
      </w:r>
      <w:r>
        <w:rPr>
          <w:rFonts w:hint="eastAsia" w:ascii="国标仿宋-GB/T 2312" w:hAnsi="国标仿宋-GB/T 2312" w:eastAsia="国标仿宋-GB/T 2312" w:cs="国标仿宋-GB/T 2312"/>
          <w:bCs/>
          <w:sz w:val="32"/>
          <w:szCs w:val="32"/>
        </w:rPr>
        <w:t>上料、搅拌粉尘</w:t>
      </w:r>
      <w:r>
        <w:rPr>
          <w:rFonts w:hint="eastAsia" w:ascii="国标仿宋-GB/T 2312" w:hAnsi="国标仿宋-GB/T 2312" w:eastAsia="国标仿宋-GB/T 2312" w:cs="国标仿宋-GB/T 2312"/>
          <w:sz w:val="32"/>
          <w:szCs w:val="32"/>
        </w:rPr>
        <w:t>等。要求物料堆存、装卸均在全封闭原料库进行，采用自卸车及铲车装卸</w:t>
      </w:r>
      <w:r>
        <w:rPr>
          <w:rFonts w:hint="eastAsia" w:ascii="国标仿宋-GB/T 2312" w:hAnsi="国标仿宋-GB/T 2312" w:eastAsia="国标仿宋-GB/T 2312" w:cs="国标仿宋-GB/T 2312"/>
          <w:sz w:val="32"/>
          <w:szCs w:val="32"/>
          <w:lang w:val="en-US" w:eastAsia="zh-CN"/>
        </w:rPr>
        <w:t>,</w:t>
      </w:r>
      <w:r>
        <w:rPr>
          <w:rFonts w:hint="eastAsia" w:ascii="国标仿宋-GB/T 2312" w:hAnsi="国标仿宋-GB/T 2312" w:eastAsia="国标仿宋-GB/T 2312" w:cs="国标仿宋-GB/T 2312"/>
          <w:sz w:val="32"/>
          <w:szCs w:val="32"/>
        </w:rPr>
        <w:t>地面全部硬化，</w:t>
      </w:r>
      <w:r>
        <w:rPr>
          <w:rFonts w:hint="eastAsia" w:ascii="国标仿宋-GB/T 2312" w:hAnsi="国标仿宋-GB/T 2312" w:eastAsia="国标仿宋-GB/T 2312" w:cs="国标仿宋-GB/T 2312"/>
          <w:bCs/>
          <w:sz w:val="32"/>
          <w:szCs w:val="32"/>
        </w:rPr>
        <w:t>车间内设覆盖全场的喷雾洒水装置，对整个车间进行洒水抑尘，同时配备雾炮洒水装置，在车辆装卸时采用雾炮对装卸点进行洒水抑尘，</w:t>
      </w:r>
      <w:r>
        <w:rPr>
          <w:rFonts w:hint="eastAsia" w:ascii="国标仿宋-GB/T 2312" w:hAnsi="国标仿宋-GB/T 2312" w:eastAsia="国标仿宋-GB/T 2312" w:cs="国标仿宋-GB/T 2312"/>
          <w:sz w:val="32"/>
          <w:szCs w:val="32"/>
        </w:rPr>
        <w:t>出入口处设置自动感应卷帘门</w:t>
      </w:r>
      <w:r>
        <w:rPr>
          <w:rFonts w:hint="eastAsia" w:ascii="国标仿宋-GB/T 2312" w:hAnsi="国标仿宋-GB/T 2312" w:eastAsia="国标仿宋-GB/T 2312" w:cs="国标仿宋-GB/T 2312"/>
          <w:bCs/>
          <w:sz w:val="32"/>
          <w:szCs w:val="32"/>
        </w:rPr>
        <w:t>；物料采用全封闭皮带输送，转载点设置雾炮机喷雾洒水；粉状物料采用封闭式罐车运入厂区，砂石料运输采用厢式密闭车辆，防止洒落，厂内道路硬化，道路及时清扫，定期洒水抑尘</w:t>
      </w:r>
      <w:r>
        <w:rPr>
          <w:rFonts w:hint="eastAsia" w:ascii="国标仿宋-GB/T 2312" w:hAnsi="国标仿宋-GB/T 2312" w:eastAsia="国标仿宋-GB/T 2312" w:cs="国标仿宋-GB/T 2312"/>
          <w:bCs/>
          <w:sz w:val="32"/>
          <w:szCs w:val="32"/>
          <w:lang w:val="en-US" w:eastAsia="zh-CN"/>
        </w:rPr>
        <w:t>;</w:t>
      </w:r>
      <w:r>
        <w:rPr>
          <w:rFonts w:hint="eastAsia" w:ascii="国标仿宋-GB/T 2312" w:hAnsi="国标仿宋-GB/T 2312" w:eastAsia="国标仿宋-GB/T 2312" w:cs="国标仿宋-GB/T 2312"/>
          <w:bCs/>
          <w:sz w:val="32"/>
          <w:szCs w:val="32"/>
        </w:rPr>
        <w:t>在厂区进出口处设置车辆冲洗平台对运输车辆的轮胎及底盘等部位进行全方位清洗；混凝土</w:t>
      </w:r>
      <w:r>
        <w:rPr>
          <w:rFonts w:hint="eastAsia" w:ascii="国标仿宋-GB/T 2312" w:hAnsi="国标仿宋-GB/T 2312" w:eastAsia="国标仿宋-GB/T 2312" w:cs="国标仿宋-GB/T 2312"/>
          <w:bCs/>
          <w:sz w:val="32"/>
          <w:szCs w:val="32"/>
          <w:lang w:eastAsia="zh-CN"/>
        </w:rPr>
        <w:t>及水稳</w:t>
      </w:r>
      <w:r>
        <w:rPr>
          <w:rFonts w:hint="eastAsia" w:ascii="国标仿宋-GB/T 2312" w:hAnsi="国标仿宋-GB/T 2312" w:eastAsia="国标仿宋-GB/T 2312" w:cs="国标仿宋-GB/T 2312"/>
          <w:bCs/>
          <w:sz w:val="32"/>
          <w:szCs w:val="32"/>
        </w:rPr>
        <w:t>生产线粉料筒仓全封闭，筒仓粉尘通过仓顶覆膜滤料袋式除尘器处理后通过排气筒排放；混凝土</w:t>
      </w:r>
      <w:r>
        <w:rPr>
          <w:rFonts w:hint="eastAsia" w:ascii="国标仿宋-GB/T 2312" w:hAnsi="国标仿宋-GB/T 2312" w:eastAsia="国标仿宋-GB/T 2312" w:cs="国标仿宋-GB/T 2312"/>
          <w:bCs/>
          <w:sz w:val="32"/>
          <w:szCs w:val="32"/>
          <w:lang w:eastAsia="zh-CN"/>
        </w:rPr>
        <w:t>及水稳</w:t>
      </w:r>
      <w:r>
        <w:rPr>
          <w:rFonts w:hint="eastAsia" w:ascii="国标仿宋-GB/T 2312" w:hAnsi="国标仿宋-GB/T 2312" w:eastAsia="国标仿宋-GB/T 2312" w:cs="国标仿宋-GB/T 2312"/>
          <w:bCs/>
          <w:sz w:val="32"/>
          <w:szCs w:val="32"/>
        </w:rPr>
        <w:t>生产线上料、搅拌</w:t>
      </w:r>
      <w:r>
        <w:rPr>
          <w:rFonts w:hint="eastAsia" w:ascii="国标仿宋-GB/T 2312" w:hAnsi="国标仿宋-GB/T 2312" w:eastAsia="国标仿宋-GB/T 2312" w:cs="国标仿宋-GB/T 2312"/>
          <w:bCs/>
          <w:sz w:val="32"/>
          <w:szCs w:val="32"/>
          <w:lang w:eastAsia="zh-CN"/>
        </w:rPr>
        <w:t>工序</w:t>
      </w:r>
      <w:r>
        <w:rPr>
          <w:rFonts w:hint="eastAsia" w:ascii="国标仿宋-GB/T 2312" w:hAnsi="国标仿宋-GB/T 2312" w:eastAsia="国标仿宋-GB/T 2312" w:cs="国标仿宋-GB/T 2312"/>
          <w:bCs/>
          <w:sz w:val="32"/>
          <w:szCs w:val="32"/>
        </w:rPr>
        <w:t>要求上料口三面均进行围挡，并在上方设置1个顶吸集气罩，砂石料输送采用全封闭皮带，砂石料受料仓、搅拌机排气口设置集气管路，且位于全封闭搅拌楼内，砂石料上料工序、物料混合搅拌工序产生的废气收集后经管道汇入1台覆膜滤料袋式除尘器处理后经一根排气筒达标排放。</w:t>
      </w:r>
    </w:p>
    <w:p w14:paraId="54A58B4D">
      <w:pPr>
        <w:keepNext w:val="0"/>
        <w:keepLines w:val="0"/>
        <w:pageBreakBefore w:val="0"/>
        <w:kinsoku/>
        <w:wordWrap/>
        <w:overflowPunct/>
        <w:topLinePunct w:val="0"/>
        <w:autoSpaceDE/>
        <w:autoSpaceDN/>
        <w:bidi w:val="0"/>
        <w:adjustRightInd/>
        <w:snapToGrid/>
        <w:spacing w:line="240" w:lineRule="auto"/>
        <w:ind w:firstLine="640" w:firstLineChars="200"/>
        <w:jc w:val="both"/>
        <w:textAlignment w:val="auto"/>
        <w:rPr>
          <w:rFonts w:hint="eastAsia" w:ascii="国标仿宋-GB/T 2312" w:hAnsi="国标仿宋-GB/T 2312" w:eastAsia="国标仿宋-GB/T 2312" w:cs="国标仿宋-GB/T 2312"/>
          <w:sz w:val="32"/>
          <w:szCs w:val="32"/>
        </w:rPr>
      </w:pPr>
      <w:r>
        <w:rPr>
          <w:rFonts w:hint="eastAsia" w:ascii="国标仿宋-GB/T 2312" w:hAnsi="国标仿宋-GB/T 2312" w:eastAsia="国标仿宋-GB/T 2312" w:cs="国标仿宋-GB/T 2312"/>
          <w:sz w:val="32"/>
          <w:szCs w:val="32"/>
        </w:rPr>
        <w:t>2、严格落实水污染防治措施</w:t>
      </w:r>
    </w:p>
    <w:p w14:paraId="6F5346D0">
      <w:pPr>
        <w:keepNext w:val="0"/>
        <w:keepLines w:val="0"/>
        <w:pageBreakBefore w:val="0"/>
        <w:kinsoku/>
        <w:wordWrap/>
        <w:overflowPunct/>
        <w:topLinePunct w:val="0"/>
        <w:autoSpaceDE/>
        <w:autoSpaceDN/>
        <w:bidi w:val="0"/>
        <w:adjustRightInd/>
        <w:snapToGrid/>
        <w:spacing w:line="240" w:lineRule="auto"/>
        <w:ind w:firstLine="640" w:firstLineChars="200"/>
        <w:jc w:val="both"/>
        <w:textAlignment w:val="auto"/>
        <w:rPr>
          <w:rFonts w:hint="eastAsia" w:ascii="国标仿宋-GB/T 2312" w:hAnsi="国标仿宋-GB/T 2312" w:eastAsia="国标仿宋-GB/T 2312" w:cs="国标仿宋-GB/T 2312"/>
          <w:sz w:val="32"/>
          <w:szCs w:val="32"/>
        </w:rPr>
      </w:pPr>
      <w:r>
        <w:rPr>
          <w:rFonts w:hint="eastAsia" w:ascii="国标仿宋-GB/T 2312" w:hAnsi="国标仿宋-GB/T 2312" w:eastAsia="国标仿宋-GB/T 2312" w:cs="国标仿宋-GB/T 2312"/>
          <w:sz w:val="32"/>
          <w:szCs w:val="32"/>
        </w:rPr>
        <w:t>施工期间产生的废水主要是施工人员的生活污水以及车辆的冲洗废水。产生的废水经沉淀池沉淀后，进行洒水抑尘，</w:t>
      </w:r>
      <w:r>
        <w:rPr>
          <w:rFonts w:hint="eastAsia" w:ascii="国标仿宋-GB/T 2312" w:hAnsi="国标仿宋-GB/T 2312" w:eastAsia="国标仿宋-GB/T 2312" w:cs="国标仿宋-GB/T 2312"/>
          <w:sz w:val="32"/>
          <w:szCs w:val="32"/>
          <w:lang w:eastAsia="zh-CN"/>
        </w:rPr>
        <w:t>不得外排</w:t>
      </w:r>
      <w:r>
        <w:rPr>
          <w:rFonts w:hint="eastAsia" w:ascii="国标仿宋-GB/T 2312" w:hAnsi="国标仿宋-GB/T 2312" w:eastAsia="国标仿宋-GB/T 2312" w:cs="国标仿宋-GB/T 2312"/>
          <w:sz w:val="32"/>
          <w:szCs w:val="32"/>
        </w:rPr>
        <w:t>。</w:t>
      </w:r>
    </w:p>
    <w:p w14:paraId="1D57D258">
      <w:pPr>
        <w:keepNext w:val="0"/>
        <w:keepLines w:val="0"/>
        <w:pageBreakBefore w:val="0"/>
        <w:kinsoku/>
        <w:wordWrap/>
        <w:overflowPunct/>
        <w:topLinePunct w:val="0"/>
        <w:autoSpaceDE/>
        <w:autoSpaceDN/>
        <w:bidi w:val="0"/>
        <w:adjustRightInd/>
        <w:snapToGrid/>
        <w:spacing w:line="240" w:lineRule="auto"/>
        <w:ind w:firstLine="640" w:firstLineChars="200"/>
        <w:jc w:val="both"/>
        <w:textAlignment w:val="auto"/>
        <w:rPr>
          <w:rFonts w:hint="eastAsia" w:ascii="国标仿宋-GB/T 2312" w:hAnsi="国标仿宋-GB/T 2312" w:eastAsia="国标仿宋-GB/T 2312" w:cs="国标仿宋-GB/T 2312"/>
          <w:sz w:val="32"/>
          <w:szCs w:val="32"/>
          <w:lang w:val="en-US" w:eastAsia="zh-CN"/>
        </w:rPr>
      </w:pPr>
      <w:r>
        <w:rPr>
          <w:rFonts w:hint="eastAsia" w:ascii="国标仿宋-GB/T 2312" w:hAnsi="国标仿宋-GB/T 2312" w:eastAsia="国标仿宋-GB/T 2312" w:cs="国标仿宋-GB/T 2312"/>
          <w:sz w:val="32"/>
          <w:szCs w:val="32"/>
        </w:rPr>
        <w:t>运营期废水主要为</w:t>
      </w:r>
      <w:r>
        <w:rPr>
          <w:rFonts w:hint="eastAsia" w:ascii="国标仿宋-GB/T 2312" w:hAnsi="国标仿宋-GB/T 2312" w:eastAsia="国标仿宋-GB/T 2312" w:cs="国标仿宋-GB/T 2312"/>
          <w:sz w:val="32"/>
          <w:szCs w:val="32"/>
          <w:lang w:eastAsia="zh-CN"/>
        </w:rPr>
        <w:t>生产废水、</w:t>
      </w:r>
      <w:r>
        <w:rPr>
          <w:rFonts w:hint="eastAsia" w:ascii="国标仿宋-GB/T 2312" w:hAnsi="国标仿宋-GB/T 2312" w:eastAsia="国标仿宋-GB/T 2312" w:cs="国标仿宋-GB/T 2312"/>
          <w:sz w:val="32"/>
          <w:szCs w:val="32"/>
        </w:rPr>
        <w:t>生活污水、洗车废水。</w:t>
      </w:r>
      <w:r>
        <w:rPr>
          <w:rFonts w:hint="eastAsia" w:ascii="国标仿宋-GB/T 2312" w:hAnsi="国标仿宋-GB/T 2312" w:eastAsia="国标仿宋-GB/T 2312" w:cs="国标仿宋-GB/T 2312"/>
          <w:sz w:val="32"/>
          <w:szCs w:val="32"/>
          <w:lang w:eastAsia="zh-CN"/>
        </w:rPr>
        <w:t>要求搅拌机清洗产生的生产废水经砂石分离器</w:t>
      </w:r>
      <w:r>
        <w:rPr>
          <w:rFonts w:hint="eastAsia" w:ascii="国标仿宋-GB/T 2312" w:hAnsi="国标仿宋-GB/T 2312" w:eastAsia="国标仿宋-GB/T 2312" w:cs="国标仿宋-GB/T 2312"/>
          <w:sz w:val="32"/>
          <w:szCs w:val="32"/>
          <w:lang w:val="en-US" w:eastAsia="zh-CN"/>
        </w:rPr>
        <w:t>+50m</w:t>
      </w:r>
      <w:r>
        <w:rPr>
          <w:rFonts w:hint="eastAsia" w:ascii="国标仿宋-GB/T 2312" w:hAnsi="国标仿宋-GB/T 2312" w:eastAsia="国标仿宋-GB/T 2312" w:cs="国标仿宋-GB/T 2312"/>
          <w:sz w:val="32"/>
          <w:szCs w:val="32"/>
          <w:vertAlign w:val="superscript"/>
          <w:lang w:val="en-US" w:eastAsia="zh-CN"/>
        </w:rPr>
        <w:t>3</w:t>
      </w:r>
      <w:r>
        <w:rPr>
          <w:rFonts w:hint="eastAsia" w:ascii="国标仿宋-GB/T 2312" w:hAnsi="国标仿宋-GB/T 2312" w:eastAsia="国标仿宋-GB/T 2312" w:cs="国标仿宋-GB/T 2312"/>
          <w:sz w:val="32"/>
          <w:szCs w:val="32"/>
          <w:lang w:val="en-US" w:eastAsia="zh-CN"/>
        </w:rPr>
        <w:t>三级沉砂池处理后回用于搅拌用水，循环使用，不得外排；</w:t>
      </w:r>
      <w:r>
        <w:rPr>
          <w:rFonts w:hint="eastAsia" w:ascii="国标仿宋-GB/T 2312" w:hAnsi="国标仿宋-GB/T 2312" w:eastAsia="国标仿宋-GB/T 2312" w:cs="国标仿宋-GB/T 2312"/>
          <w:sz w:val="32"/>
          <w:szCs w:val="32"/>
        </w:rPr>
        <w:t>洗车平台设置三级沉淀池，洗车废水经沉淀池处理后循环使用，不得外排</w:t>
      </w:r>
      <w:r>
        <w:rPr>
          <w:rFonts w:hint="eastAsia" w:ascii="国标仿宋-GB/T 2312" w:hAnsi="国标仿宋-GB/T 2312" w:eastAsia="国标仿宋-GB/T 2312" w:cs="国标仿宋-GB/T 2312"/>
          <w:sz w:val="32"/>
          <w:szCs w:val="32"/>
          <w:lang w:eastAsia="zh-CN"/>
        </w:rPr>
        <w:t>；</w:t>
      </w:r>
      <w:r>
        <w:rPr>
          <w:rFonts w:hint="eastAsia" w:ascii="国标仿宋-GB/T 2312" w:hAnsi="国标仿宋-GB/T 2312" w:eastAsia="国标仿宋-GB/T 2312" w:cs="国标仿宋-GB/T 2312"/>
          <w:sz w:val="32"/>
          <w:szCs w:val="32"/>
        </w:rPr>
        <w:t>生活污水排入旱厕，附近村民定期清掏，回用于周边农田</w:t>
      </w:r>
      <w:r>
        <w:rPr>
          <w:rFonts w:hint="eastAsia" w:ascii="国标仿宋-GB/T 2312" w:hAnsi="国标仿宋-GB/T 2312" w:eastAsia="国标仿宋-GB/T 2312" w:cs="国标仿宋-GB/T 2312"/>
          <w:sz w:val="32"/>
          <w:szCs w:val="32"/>
          <w:lang w:val="en-US" w:eastAsia="zh-CN"/>
        </w:rPr>
        <w:t>。</w:t>
      </w:r>
    </w:p>
    <w:p w14:paraId="266708C0">
      <w:pPr>
        <w:keepNext w:val="0"/>
        <w:keepLines w:val="0"/>
        <w:pageBreakBefore w:val="0"/>
        <w:kinsoku/>
        <w:wordWrap/>
        <w:overflowPunct/>
        <w:topLinePunct w:val="0"/>
        <w:autoSpaceDE/>
        <w:autoSpaceDN/>
        <w:bidi w:val="0"/>
        <w:adjustRightInd/>
        <w:snapToGrid/>
        <w:spacing w:line="240" w:lineRule="auto"/>
        <w:ind w:firstLine="640" w:firstLineChars="200"/>
        <w:jc w:val="both"/>
        <w:textAlignment w:val="auto"/>
        <w:rPr>
          <w:rFonts w:hint="eastAsia" w:ascii="国标仿宋-GB/T 2312" w:hAnsi="国标仿宋-GB/T 2312" w:eastAsia="国标仿宋-GB/T 2312" w:cs="国标仿宋-GB/T 2312"/>
          <w:sz w:val="32"/>
          <w:szCs w:val="32"/>
        </w:rPr>
      </w:pPr>
      <w:r>
        <w:rPr>
          <w:rFonts w:hint="eastAsia" w:ascii="国标仿宋-GB/T 2312" w:hAnsi="国标仿宋-GB/T 2312" w:eastAsia="国标仿宋-GB/T 2312" w:cs="国标仿宋-GB/T 2312"/>
          <w:sz w:val="32"/>
          <w:szCs w:val="32"/>
        </w:rPr>
        <w:t>3、严格落实固体污染防治措施</w:t>
      </w:r>
    </w:p>
    <w:p w14:paraId="14517BC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国标仿宋-GB/T 2312" w:hAnsi="国标仿宋-GB/T 2312" w:eastAsia="国标仿宋-GB/T 2312" w:cs="国标仿宋-GB/T 2312"/>
          <w:sz w:val="32"/>
          <w:szCs w:val="32"/>
        </w:rPr>
      </w:pPr>
      <w:r>
        <w:rPr>
          <w:rFonts w:hint="eastAsia" w:ascii="国标仿宋-GB/T 2312" w:hAnsi="国标仿宋-GB/T 2312" w:eastAsia="国标仿宋-GB/T 2312" w:cs="国标仿宋-GB/T 2312"/>
          <w:sz w:val="32"/>
          <w:szCs w:val="32"/>
        </w:rPr>
        <w:t>施工期少量建筑垃圾运至环</w:t>
      </w:r>
      <w:r>
        <w:rPr>
          <w:rFonts w:hint="eastAsia" w:ascii="国标仿宋-GB/T 2312" w:hAnsi="国标仿宋-GB/T 2312" w:eastAsia="国标仿宋-GB/T 2312" w:cs="国标仿宋-GB/T 2312"/>
          <w:sz w:val="32"/>
          <w:szCs w:val="32"/>
          <w:lang w:eastAsia="zh-CN"/>
        </w:rPr>
        <w:t>卫</w:t>
      </w:r>
      <w:r>
        <w:rPr>
          <w:rFonts w:hint="eastAsia" w:ascii="国标仿宋-GB/T 2312" w:hAnsi="国标仿宋-GB/T 2312" w:eastAsia="国标仿宋-GB/T 2312" w:cs="国标仿宋-GB/T 2312"/>
          <w:sz w:val="32"/>
          <w:szCs w:val="32"/>
        </w:rPr>
        <w:t>部门指定地点进行堆放，同时</w:t>
      </w:r>
      <w:r>
        <w:rPr>
          <w:rFonts w:hint="eastAsia" w:ascii="国标仿宋-GB/T 2312" w:hAnsi="国标仿宋-GB/T 2312" w:eastAsia="国标仿宋-GB/T 2312" w:cs="国标仿宋-GB/T 2312"/>
          <w:sz w:val="32"/>
          <w:szCs w:val="32"/>
          <w:lang w:eastAsia="zh-CN"/>
        </w:rPr>
        <w:t>在运输过程中做好遮盖，防止外撒</w:t>
      </w:r>
      <w:r>
        <w:rPr>
          <w:rFonts w:hint="eastAsia" w:ascii="国标仿宋-GB/T 2312" w:hAnsi="国标仿宋-GB/T 2312" w:eastAsia="国标仿宋-GB/T 2312" w:cs="国标仿宋-GB/T 2312"/>
          <w:sz w:val="32"/>
          <w:szCs w:val="32"/>
        </w:rPr>
        <w:t>；施工人员生活垃圾经垃圾桶收集后运至当地环卫部门指定地点处置。</w:t>
      </w:r>
    </w:p>
    <w:p w14:paraId="0B8A564F">
      <w:pPr>
        <w:keepNext w:val="0"/>
        <w:keepLines w:val="0"/>
        <w:pageBreakBefore w:val="0"/>
        <w:kinsoku/>
        <w:wordWrap/>
        <w:overflowPunct/>
        <w:topLinePunct w:val="0"/>
        <w:autoSpaceDE/>
        <w:autoSpaceDN/>
        <w:bidi w:val="0"/>
        <w:adjustRightInd/>
        <w:snapToGrid/>
        <w:spacing w:line="240" w:lineRule="auto"/>
        <w:ind w:firstLine="640" w:firstLineChars="200"/>
        <w:jc w:val="both"/>
        <w:textAlignment w:val="auto"/>
        <w:rPr>
          <w:rFonts w:hint="eastAsia" w:ascii="国标仿宋-GB/T 2312" w:hAnsi="国标仿宋-GB/T 2312" w:eastAsia="国标仿宋-GB/T 2312" w:cs="国标仿宋-GB/T 2312"/>
          <w:sz w:val="32"/>
          <w:szCs w:val="32"/>
        </w:rPr>
      </w:pPr>
      <w:r>
        <w:rPr>
          <w:rFonts w:hint="eastAsia" w:ascii="国标仿宋-GB/T 2312" w:hAnsi="国标仿宋-GB/T 2312" w:eastAsia="国标仿宋-GB/T 2312" w:cs="国标仿宋-GB/T 2312"/>
          <w:sz w:val="32"/>
          <w:szCs w:val="32"/>
        </w:rPr>
        <w:t>运营期固体废物主要为布袋除尘器除尘灰、沉淀池压滤沉渣、凝结后混凝土废渣、生活垃圾、废润滑油、废油桶</w:t>
      </w:r>
      <w:r>
        <w:rPr>
          <w:rFonts w:hint="eastAsia" w:ascii="国标仿宋-GB/T 2312" w:hAnsi="国标仿宋-GB/T 2312" w:eastAsia="国标仿宋-GB/T 2312" w:cs="国标仿宋-GB/T 2312"/>
          <w:sz w:val="32"/>
          <w:szCs w:val="32"/>
          <w:lang w:eastAsia="zh-CN"/>
        </w:rPr>
        <w:t>等</w:t>
      </w:r>
      <w:r>
        <w:rPr>
          <w:rFonts w:hint="eastAsia" w:ascii="国标仿宋-GB/T 2312" w:hAnsi="国标仿宋-GB/T 2312" w:eastAsia="国标仿宋-GB/T 2312" w:cs="国标仿宋-GB/T 2312"/>
          <w:sz w:val="32"/>
          <w:szCs w:val="32"/>
        </w:rPr>
        <w:t>。</w:t>
      </w:r>
      <w:r>
        <w:rPr>
          <w:rFonts w:hint="eastAsia" w:ascii="国标仿宋-GB/T 2312" w:hAnsi="国标仿宋-GB/T 2312" w:eastAsia="国标仿宋-GB/T 2312" w:cs="国标仿宋-GB/T 2312"/>
          <w:sz w:val="32"/>
          <w:szCs w:val="32"/>
          <w:lang w:eastAsia="zh-CN"/>
        </w:rPr>
        <w:t>要求</w:t>
      </w:r>
      <w:r>
        <w:rPr>
          <w:rFonts w:hint="eastAsia" w:ascii="国标仿宋-GB/T 2312" w:hAnsi="国标仿宋-GB/T 2312" w:eastAsia="国标仿宋-GB/T 2312" w:cs="国标仿宋-GB/T 2312"/>
          <w:sz w:val="32"/>
          <w:szCs w:val="32"/>
        </w:rPr>
        <w:t>除尘灰</w:t>
      </w:r>
      <w:r>
        <w:rPr>
          <w:rFonts w:hint="eastAsia" w:ascii="国标仿宋-GB/T 2312" w:hAnsi="国标仿宋-GB/T 2312" w:eastAsia="国标仿宋-GB/T 2312" w:cs="国标仿宋-GB/T 2312"/>
          <w:sz w:val="32"/>
          <w:szCs w:val="32"/>
          <w:lang w:eastAsia="zh-CN"/>
        </w:rPr>
        <w:t>、</w:t>
      </w:r>
      <w:r>
        <w:rPr>
          <w:rFonts w:hint="eastAsia" w:ascii="国标仿宋-GB/T 2312" w:hAnsi="国标仿宋-GB/T 2312" w:eastAsia="国标仿宋-GB/T 2312" w:cs="国标仿宋-GB/T 2312"/>
          <w:sz w:val="32"/>
          <w:szCs w:val="32"/>
        </w:rPr>
        <w:t>沉淀池压滤沉渣收集后返回生产系统用作原料；凝结后混凝土废渣外售附近建材厂；废润滑油、废油桶集中收集分类储存，暂存于危废贮存库，定期交由有资质的单位处理。厂区设垃圾桶</w:t>
      </w:r>
      <w:r>
        <w:rPr>
          <w:rFonts w:hint="eastAsia" w:ascii="国标仿宋-GB/T 2312" w:hAnsi="国标仿宋-GB/T 2312" w:eastAsia="国标仿宋-GB/T 2312" w:cs="国标仿宋-GB/T 2312"/>
          <w:sz w:val="32"/>
          <w:szCs w:val="32"/>
          <w:lang w:eastAsia="zh-CN"/>
        </w:rPr>
        <w:t>收集</w:t>
      </w:r>
      <w:r>
        <w:rPr>
          <w:rFonts w:hint="eastAsia" w:ascii="国标仿宋-GB/T 2312" w:hAnsi="国标仿宋-GB/T 2312" w:eastAsia="国标仿宋-GB/T 2312" w:cs="国标仿宋-GB/T 2312"/>
          <w:sz w:val="32"/>
          <w:szCs w:val="32"/>
        </w:rPr>
        <w:t>生活垃圾，定期运至环卫部门指定地点。</w:t>
      </w:r>
    </w:p>
    <w:p w14:paraId="3914C421">
      <w:pPr>
        <w:keepNext w:val="0"/>
        <w:keepLines w:val="0"/>
        <w:pageBreakBefore w:val="0"/>
        <w:kinsoku/>
        <w:wordWrap/>
        <w:overflowPunct/>
        <w:topLinePunct w:val="0"/>
        <w:autoSpaceDE/>
        <w:autoSpaceDN/>
        <w:bidi w:val="0"/>
        <w:adjustRightInd/>
        <w:snapToGrid/>
        <w:spacing w:line="240" w:lineRule="auto"/>
        <w:ind w:firstLine="640" w:firstLineChars="200"/>
        <w:jc w:val="both"/>
        <w:textAlignment w:val="auto"/>
        <w:rPr>
          <w:rFonts w:hint="eastAsia" w:ascii="国标仿宋-GB/T 2312" w:hAnsi="国标仿宋-GB/T 2312" w:eastAsia="国标仿宋-GB/T 2312" w:cs="国标仿宋-GB/T 2312"/>
          <w:sz w:val="32"/>
          <w:szCs w:val="32"/>
        </w:rPr>
      </w:pPr>
      <w:r>
        <w:rPr>
          <w:rFonts w:hint="eastAsia" w:ascii="国标仿宋-GB/T 2312" w:hAnsi="国标仿宋-GB/T 2312" w:eastAsia="国标仿宋-GB/T 2312" w:cs="国标仿宋-GB/T 2312"/>
          <w:sz w:val="32"/>
          <w:szCs w:val="32"/>
        </w:rPr>
        <w:t>4、严格落实噪声污染防治措施</w:t>
      </w:r>
    </w:p>
    <w:p w14:paraId="104FEC84">
      <w:pPr>
        <w:keepNext w:val="0"/>
        <w:keepLines w:val="0"/>
        <w:pageBreakBefore w:val="0"/>
        <w:kinsoku/>
        <w:wordWrap/>
        <w:overflowPunct/>
        <w:topLinePunct w:val="0"/>
        <w:autoSpaceDE/>
        <w:autoSpaceDN/>
        <w:bidi w:val="0"/>
        <w:adjustRightInd/>
        <w:snapToGrid/>
        <w:spacing w:line="240" w:lineRule="auto"/>
        <w:ind w:firstLine="640" w:firstLineChars="200"/>
        <w:jc w:val="both"/>
        <w:textAlignment w:val="auto"/>
        <w:rPr>
          <w:rFonts w:hint="eastAsia" w:ascii="国标仿宋-GB/T 2312" w:hAnsi="国标仿宋-GB/T 2312" w:eastAsia="国标仿宋-GB/T 2312" w:cs="国标仿宋-GB/T 2312"/>
          <w:sz w:val="32"/>
          <w:szCs w:val="32"/>
        </w:rPr>
      </w:pPr>
      <w:r>
        <w:rPr>
          <w:rFonts w:hint="eastAsia" w:ascii="国标仿宋-GB/T 2312" w:hAnsi="国标仿宋-GB/T 2312" w:eastAsia="国标仿宋-GB/T 2312" w:cs="国标仿宋-GB/T 2312"/>
          <w:sz w:val="32"/>
          <w:szCs w:val="32"/>
        </w:rPr>
        <w:t>施工期噪声源主要来自施工机械噪声和运输车辆噪声，要求合理安排施工时间，原则上禁止夜间施工，同时尽量避开中午休息时间施工；施工单位应尽量选用先进的低噪声设备，加强对施工机械的维修保养；加强施工场所及周边道路的维护，合理安排运输车辆，并应注意定期维修、养护。</w:t>
      </w:r>
    </w:p>
    <w:p w14:paraId="61A91857">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国标仿宋-GB/T 2312" w:hAnsi="国标仿宋-GB/T 2312" w:eastAsia="国标仿宋-GB/T 2312" w:cs="国标仿宋-GB/T 2312"/>
          <w:sz w:val="32"/>
          <w:szCs w:val="32"/>
        </w:rPr>
      </w:pPr>
      <w:r>
        <w:rPr>
          <w:rFonts w:hint="eastAsia" w:ascii="国标仿宋-GB/T 2312" w:hAnsi="国标仿宋-GB/T 2312" w:eastAsia="国标仿宋-GB/T 2312" w:cs="国标仿宋-GB/T 2312"/>
          <w:sz w:val="32"/>
          <w:szCs w:val="32"/>
        </w:rPr>
        <w:t>运营期噪声主要为生产设备产生的噪声，要求在设备选型上，优先选择低噪声设备；合理布局，高噪声设备集中布置，安装在室内，并设减振基础、减震垫等措施；产噪设备采用软性连接方式；加强设备日常维护保养；厂区四周设置围墙、种植树木等多种形式的围挡。</w:t>
      </w:r>
    </w:p>
    <w:p w14:paraId="501F5E9C">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国标仿宋-GB/T 2312" w:hAnsi="国标仿宋-GB/T 2312" w:eastAsia="国标仿宋-GB/T 2312" w:cs="国标仿宋-GB/T 2312"/>
          <w:color w:val="000000" w:themeColor="text1"/>
          <w:sz w:val="32"/>
          <w:szCs w:val="32"/>
          <w14:textFill>
            <w14:solidFill>
              <w14:schemeClr w14:val="tx1"/>
            </w14:solidFill>
          </w14:textFill>
        </w:rPr>
      </w:pPr>
      <w:r>
        <w:rPr>
          <w:rFonts w:hint="eastAsia" w:ascii="国标仿宋-GB/T 2312" w:hAnsi="国标仿宋-GB/T 2312" w:eastAsia="国标仿宋-GB/T 2312" w:cs="国标仿宋-GB/T 2312"/>
          <w:color w:val="000000" w:themeColor="text1"/>
          <w:sz w:val="32"/>
          <w:szCs w:val="32"/>
          <w14:textFill>
            <w14:solidFill>
              <w14:schemeClr w14:val="tx1"/>
            </w14:solidFill>
          </w14:textFill>
        </w:rPr>
        <w:t>5、环境风险防范措施</w:t>
      </w:r>
    </w:p>
    <w:p w14:paraId="0714575D">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国标仿宋-GB/T 2312" w:hAnsi="国标仿宋-GB/T 2312" w:eastAsia="国标仿宋-GB/T 2312" w:cs="国标仿宋-GB/T 2312"/>
          <w:color w:val="000000" w:themeColor="text1"/>
          <w:sz w:val="32"/>
          <w:szCs w:val="32"/>
          <w14:textFill>
            <w14:solidFill>
              <w14:schemeClr w14:val="tx1"/>
            </w14:solidFill>
          </w14:textFill>
        </w:rPr>
      </w:pPr>
      <w:r>
        <w:rPr>
          <w:rFonts w:hint="eastAsia" w:ascii="国标仿宋-GB/T 2312" w:hAnsi="国标仿宋-GB/T 2312" w:eastAsia="国标仿宋-GB/T 2312" w:cs="国标仿宋-GB/T 2312"/>
          <w:color w:val="000000" w:themeColor="text1"/>
          <w:sz w:val="32"/>
          <w:szCs w:val="32"/>
          <w14:textFill>
            <w14:solidFill>
              <w14:schemeClr w14:val="tx1"/>
            </w14:solidFill>
          </w14:textFill>
        </w:rPr>
        <w:t>建立完善有效的环境风险防范与应急管理体系。严格落实《突发环境事件应急预案管理暂行办法》，落实各项环境风险防范措施，严防各类环境风险和次生环境污染问题发生。</w:t>
      </w:r>
    </w:p>
    <w:p w14:paraId="7357E30C">
      <w:pPr>
        <w:keepNext w:val="0"/>
        <w:keepLines w:val="0"/>
        <w:pageBreakBefore w:val="0"/>
        <w:kinsoku/>
        <w:wordWrap/>
        <w:overflowPunct/>
        <w:topLinePunct w:val="0"/>
        <w:autoSpaceDE/>
        <w:autoSpaceDN/>
        <w:bidi w:val="0"/>
        <w:adjustRightInd/>
        <w:snapToGrid/>
        <w:spacing w:line="240" w:lineRule="auto"/>
        <w:ind w:firstLine="640" w:firstLineChars="200"/>
        <w:jc w:val="both"/>
        <w:textAlignment w:val="auto"/>
        <w:rPr>
          <w:rFonts w:hint="eastAsia" w:ascii="国标仿宋-GB/T 2312" w:hAnsi="国标仿宋-GB/T 2312" w:eastAsia="国标仿宋-GB/T 2312" w:cs="国标仿宋-GB/T 2312"/>
          <w:sz w:val="32"/>
          <w:szCs w:val="32"/>
        </w:rPr>
      </w:pPr>
      <w:r>
        <w:rPr>
          <w:rFonts w:hint="eastAsia" w:ascii="国标仿宋-GB/T 2312" w:hAnsi="国标仿宋-GB/T 2312" w:eastAsia="国标仿宋-GB/T 2312" w:cs="国标仿宋-GB/T 2312"/>
          <w:sz w:val="32"/>
          <w:szCs w:val="32"/>
        </w:rPr>
        <w:t>四、严格落实《报告表》提出的各项环保对策措施，确保各项污染物达标排放，</w:t>
      </w:r>
      <w:r>
        <w:rPr>
          <w:rFonts w:hint="eastAsia" w:ascii="国标仿宋-GB/T 2312" w:hAnsi="国标仿宋-GB/T 2312" w:eastAsia="国标仿宋-GB/T 2312" w:cs="国标仿宋-GB/T 2312"/>
          <w:sz w:val="32"/>
          <w:szCs w:val="32"/>
          <w:lang w:eastAsia="zh-CN"/>
        </w:rPr>
        <w:t>且</w:t>
      </w:r>
      <w:r>
        <w:rPr>
          <w:rFonts w:hint="eastAsia" w:ascii="国标仿宋-GB/T 2312" w:hAnsi="国标仿宋-GB/T 2312" w:eastAsia="国标仿宋-GB/T 2312" w:cs="国标仿宋-GB/T 2312"/>
          <w:sz w:val="32"/>
          <w:szCs w:val="32"/>
        </w:rPr>
        <w:t>符合我局下达并经核定的总量控制指标：颗粒物0.312t/a。</w:t>
      </w:r>
    </w:p>
    <w:p w14:paraId="429D87EB">
      <w:pPr>
        <w:keepNext w:val="0"/>
        <w:keepLines w:val="0"/>
        <w:pageBreakBefore w:val="0"/>
        <w:kinsoku/>
        <w:wordWrap/>
        <w:overflowPunct/>
        <w:topLinePunct w:val="0"/>
        <w:autoSpaceDE/>
        <w:autoSpaceDN/>
        <w:bidi w:val="0"/>
        <w:adjustRightInd/>
        <w:snapToGrid/>
        <w:spacing w:line="240" w:lineRule="auto"/>
        <w:ind w:firstLine="640" w:firstLineChars="200"/>
        <w:jc w:val="both"/>
        <w:textAlignment w:val="auto"/>
        <w:rPr>
          <w:rFonts w:hint="eastAsia" w:ascii="国标仿宋-GB/T 2312" w:hAnsi="国标仿宋-GB/T 2312" w:eastAsia="国标仿宋-GB/T 2312" w:cs="国标仿宋-GB/T 2312"/>
          <w:sz w:val="32"/>
          <w:szCs w:val="32"/>
        </w:rPr>
      </w:pPr>
      <w:r>
        <w:rPr>
          <w:rFonts w:hint="eastAsia" w:ascii="国标仿宋-GB/T 2312" w:hAnsi="国标仿宋-GB/T 2312" w:eastAsia="国标仿宋-GB/T 2312" w:cs="国标仿宋-GB/T 2312"/>
          <w:sz w:val="32"/>
          <w:szCs w:val="32"/>
        </w:rPr>
        <w:t>五、项目</w:t>
      </w:r>
      <w:r>
        <w:rPr>
          <w:rFonts w:hint="eastAsia" w:ascii="国标仿宋-GB/T 2312" w:hAnsi="国标仿宋-GB/T 2312" w:eastAsia="国标仿宋-GB/T 2312" w:cs="国标仿宋-GB/T 2312"/>
          <w:sz w:val="32"/>
          <w:szCs w:val="32"/>
          <w:lang w:eastAsia="zh-CN"/>
        </w:rPr>
        <w:t>涉及自然资源</w:t>
      </w:r>
      <w:r>
        <w:rPr>
          <w:rFonts w:hint="eastAsia" w:ascii="国标仿宋-GB/T 2312" w:hAnsi="国标仿宋-GB/T 2312" w:eastAsia="国标仿宋-GB/T 2312" w:cs="国标仿宋-GB/T 2312"/>
          <w:sz w:val="32"/>
          <w:szCs w:val="32"/>
        </w:rPr>
        <w:t>、</w:t>
      </w:r>
      <w:r>
        <w:rPr>
          <w:rFonts w:hint="eastAsia" w:ascii="国标仿宋-GB/T 2312" w:hAnsi="国标仿宋-GB/T 2312" w:eastAsia="国标仿宋-GB/T 2312" w:cs="国标仿宋-GB/T 2312"/>
          <w:sz w:val="32"/>
          <w:szCs w:val="32"/>
          <w:lang w:eastAsia="zh-CN"/>
        </w:rPr>
        <w:t>水利</w:t>
      </w:r>
      <w:r>
        <w:rPr>
          <w:rFonts w:hint="eastAsia" w:ascii="国标仿宋-GB/T 2312" w:hAnsi="国标仿宋-GB/T 2312" w:eastAsia="国标仿宋-GB/T 2312" w:cs="国标仿宋-GB/T 2312"/>
          <w:sz w:val="32"/>
          <w:szCs w:val="32"/>
        </w:rPr>
        <w:t>、</w:t>
      </w:r>
      <w:r>
        <w:rPr>
          <w:rFonts w:hint="eastAsia" w:ascii="国标仿宋-GB/T 2312" w:hAnsi="国标仿宋-GB/T 2312" w:eastAsia="国标仿宋-GB/T 2312" w:cs="国标仿宋-GB/T 2312"/>
          <w:sz w:val="32"/>
          <w:szCs w:val="32"/>
          <w:lang w:eastAsia="zh-CN"/>
        </w:rPr>
        <w:t>应急</w:t>
      </w:r>
      <w:r>
        <w:rPr>
          <w:rFonts w:hint="eastAsia" w:ascii="国标仿宋-GB/T 2312" w:hAnsi="国标仿宋-GB/T 2312" w:eastAsia="国标仿宋-GB/T 2312" w:cs="国标仿宋-GB/T 2312"/>
          <w:sz w:val="32"/>
          <w:szCs w:val="32"/>
        </w:rPr>
        <w:t>等</w:t>
      </w:r>
      <w:r>
        <w:rPr>
          <w:rFonts w:hint="eastAsia" w:ascii="国标仿宋-GB/T 2312" w:hAnsi="国标仿宋-GB/T 2312" w:eastAsia="国标仿宋-GB/T 2312" w:cs="国标仿宋-GB/T 2312"/>
          <w:sz w:val="32"/>
          <w:szCs w:val="32"/>
          <w:lang w:eastAsia="zh-CN"/>
        </w:rPr>
        <w:t>部门职责</w:t>
      </w:r>
      <w:r>
        <w:rPr>
          <w:rFonts w:hint="eastAsia" w:ascii="国标仿宋-GB/T 2312" w:hAnsi="国标仿宋-GB/T 2312" w:eastAsia="国标仿宋-GB/T 2312" w:cs="国标仿宋-GB/T 2312"/>
          <w:sz w:val="32"/>
          <w:szCs w:val="32"/>
        </w:rPr>
        <w:t>，</w:t>
      </w:r>
      <w:r>
        <w:rPr>
          <w:rFonts w:hint="eastAsia" w:ascii="国标仿宋-GB/T 2312" w:hAnsi="国标仿宋-GB/T 2312" w:eastAsia="国标仿宋-GB/T 2312" w:cs="国标仿宋-GB/T 2312"/>
          <w:sz w:val="32"/>
          <w:szCs w:val="32"/>
          <w:lang w:eastAsia="zh-CN"/>
        </w:rPr>
        <w:t>以相应主管部门批复意见为准</w:t>
      </w:r>
      <w:r>
        <w:rPr>
          <w:rFonts w:hint="eastAsia" w:ascii="国标仿宋-GB/T 2312" w:hAnsi="国标仿宋-GB/T 2312" w:eastAsia="国标仿宋-GB/T 2312" w:cs="国标仿宋-GB/T 2312"/>
          <w:sz w:val="32"/>
          <w:szCs w:val="32"/>
        </w:rPr>
        <w:t>。</w:t>
      </w:r>
    </w:p>
    <w:p w14:paraId="4CEF037A">
      <w:pPr>
        <w:keepNext w:val="0"/>
        <w:keepLines w:val="0"/>
        <w:pageBreakBefore w:val="0"/>
        <w:kinsoku/>
        <w:wordWrap/>
        <w:overflowPunct/>
        <w:topLinePunct w:val="0"/>
        <w:autoSpaceDE/>
        <w:autoSpaceDN/>
        <w:bidi w:val="0"/>
        <w:adjustRightInd/>
        <w:snapToGrid/>
        <w:spacing w:line="240" w:lineRule="auto"/>
        <w:ind w:firstLine="640" w:firstLineChars="200"/>
        <w:jc w:val="both"/>
        <w:textAlignment w:val="auto"/>
        <w:rPr>
          <w:rFonts w:hint="eastAsia" w:ascii="国标仿宋-GB/T 2312" w:hAnsi="国标仿宋-GB/T 2312" w:eastAsia="国标仿宋-GB/T 2312" w:cs="国标仿宋-GB/T 2312"/>
          <w:sz w:val="32"/>
          <w:szCs w:val="32"/>
        </w:rPr>
      </w:pPr>
      <w:r>
        <w:rPr>
          <w:rFonts w:hint="eastAsia" w:ascii="国标仿宋-GB/T 2312" w:hAnsi="国标仿宋-GB/T 2312" w:eastAsia="国标仿宋-GB/T 2312" w:cs="国标仿宋-GB/T 2312"/>
          <w:sz w:val="32"/>
          <w:szCs w:val="32"/>
        </w:rPr>
        <w:t>六、项目建成后，试生产前须按规定程序申领排污许可证</w:t>
      </w:r>
      <w:r>
        <w:rPr>
          <w:rFonts w:hint="eastAsia" w:ascii="国标仿宋-GB/T 2312" w:hAnsi="国标仿宋-GB/T 2312" w:eastAsia="国标仿宋-GB/T 2312" w:cs="国标仿宋-GB/T 2312"/>
          <w:spacing w:val="-6"/>
          <w:sz w:val="32"/>
          <w:szCs w:val="32"/>
        </w:rPr>
        <w:t>件及实施竣工环境保护验收并报阳泉市生态环境</w:t>
      </w:r>
      <w:r>
        <w:rPr>
          <w:rFonts w:hint="eastAsia" w:ascii="国标仿宋-GB/T 2312" w:hAnsi="国标仿宋-GB/T 2312" w:eastAsia="国标仿宋-GB/T 2312" w:cs="国标仿宋-GB/T 2312"/>
          <w:spacing w:val="-6"/>
          <w:sz w:val="32"/>
          <w:szCs w:val="32"/>
          <w:lang w:eastAsia="zh-CN"/>
        </w:rPr>
        <w:t>局</w:t>
      </w:r>
      <w:r>
        <w:rPr>
          <w:rFonts w:hint="eastAsia" w:ascii="国标仿宋-GB/T 2312" w:hAnsi="国标仿宋-GB/T 2312" w:eastAsia="国标仿宋-GB/T 2312" w:cs="国标仿宋-GB/T 2312"/>
          <w:spacing w:val="-6"/>
          <w:sz w:val="32"/>
          <w:szCs w:val="32"/>
        </w:rPr>
        <w:t>盂县分局备案。</w:t>
      </w:r>
    </w:p>
    <w:p w14:paraId="3300B2CF">
      <w:pPr>
        <w:keepNext w:val="0"/>
        <w:keepLines w:val="0"/>
        <w:pageBreakBefore w:val="0"/>
        <w:kinsoku/>
        <w:wordWrap/>
        <w:overflowPunct/>
        <w:topLinePunct w:val="0"/>
        <w:autoSpaceDE/>
        <w:autoSpaceDN/>
        <w:bidi w:val="0"/>
        <w:adjustRightInd/>
        <w:snapToGrid/>
        <w:spacing w:line="240" w:lineRule="auto"/>
        <w:ind w:firstLine="640" w:firstLineChars="200"/>
        <w:jc w:val="both"/>
        <w:textAlignment w:val="auto"/>
        <w:rPr>
          <w:rFonts w:hint="eastAsia" w:ascii="国标仿宋-GB/T 2312" w:hAnsi="国标仿宋-GB/T 2312" w:eastAsia="国标仿宋-GB/T 2312" w:cs="国标仿宋-GB/T 2312"/>
          <w:sz w:val="32"/>
          <w:szCs w:val="32"/>
        </w:rPr>
      </w:pPr>
      <w:r>
        <w:rPr>
          <w:rFonts w:hint="eastAsia" w:ascii="国标仿宋-GB/T 2312" w:hAnsi="国标仿宋-GB/T 2312" w:eastAsia="国标仿宋-GB/T 2312" w:cs="国标仿宋-GB/T 2312"/>
          <w:sz w:val="32"/>
          <w:szCs w:val="32"/>
        </w:rPr>
        <w:t>七、你单位应自觉接受、配合各级生态环境主管部门的监督检查和日常管理。</w:t>
      </w:r>
    </w:p>
    <w:p w14:paraId="55444DF8">
      <w:pPr>
        <w:keepNext w:val="0"/>
        <w:keepLines w:val="0"/>
        <w:pageBreakBefore w:val="0"/>
        <w:kinsoku/>
        <w:wordWrap/>
        <w:overflowPunct/>
        <w:topLinePunct w:val="0"/>
        <w:autoSpaceDE/>
        <w:autoSpaceDN/>
        <w:bidi w:val="0"/>
        <w:adjustRightInd/>
        <w:snapToGrid/>
        <w:spacing w:line="240" w:lineRule="auto"/>
        <w:ind w:firstLine="640" w:firstLineChars="200"/>
        <w:jc w:val="both"/>
        <w:textAlignment w:val="auto"/>
        <w:rPr>
          <w:rFonts w:hint="eastAsia" w:ascii="国标仿宋-GB/T 2312" w:hAnsi="国标仿宋-GB/T 2312" w:eastAsia="国标仿宋-GB/T 2312" w:cs="国标仿宋-GB/T 2312"/>
          <w:sz w:val="32"/>
          <w:szCs w:val="32"/>
        </w:rPr>
      </w:pPr>
      <w:r>
        <w:rPr>
          <w:rFonts w:hint="eastAsia" w:ascii="国标仿宋-GB/T 2312" w:hAnsi="国标仿宋-GB/T 2312" w:eastAsia="国标仿宋-GB/T 2312" w:cs="国标仿宋-GB/T 2312"/>
          <w:sz w:val="32"/>
          <w:szCs w:val="32"/>
        </w:rPr>
        <w:t>八、环境影响报告表批准后，如项目性质、规模、地点、采用的生产工艺或者污染防治措施发生重大变动，应当重新报批该项目环境影响报告表；自环境影响报告表批复文件之日起，如超过五年工程才开工的，应当在开工前将环境影响报告表报我局重新审核。</w:t>
      </w:r>
    </w:p>
    <w:p w14:paraId="13A7126F">
      <w:pPr>
        <w:keepNext w:val="0"/>
        <w:keepLines w:val="0"/>
        <w:pageBreakBefore w:val="0"/>
        <w:widowControl/>
        <w:kinsoku/>
        <w:wordWrap/>
        <w:overflowPunct/>
        <w:topLinePunct w:val="0"/>
        <w:autoSpaceDE/>
        <w:autoSpaceDN/>
        <w:bidi w:val="0"/>
        <w:adjustRightInd/>
        <w:snapToGrid/>
        <w:spacing w:line="240" w:lineRule="auto"/>
        <w:ind w:firstLine="4160" w:firstLineChars="1300"/>
        <w:jc w:val="both"/>
        <w:textAlignment w:val="auto"/>
        <w:rPr>
          <w:rFonts w:hint="eastAsia" w:ascii="国标仿宋-GB/T 2312" w:hAnsi="国标仿宋-GB/T 2312" w:eastAsia="国标仿宋-GB/T 2312" w:cs="国标仿宋-GB/T 2312"/>
          <w:sz w:val="32"/>
          <w:szCs w:val="32"/>
        </w:rPr>
      </w:pPr>
    </w:p>
    <w:p w14:paraId="420EC6FC">
      <w:pPr>
        <w:keepNext w:val="0"/>
        <w:keepLines w:val="0"/>
        <w:pageBreakBefore w:val="0"/>
        <w:widowControl/>
        <w:kinsoku/>
        <w:wordWrap/>
        <w:overflowPunct/>
        <w:topLinePunct w:val="0"/>
        <w:autoSpaceDE/>
        <w:autoSpaceDN/>
        <w:bidi w:val="0"/>
        <w:adjustRightInd/>
        <w:snapToGrid/>
        <w:spacing w:line="240" w:lineRule="auto"/>
        <w:ind w:firstLine="3840" w:firstLineChars="1200"/>
        <w:jc w:val="both"/>
        <w:textAlignment w:val="auto"/>
        <w:rPr>
          <w:rFonts w:hint="eastAsia" w:ascii="国标仿宋-GB/T 2312" w:hAnsi="国标仿宋-GB/T 2312" w:eastAsia="国标仿宋-GB/T 2312" w:cs="国标仿宋-GB/T 2312"/>
          <w:sz w:val="32"/>
          <w:szCs w:val="32"/>
        </w:rPr>
      </w:pPr>
      <w:r>
        <w:rPr>
          <w:rFonts w:hint="eastAsia" w:ascii="国标仿宋-GB/T 2312" w:hAnsi="国标仿宋-GB/T 2312" w:eastAsia="国标仿宋-GB/T 2312" w:cs="国标仿宋-GB/T 2312"/>
          <w:sz w:val="32"/>
          <w:szCs w:val="32"/>
        </w:rPr>
        <w:t>阳泉市生态环境局盂县分局</w:t>
      </w:r>
    </w:p>
    <w:p w14:paraId="64BE7C5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国标仿宋-GB/T 2312" w:hAnsi="国标仿宋-GB/T 2312" w:eastAsia="国标仿宋-GB/T 2312" w:cs="国标仿宋-GB/T 2312"/>
          <w:sz w:val="32"/>
          <w:szCs w:val="32"/>
        </w:rPr>
      </w:pPr>
      <w:r>
        <w:rPr>
          <w:rFonts w:hint="eastAsia" w:ascii="国标仿宋-GB/T 2312" w:hAnsi="国标仿宋-GB/T 2312" w:eastAsia="国标仿宋-GB/T 2312" w:cs="国标仿宋-GB/T 2312"/>
          <w:sz w:val="32"/>
          <w:szCs w:val="32"/>
          <w:lang w:val="en-US" w:eastAsia="zh-CN"/>
        </w:rPr>
        <w:t xml:space="preserve">                  </w:t>
      </w:r>
      <w:r>
        <w:rPr>
          <w:rFonts w:hint="eastAsia" w:ascii="国标仿宋-GB/T 2312" w:hAnsi="国标仿宋-GB/T 2312" w:eastAsia="国标仿宋-GB/T 2312" w:cs="国标仿宋-GB/T 2312"/>
          <w:sz w:val="32"/>
          <w:szCs w:val="32"/>
        </w:rPr>
        <w:t>2026年4月</w:t>
      </w:r>
      <w:r>
        <w:rPr>
          <w:rFonts w:hint="eastAsia" w:ascii="国标仿宋-GB/T 2312" w:hAnsi="国标仿宋-GB/T 2312" w:eastAsia="国标仿宋-GB/T 2312" w:cs="国标仿宋-GB/T 2312"/>
          <w:sz w:val="32"/>
          <w:szCs w:val="32"/>
          <w:lang w:val="en-US" w:eastAsia="zh-CN"/>
        </w:rPr>
        <w:t>20</w:t>
      </w:r>
      <w:r>
        <w:rPr>
          <w:rFonts w:hint="eastAsia" w:ascii="国标仿宋-GB/T 2312" w:hAnsi="国标仿宋-GB/T 2312" w:eastAsia="国标仿宋-GB/T 2312" w:cs="国标仿宋-GB/T 2312"/>
          <w:sz w:val="32"/>
          <w:szCs w:val="32"/>
        </w:rPr>
        <w:t>日</w:t>
      </w:r>
    </w:p>
    <w:p w14:paraId="1315233C">
      <w:pPr>
        <w:pStyle w:val="8"/>
        <w:keepNext w:val="0"/>
        <w:keepLines w:val="0"/>
        <w:pageBreakBefore w:val="0"/>
        <w:widowControl/>
        <w:kinsoku/>
        <w:wordWrap/>
        <w:overflowPunct/>
        <w:topLinePunct w:val="0"/>
        <w:autoSpaceDE/>
        <w:autoSpaceDN/>
        <w:bidi w:val="0"/>
        <w:adjustRightInd/>
        <w:snapToGrid/>
        <w:spacing w:line="240" w:lineRule="auto"/>
        <w:ind w:left="0" w:leftChars="0" w:firstLine="640" w:firstLineChars="200"/>
        <w:textAlignment w:val="auto"/>
        <w:rPr>
          <w:rFonts w:hint="eastAsia" w:ascii="国标仿宋-GB/T 2312" w:hAnsi="国标仿宋-GB/T 2312" w:eastAsia="国标仿宋-GB/T 2312" w:cs="国标仿宋-GB/T 2312"/>
          <w:sz w:val="32"/>
          <w:szCs w:val="32"/>
          <w:lang w:eastAsia="zh-CN"/>
        </w:rPr>
      </w:pPr>
      <w:r>
        <w:rPr>
          <w:rFonts w:hint="eastAsia" w:ascii="国标仿宋-GB/T 2312" w:hAnsi="国标仿宋-GB/T 2312" w:eastAsia="国标仿宋-GB/T 2312" w:cs="国标仿宋-GB/T 2312"/>
          <w:sz w:val="32"/>
          <w:szCs w:val="32"/>
          <w:lang w:eastAsia="zh-CN"/>
        </w:rPr>
        <w:t>（此件主动公开）</w:t>
      </w:r>
    </w:p>
    <w:p w14:paraId="6B6AA28E">
      <w:pPr>
        <w:keepNext w:val="0"/>
        <w:keepLines w:val="0"/>
        <w:pageBreakBefore w:val="0"/>
        <w:widowControl w:val="0"/>
        <w:kinsoku/>
        <w:wordWrap/>
        <w:overflowPunct/>
        <w:topLinePunct w:val="0"/>
        <w:autoSpaceDE/>
        <w:autoSpaceDN/>
        <w:bidi w:val="0"/>
        <w:adjustRightInd/>
        <w:snapToGrid/>
        <w:spacing w:line="500" w:lineRule="exact"/>
        <w:ind w:left="1106" w:leftChars="133" w:hanging="840" w:hangingChars="300"/>
        <w:textAlignment w:val="auto"/>
        <w:rPr>
          <w:rFonts w:hint="eastAsia" w:ascii="国标仿宋-GB/T 2312" w:hAnsi="国标仿宋-GB/T 2312" w:eastAsia="国标仿宋-GB/T 2312" w:cs="国标仿宋-GB/T 2312"/>
          <w:sz w:val="28"/>
          <w:szCs w:val="28"/>
          <w:lang w:eastAsia="zh-CN" w:bidi="ar-SA"/>
        </w:rPr>
      </w:pPr>
    </w:p>
    <w:p w14:paraId="66E565E2">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textAlignment w:val="auto"/>
        <w:rPr>
          <w:rFonts w:hint="eastAsia" w:ascii="国标仿宋-GB/T 2312" w:hAnsi="国标仿宋-GB/T 2312" w:eastAsia="国标仿宋-GB/T 2312" w:cs="国标仿宋-GB/T 2312"/>
          <w:sz w:val="28"/>
          <w:szCs w:val="28"/>
          <w:lang w:eastAsia="zh-CN" w:bidi="ar-SA"/>
        </w:rPr>
      </w:pPr>
    </w:p>
    <w:p w14:paraId="085F0181">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textAlignment w:val="auto"/>
        <w:rPr>
          <w:rFonts w:hint="eastAsia" w:ascii="国标仿宋-GB/T 2312" w:hAnsi="国标仿宋-GB/T 2312" w:eastAsia="国标仿宋-GB/T 2312" w:cs="国标仿宋-GB/T 2312"/>
          <w:sz w:val="28"/>
          <w:szCs w:val="28"/>
          <w:lang w:eastAsia="zh-CN" w:bidi="ar-SA"/>
        </w:rPr>
      </w:pPr>
    </w:p>
    <w:p w14:paraId="4F744768">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textAlignment w:val="auto"/>
        <w:rPr>
          <w:rFonts w:hint="eastAsia" w:ascii="国标仿宋-GB/T 2312" w:hAnsi="国标仿宋-GB/T 2312" w:eastAsia="国标仿宋-GB/T 2312" w:cs="国标仿宋-GB/T 2312"/>
          <w:sz w:val="28"/>
          <w:szCs w:val="28"/>
          <w:lang w:eastAsia="zh-CN" w:bidi="ar-SA"/>
        </w:rPr>
      </w:pPr>
    </w:p>
    <w:p w14:paraId="23A582FE">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textAlignment w:val="auto"/>
        <w:rPr>
          <w:rFonts w:hint="eastAsia" w:ascii="国标仿宋-GB/T 2312" w:hAnsi="国标仿宋-GB/T 2312" w:eastAsia="国标仿宋-GB/T 2312" w:cs="国标仿宋-GB/T 2312"/>
          <w:sz w:val="28"/>
          <w:szCs w:val="28"/>
          <w:lang w:eastAsia="zh-CN" w:bidi="ar-SA"/>
        </w:rPr>
      </w:pPr>
    </w:p>
    <w:p w14:paraId="61CBBCC2">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textAlignment w:val="auto"/>
        <w:rPr>
          <w:rFonts w:hint="eastAsia" w:ascii="国标仿宋-GB/T 2312" w:hAnsi="国标仿宋-GB/T 2312" w:eastAsia="国标仿宋-GB/T 2312" w:cs="国标仿宋-GB/T 2312"/>
          <w:sz w:val="28"/>
          <w:szCs w:val="28"/>
          <w:lang w:eastAsia="zh-CN" w:bidi="ar-SA"/>
        </w:rPr>
      </w:pPr>
    </w:p>
    <w:p w14:paraId="20118FEE">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textAlignment w:val="auto"/>
        <w:rPr>
          <w:rFonts w:hint="eastAsia" w:ascii="国标仿宋-GB/T 2312" w:hAnsi="国标仿宋-GB/T 2312" w:eastAsia="国标仿宋-GB/T 2312" w:cs="国标仿宋-GB/T 2312"/>
          <w:sz w:val="28"/>
          <w:szCs w:val="28"/>
          <w:lang w:eastAsia="zh-CN" w:bidi="ar-SA"/>
        </w:rPr>
      </w:pPr>
    </w:p>
    <w:p w14:paraId="4D755234">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textAlignment w:val="auto"/>
        <w:rPr>
          <w:rFonts w:hint="eastAsia" w:ascii="国标仿宋-GB/T 2312" w:hAnsi="国标仿宋-GB/T 2312" w:eastAsia="国标仿宋-GB/T 2312" w:cs="国标仿宋-GB/T 2312"/>
          <w:sz w:val="28"/>
          <w:szCs w:val="28"/>
          <w:lang w:eastAsia="zh-CN" w:bidi="ar-SA"/>
        </w:rPr>
      </w:pPr>
    </w:p>
    <w:p w14:paraId="14A29087">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textAlignment w:val="auto"/>
        <w:rPr>
          <w:rFonts w:hint="eastAsia" w:ascii="国标仿宋-GB/T 2312" w:hAnsi="国标仿宋-GB/T 2312" w:eastAsia="国标仿宋-GB/T 2312" w:cs="国标仿宋-GB/T 2312"/>
          <w:sz w:val="28"/>
          <w:szCs w:val="28"/>
          <w:lang w:eastAsia="zh-CN" w:bidi="ar-SA"/>
        </w:rPr>
      </w:pPr>
    </w:p>
    <w:p w14:paraId="4461476A">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textAlignment w:val="auto"/>
        <w:rPr>
          <w:rFonts w:hint="eastAsia" w:ascii="国标仿宋-GB/T 2312" w:hAnsi="国标仿宋-GB/T 2312" w:eastAsia="国标仿宋-GB/T 2312" w:cs="国标仿宋-GB/T 2312"/>
          <w:sz w:val="28"/>
          <w:szCs w:val="28"/>
          <w:lang w:eastAsia="zh-CN" w:bidi="ar-SA"/>
        </w:rPr>
      </w:pPr>
    </w:p>
    <w:p w14:paraId="228A95DD">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textAlignment w:val="auto"/>
        <w:rPr>
          <w:rFonts w:hint="eastAsia" w:ascii="国标仿宋-GB/T 2312" w:hAnsi="国标仿宋-GB/T 2312" w:eastAsia="国标仿宋-GB/T 2312" w:cs="国标仿宋-GB/T 2312"/>
          <w:sz w:val="28"/>
          <w:szCs w:val="28"/>
          <w:lang w:eastAsia="zh-CN" w:bidi="ar-SA"/>
        </w:rPr>
      </w:pPr>
    </w:p>
    <w:p w14:paraId="09505037">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textAlignment w:val="auto"/>
        <w:rPr>
          <w:rFonts w:hint="eastAsia" w:ascii="国标仿宋-GB/T 2312" w:hAnsi="国标仿宋-GB/T 2312" w:eastAsia="国标仿宋-GB/T 2312" w:cs="国标仿宋-GB/T 2312"/>
          <w:sz w:val="28"/>
          <w:szCs w:val="28"/>
          <w:lang w:eastAsia="zh-CN" w:bidi="ar-SA"/>
        </w:rPr>
      </w:pPr>
    </w:p>
    <w:p w14:paraId="7B824004">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textAlignment w:val="auto"/>
        <w:rPr>
          <w:rFonts w:hint="eastAsia" w:ascii="国标仿宋-GB/T 2312" w:hAnsi="国标仿宋-GB/T 2312" w:eastAsia="国标仿宋-GB/T 2312" w:cs="国标仿宋-GB/T 2312"/>
          <w:sz w:val="28"/>
          <w:szCs w:val="28"/>
          <w:lang w:eastAsia="zh-CN" w:bidi="ar-SA"/>
        </w:rPr>
      </w:pPr>
    </w:p>
    <w:p w14:paraId="02C6734E">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textAlignment w:val="auto"/>
        <w:rPr>
          <w:rFonts w:hint="eastAsia" w:ascii="国标仿宋-GB/T 2312" w:hAnsi="国标仿宋-GB/T 2312" w:eastAsia="国标仿宋-GB/T 2312" w:cs="国标仿宋-GB/T 2312"/>
          <w:sz w:val="28"/>
          <w:szCs w:val="28"/>
          <w:lang w:eastAsia="zh-CN" w:bidi="ar-SA"/>
        </w:rPr>
      </w:pPr>
    </w:p>
    <w:p w14:paraId="348920CF">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textAlignment w:val="auto"/>
        <w:rPr>
          <w:rFonts w:hint="eastAsia" w:ascii="国标仿宋-GB/T 2312" w:hAnsi="国标仿宋-GB/T 2312" w:eastAsia="国标仿宋-GB/T 2312" w:cs="国标仿宋-GB/T 2312"/>
          <w:sz w:val="28"/>
          <w:szCs w:val="28"/>
          <w:lang w:eastAsia="zh-CN" w:bidi="ar-SA"/>
        </w:rPr>
      </w:pPr>
    </w:p>
    <w:p w14:paraId="0C6AEC7E">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textAlignment w:val="auto"/>
        <w:rPr>
          <w:rFonts w:hint="eastAsia" w:ascii="国标仿宋-GB/T 2312" w:hAnsi="国标仿宋-GB/T 2312" w:eastAsia="国标仿宋-GB/T 2312" w:cs="国标仿宋-GB/T 2312"/>
          <w:sz w:val="28"/>
          <w:szCs w:val="28"/>
          <w:lang w:eastAsia="zh-CN" w:bidi="ar-SA"/>
        </w:rPr>
      </w:pPr>
    </w:p>
    <w:p w14:paraId="06035517">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textAlignment w:val="auto"/>
        <w:rPr>
          <w:rFonts w:hint="eastAsia" w:ascii="国标仿宋-GB/T 2312" w:hAnsi="国标仿宋-GB/T 2312" w:eastAsia="国标仿宋-GB/T 2312" w:cs="国标仿宋-GB/T 2312"/>
          <w:sz w:val="28"/>
          <w:szCs w:val="28"/>
          <w:lang w:eastAsia="zh-CN" w:bidi="ar-SA"/>
        </w:rPr>
      </w:pPr>
    </w:p>
    <w:p w14:paraId="63C94FAC">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textAlignment w:val="auto"/>
        <w:rPr>
          <w:rFonts w:hint="eastAsia" w:ascii="国标仿宋-GB/T 2312" w:hAnsi="国标仿宋-GB/T 2312" w:eastAsia="国标仿宋-GB/T 2312" w:cs="国标仿宋-GB/T 2312"/>
          <w:sz w:val="28"/>
          <w:szCs w:val="28"/>
          <w:lang w:eastAsia="zh-CN" w:bidi="ar-SA"/>
        </w:rPr>
      </w:pPr>
    </w:p>
    <w:p w14:paraId="181FF805">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textAlignment w:val="auto"/>
        <w:rPr>
          <w:rFonts w:hint="eastAsia" w:ascii="国标仿宋-GB/T 2312" w:hAnsi="国标仿宋-GB/T 2312" w:eastAsia="国标仿宋-GB/T 2312" w:cs="国标仿宋-GB/T 2312"/>
          <w:sz w:val="28"/>
          <w:szCs w:val="28"/>
          <w:lang w:eastAsia="zh-CN" w:bidi="ar-SA"/>
        </w:rPr>
      </w:pPr>
    </w:p>
    <w:p w14:paraId="35383FAF">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textAlignment w:val="auto"/>
        <w:rPr>
          <w:rFonts w:hint="eastAsia" w:ascii="国标仿宋-GB/T 2312" w:hAnsi="国标仿宋-GB/T 2312" w:eastAsia="国标仿宋-GB/T 2312" w:cs="国标仿宋-GB/T 2312"/>
          <w:sz w:val="28"/>
          <w:szCs w:val="28"/>
          <w:lang w:eastAsia="zh-CN" w:bidi="ar-SA"/>
        </w:rPr>
      </w:pPr>
      <w:bookmarkStart w:id="0" w:name="_GoBack"/>
      <w:bookmarkEnd w:id="0"/>
    </w:p>
    <w:p w14:paraId="5B875A25">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textAlignment w:val="auto"/>
        <w:rPr>
          <w:rFonts w:hint="eastAsia" w:ascii="国标仿宋-GB/T 2312" w:hAnsi="国标仿宋-GB/T 2312" w:eastAsia="国标仿宋-GB/T 2312" w:cs="国标仿宋-GB/T 2312"/>
          <w:sz w:val="28"/>
          <w:szCs w:val="28"/>
          <w:lang w:eastAsia="zh-CN" w:bidi="ar-SA"/>
        </w:rPr>
      </w:pPr>
    </w:p>
    <w:p w14:paraId="5B929487">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eastAsia" w:ascii="国标仿宋-GB/T 2312" w:hAnsi="国标仿宋-GB/T 2312" w:eastAsia="国标仿宋-GB/T 2312" w:cs="国标仿宋-GB/T 2312"/>
          <w:sz w:val="28"/>
          <w:szCs w:val="28"/>
          <w:lang w:eastAsia="zh-CN" w:bidi="ar-SA"/>
        </w:rPr>
      </w:pPr>
    </w:p>
    <w:p w14:paraId="12B00564">
      <w:pPr>
        <w:spacing w:line="200" w:lineRule="exact"/>
        <w:rPr>
          <w:rFonts w:hint="eastAsia" w:ascii="国标仿宋-GB/T 2312" w:hAnsi="国标仿宋-GB/T 2312" w:eastAsia="国标仿宋-GB/T 2312" w:cs="国标仿宋-GB/T 2312"/>
          <w:sz w:val="32"/>
          <w:szCs w:val="32"/>
          <w:lang w:val="en-US" w:eastAsia="zh-CN"/>
        </w:rPr>
      </w:pPr>
      <w:r>
        <w:rPr>
          <w:rFonts w:hint="eastAsia" w:ascii="仿宋_GB2312" w:hAnsi="宋体" w:eastAsia="仿宋_GB2312" w:cs="宋体"/>
          <w:sz w:val="32"/>
          <w:szCs w:val="32"/>
          <w:u w:val="thick"/>
        </w:rPr>
        <w:t xml:space="preserve">                                                       </w:t>
      </w:r>
      <w:r>
        <w:rPr>
          <w:rFonts w:hint="eastAsia" w:ascii="仿宋_GB2312" w:hAnsi="宋体" w:eastAsia="仿宋_GB2312" w:cs="宋体"/>
          <w:sz w:val="32"/>
          <w:szCs w:val="32"/>
          <w:u w:val="thick"/>
          <w:lang w:val="en-US" w:eastAsia="zh-CN"/>
        </w:rPr>
        <w:t xml:space="preserve"> </w:t>
      </w:r>
    </w:p>
    <w:p w14:paraId="756F100B">
      <w:pPr>
        <w:keepNext w:val="0"/>
        <w:keepLines w:val="0"/>
        <w:pageBreakBefore w:val="0"/>
        <w:widowControl w:val="0"/>
        <w:kinsoku/>
        <w:wordWrap/>
        <w:overflowPunct/>
        <w:topLinePunct w:val="0"/>
        <w:autoSpaceDE/>
        <w:autoSpaceDN/>
        <w:bidi w:val="0"/>
        <w:adjustRightInd/>
        <w:snapToGrid/>
        <w:spacing w:line="620" w:lineRule="exact"/>
        <w:ind w:left="1106" w:leftChars="133" w:hanging="840" w:hangingChars="300"/>
        <w:textAlignment w:val="auto"/>
        <w:rPr>
          <w:rFonts w:hint="eastAsia" w:ascii="国标仿宋-GB/T 2312" w:hAnsi="国标仿宋-GB/T 2312" w:eastAsia="国标仿宋-GB/T 2312" w:cs="国标仿宋-GB/T 2312"/>
          <w:sz w:val="28"/>
          <w:szCs w:val="28"/>
          <w:u w:val="none"/>
          <w:lang w:val="en-US" w:eastAsia="zh-CN"/>
        </w:rPr>
      </w:pPr>
      <w:r>
        <w:rPr>
          <w:rFonts w:hint="eastAsia" w:ascii="国标仿宋-GB/T 2312" w:hAnsi="国标仿宋-GB/T 2312" w:eastAsia="国标仿宋-GB/T 2312" w:cs="国标仿宋-GB/T 2312"/>
          <w:sz w:val="28"/>
          <w:szCs w:val="28"/>
          <w:lang w:eastAsia="zh-CN" w:bidi="ar-SA"/>
        </w:rPr>
        <w:t>抄送：阳泉市生态环境局，县生态环境保护综合行政执法队，</w:t>
      </w:r>
      <w:r>
        <w:rPr>
          <w:rFonts w:hint="eastAsia" w:ascii="国标仿宋-GB/T 2312" w:hAnsi="国标仿宋-GB/T 2312" w:eastAsia="国标仿宋-GB/T 2312" w:cs="国标仿宋-GB/T 2312"/>
          <w:sz w:val="28"/>
          <w:szCs w:val="28"/>
        </w:rPr>
        <w:t>山西碧海蓝天科技有限公司</w:t>
      </w:r>
      <w:r>
        <w:rPr>
          <w:rFonts w:hint="eastAsia" w:ascii="国标仿宋-GB/T 2312" w:hAnsi="国标仿宋-GB/T 2312" w:eastAsia="国标仿宋-GB/T 2312" w:cs="国标仿宋-GB/T 2312"/>
          <w:sz w:val="28"/>
          <w:szCs w:val="28"/>
          <w:u w:val="none"/>
          <w:lang w:val="en-US" w:eastAsia="zh-CN"/>
        </w:rPr>
        <w:t>。</w:t>
      </w:r>
    </w:p>
    <w:p w14:paraId="4B62E130">
      <w:pPr>
        <w:keepNext w:val="0"/>
        <w:keepLines w:val="0"/>
        <w:pageBreakBefore w:val="0"/>
        <w:widowControl w:val="0"/>
        <w:kinsoku/>
        <w:wordWrap/>
        <w:overflowPunct/>
        <w:topLinePunct w:val="0"/>
        <w:autoSpaceDE/>
        <w:autoSpaceDN/>
        <w:bidi w:val="0"/>
        <w:adjustRightInd/>
        <w:snapToGrid/>
        <w:spacing w:line="200" w:lineRule="exact"/>
        <w:ind w:left="0" w:leftChars="0" w:firstLine="0" w:firstLineChars="0"/>
        <w:textAlignment w:val="auto"/>
        <w:rPr>
          <w:rFonts w:hint="default" w:ascii="国标仿宋-GB/T 2312" w:hAnsi="国标仿宋-GB/T 2312" w:eastAsia="国标仿宋-GB/T 2312" w:cs="国标仿宋-GB/T 2312"/>
          <w:sz w:val="28"/>
          <w:szCs w:val="28"/>
          <w:u w:val="single"/>
          <w:lang w:val="en-US" w:eastAsia="zh-CN"/>
        </w:rPr>
      </w:pPr>
      <w:r>
        <w:rPr>
          <w:rFonts w:hint="eastAsia" w:ascii="国标仿宋-GB/T 2312" w:hAnsi="国标仿宋-GB/T 2312" w:eastAsia="国标仿宋-GB/T 2312" w:cs="国标仿宋-GB/T 2312"/>
          <w:sz w:val="28"/>
          <w:szCs w:val="28"/>
          <w:u w:val="single"/>
          <w:lang w:val="en-US" w:eastAsia="zh-CN"/>
        </w:rPr>
        <w:t xml:space="preserve">                                                                </w:t>
      </w:r>
    </w:p>
    <w:p w14:paraId="61BF3DB5">
      <w:pPr>
        <w:keepNext w:val="0"/>
        <w:keepLines w:val="0"/>
        <w:pageBreakBefore w:val="0"/>
        <w:widowControl w:val="0"/>
        <w:kinsoku/>
        <w:wordWrap/>
        <w:overflowPunct/>
        <w:topLinePunct w:val="0"/>
        <w:autoSpaceDE/>
        <w:autoSpaceDN/>
        <w:bidi w:val="0"/>
        <w:adjustRightInd/>
        <w:snapToGrid/>
        <w:spacing w:line="620" w:lineRule="exact"/>
        <w:ind w:right="200" w:rightChars="100" w:firstLine="280" w:firstLineChars="100"/>
        <w:textAlignment w:val="auto"/>
        <w:rPr>
          <w:rFonts w:hint="eastAsia" w:ascii="仿宋_GB2312" w:hAnsi="宋体" w:eastAsia="仿宋_GB2312" w:cs="宋体"/>
          <w:sz w:val="28"/>
          <w:szCs w:val="28"/>
        </w:rPr>
      </w:pPr>
      <w:r>
        <w:rPr>
          <w:rFonts w:hint="eastAsia" w:ascii="国标仿宋-GB/T 2312" w:hAnsi="国标仿宋-GB/T 2312" w:eastAsia="国标仿宋-GB/T 2312" w:cs="国标仿宋-GB/T 2312"/>
          <w:sz w:val="28"/>
          <w:szCs w:val="28"/>
        </w:rPr>
        <w:t xml:space="preserve">阳泉市生态环境局盂县分局办公室   </w:t>
      </w:r>
      <w:r>
        <w:rPr>
          <w:rFonts w:hint="eastAsia" w:ascii="国标仿宋-GB/T 2312" w:hAnsi="国标仿宋-GB/T 2312" w:eastAsia="国标仿宋-GB/T 2312" w:cs="国标仿宋-GB/T 2312"/>
          <w:sz w:val="28"/>
          <w:szCs w:val="28"/>
          <w:lang w:val="en-US" w:eastAsia="zh-CN"/>
        </w:rPr>
        <w:t xml:space="preserve"> </w:t>
      </w:r>
      <w:r>
        <w:rPr>
          <w:rFonts w:hint="eastAsia" w:ascii="国标仿宋-GB/T 2312" w:hAnsi="国标仿宋-GB/T 2312" w:eastAsia="国标仿宋-GB/T 2312" w:cs="国标仿宋-GB/T 2312"/>
          <w:sz w:val="28"/>
          <w:szCs w:val="28"/>
        </w:rPr>
        <w:t xml:space="preserve">    </w:t>
      </w:r>
      <w:r>
        <w:rPr>
          <w:rFonts w:hint="eastAsia" w:ascii="国标仿宋-GB/T 2312" w:hAnsi="国标仿宋-GB/T 2312" w:eastAsia="国标仿宋-GB/T 2312" w:cs="国标仿宋-GB/T 2312"/>
          <w:sz w:val="28"/>
          <w:szCs w:val="28"/>
          <w:lang w:val="en-US" w:eastAsia="zh-CN"/>
        </w:rPr>
        <w:t xml:space="preserve">   </w:t>
      </w:r>
      <w:r>
        <w:rPr>
          <w:rFonts w:hint="eastAsia" w:ascii="国标仿宋-GB/T 2312" w:hAnsi="国标仿宋-GB/T 2312" w:eastAsia="国标仿宋-GB/T 2312" w:cs="国标仿宋-GB/T 2312"/>
          <w:sz w:val="28"/>
          <w:szCs w:val="28"/>
        </w:rPr>
        <w:t xml:space="preserve">  202</w:t>
      </w:r>
      <w:r>
        <w:rPr>
          <w:rFonts w:hint="eastAsia" w:ascii="国标仿宋-GB/T 2312" w:hAnsi="国标仿宋-GB/T 2312" w:eastAsia="国标仿宋-GB/T 2312" w:cs="国标仿宋-GB/T 2312"/>
          <w:sz w:val="28"/>
          <w:szCs w:val="28"/>
          <w:lang w:val="en-US" w:eastAsia="zh-CN"/>
        </w:rPr>
        <w:t>6</w:t>
      </w:r>
      <w:r>
        <w:rPr>
          <w:rFonts w:hint="eastAsia" w:ascii="国标仿宋-GB/T 2312" w:hAnsi="国标仿宋-GB/T 2312" w:eastAsia="国标仿宋-GB/T 2312" w:cs="国标仿宋-GB/T 2312"/>
          <w:sz w:val="28"/>
          <w:szCs w:val="28"/>
        </w:rPr>
        <w:t>年</w:t>
      </w:r>
      <w:r>
        <w:rPr>
          <w:rFonts w:hint="eastAsia" w:ascii="国标仿宋-GB/T 2312" w:hAnsi="国标仿宋-GB/T 2312" w:eastAsia="国标仿宋-GB/T 2312" w:cs="国标仿宋-GB/T 2312"/>
          <w:sz w:val="28"/>
          <w:szCs w:val="28"/>
          <w:lang w:val="en-US" w:eastAsia="zh-CN"/>
        </w:rPr>
        <w:t>4</w:t>
      </w:r>
      <w:r>
        <w:rPr>
          <w:rFonts w:hint="eastAsia" w:ascii="国标仿宋-GB/T 2312" w:hAnsi="国标仿宋-GB/T 2312" w:eastAsia="国标仿宋-GB/T 2312" w:cs="国标仿宋-GB/T 2312"/>
          <w:sz w:val="28"/>
          <w:szCs w:val="28"/>
        </w:rPr>
        <w:t>月</w:t>
      </w:r>
      <w:r>
        <w:rPr>
          <w:rFonts w:hint="eastAsia" w:ascii="国标仿宋-GB/T 2312" w:hAnsi="国标仿宋-GB/T 2312" w:eastAsia="国标仿宋-GB/T 2312" w:cs="国标仿宋-GB/T 2312"/>
          <w:sz w:val="28"/>
          <w:szCs w:val="28"/>
          <w:lang w:val="en-US" w:eastAsia="zh-CN"/>
        </w:rPr>
        <w:t>20</w:t>
      </w:r>
      <w:r>
        <w:rPr>
          <w:rFonts w:hint="eastAsia" w:ascii="国标仿宋-GB/T 2312" w:hAnsi="国标仿宋-GB/T 2312" w:eastAsia="国标仿宋-GB/T 2312" w:cs="国标仿宋-GB/T 2312"/>
          <w:sz w:val="28"/>
          <w:szCs w:val="28"/>
        </w:rPr>
        <w:t>日印</w:t>
      </w:r>
    </w:p>
    <w:p w14:paraId="628765E1">
      <w:pPr>
        <w:spacing w:line="200" w:lineRule="exact"/>
        <w:rPr>
          <w:rFonts w:hint="eastAsia" w:ascii="国标仿宋-GB/T 2312" w:hAnsi="国标仿宋-GB/T 2312" w:eastAsia="国标仿宋-GB/T 2312" w:cs="国标仿宋-GB/T 2312"/>
          <w:sz w:val="32"/>
          <w:szCs w:val="32"/>
          <w:lang w:eastAsia="zh-CN"/>
        </w:rPr>
      </w:pPr>
      <w:r>
        <w:rPr>
          <w:rFonts w:hint="eastAsia" w:ascii="仿宋_GB2312" w:hAnsi="宋体" w:eastAsia="仿宋_GB2312" w:cs="宋体"/>
          <w:sz w:val="32"/>
          <w:szCs w:val="32"/>
          <w:u w:val="thick"/>
        </w:rPr>
        <w:t xml:space="preserve">                                                       </w:t>
      </w:r>
      <w:r>
        <w:rPr>
          <w:rFonts w:hint="eastAsia" w:ascii="仿宋_GB2312" w:hAnsi="宋体" w:eastAsia="仿宋_GB2312" w:cs="宋体"/>
          <w:sz w:val="32"/>
          <w:szCs w:val="32"/>
          <w:u w:val="thick"/>
          <w:lang w:val="en-US" w:eastAsia="zh-CN"/>
        </w:rPr>
        <w:t xml:space="preserve"> </w:t>
      </w:r>
    </w:p>
    <w:sectPr>
      <w:footerReference r:id="rId5" w:type="first"/>
      <w:footerReference r:id="rId3" w:type="default"/>
      <w:footerReference r:id="rId4" w:type="even"/>
      <w:pgSz w:w="11850" w:h="16783"/>
      <w:pgMar w:top="2098" w:right="1474" w:bottom="1701" w:left="1587" w:header="851" w:footer="1134" w:gutter="0"/>
      <w:pgNumType w:fmt="numberInDash" w:start="1"/>
      <w:cols w:space="0" w:num="1"/>
      <w:titlePg/>
      <w:rtlGutter w:val="0"/>
      <w:docGrid w:type="lines" w:linePitch="30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8"/>
    <w:family w:val="auto"/>
    <w:pitch w:val="default"/>
    <w:sig w:usb0="00000000" w:usb1="00000000" w:usb2="00000008"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Luxi Sans">
    <w:altName w:val="华文仿宋"/>
    <w:panose1 w:val="00000000000000000000"/>
    <w:charset w:val="00"/>
    <w:family w:val="auto"/>
    <w:pitch w:val="default"/>
    <w:sig w:usb0="00000000" w:usb1="00000000" w:usb2="00000000" w:usb3="00000000" w:csb0="00040001" w:csb1="00000000"/>
  </w:font>
  <w:font w:name="华文仿宋">
    <w:panose1 w:val="02010600040101010101"/>
    <w:charset w:val="86"/>
    <w:family w:val="auto"/>
    <w:pitch w:val="default"/>
    <w:sig w:usb0="00000287" w:usb1="080F0000" w:usb2="00000000" w:usb3="00000000" w:csb0="0004009F" w:csb1="DFD70000"/>
  </w:font>
  <w:font w:name="荣耀黑体">
    <w:altName w:val="方正黑体_GBK"/>
    <w:panose1 w:val="00000000000000000000"/>
    <w:charset w:val="00"/>
    <w:family w:val="auto"/>
    <w:pitch w:val="default"/>
    <w:sig w:usb0="00000000" w:usb1="00000000" w:usb2="00000000" w:usb3="00000000" w:csb0="00040001" w:csb1="00000000"/>
  </w:font>
  <w:font w:name="方正黑体_GBK">
    <w:panose1 w:val="02000000000000000000"/>
    <w:charset w:val="86"/>
    <w:family w:val="auto"/>
    <w:pitch w:val="default"/>
    <w:sig w:usb0="00000001" w:usb1="08000000" w:usb2="00000000" w:usb3="00000000" w:csb0="00040000" w:csb1="00000000"/>
  </w:font>
  <w:font w:name="MathJax_Vector">
    <w:panose1 w:val="02000603000000000000"/>
    <w:charset w:val="00"/>
    <w:family w:val="auto"/>
    <w:pitch w:val="default"/>
    <w:sig w:usb0="00000001" w:usb1="00000020" w:usb2="00000000" w:usb3="00000000" w:csb0="00000001" w:csb1="00000000"/>
  </w:font>
  <w:font w:name="国标仿宋-GB/T 2312">
    <w:panose1 w:val="02000500000000000000"/>
    <w:charset w:val="86"/>
    <w:family w:val="auto"/>
    <w:pitch w:val="default"/>
    <w:sig w:usb0="800002AF" w:usb1="08476CF8" w:usb2="00000010" w:usb3="00000000" w:csb0="00040000" w:csb1="00000000"/>
  </w:font>
  <w:font w:name="仿宋_GB2312">
    <w:altName w:val="方正仿宋_GBK"/>
    <w:panose1 w:val="02010609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国标宋体-GB/T 2312">
    <w:panose1 w:val="020005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E8E447">
    <w:pPr>
      <w:pStyle w:val="1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CF9EC0">
                          <w:pPr>
                            <w:pStyle w:val="15"/>
                            <w:keepNext w:val="0"/>
                            <w:keepLines w:val="0"/>
                            <w:pageBreakBefore w:val="0"/>
                            <w:widowControl/>
                            <w:kinsoku/>
                            <w:wordWrap/>
                            <w:overflowPunct/>
                            <w:topLinePunct w:val="0"/>
                            <w:bidi w:val="0"/>
                            <w:adjustRightInd/>
                            <w:snapToGrid w:val="0"/>
                            <w:ind w:left="0" w:leftChars="0" w:right="200" w:rightChars="100"/>
                            <w:textAlignment w:val="auto"/>
                            <w:rPr>
                              <w:rFonts w:hint="eastAsia" w:ascii="国标仿宋-GB/T 2312" w:hAnsi="国标仿宋-GB/T 2312" w:eastAsia="国标仿宋-GB/T 2312" w:cs="国标仿宋-GB/T 2312"/>
                              <w:sz w:val="28"/>
                              <w:szCs w:val="28"/>
                            </w:rPr>
                          </w:pPr>
                          <w:r>
                            <w:rPr>
                              <w:rFonts w:hint="eastAsia" w:ascii="国标仿宋-GB/T 2312" w:hAnsi="国标仿宋-GB/T 2312" w:eastAsia="国标仿宋-GB/T 2312" w:cs="国标仿宋-GB/T 2312"/>
                              <w:sz w:val="28"/>
                              <w:szCs w:val="28"/>
                            </w:rPr>
                            <w:fldChar w:fldCharType="begin"/>
                          </w:r>
                          <w:r>
                            <w:rPr>
                              <w:rFonts w:hint="eastAsia" w:ascii="国标仿宋-GB/T 2312" w:hAnsi="国标仿宋-GB/T 2312" w:eastAsia="国标仿宋-GB/T 2312" w:cs="国标仿宋-GB/T 2312"/>
                              <w:sz w:val="28"/>
                              <w:szCs w:val="28"/>
                            </w:rPr>
                            <w:instrText xml:space="preserve"> PAGE  \* MERGEFORMAT </w:instrText>
                          </w:r>
                          <w:r>
                            <w:rPr>
                              <w:rFonts w:hint="eastAsia" w:ascii="国标仿宋-GB/T 2312" w:hAnsi="国标仿宋-GB/T 2312" w:eastAsia="国标仿宋-GB/T 2312" w:cs="国标仿宋-GB/T 2312"/>
                              <w:sz w:val="28"/>
                              <w:szCs w:val="28"/>
                            </w:rPr>
                            <w:fldChar w:fldCharType="separate"/>
                          </w:r>
                          <w:r>
                            <w:rPr>
                              <w:rFonts w:hint="eastAsia" w:ascii="国标仿宋-GB/T 2312" w:hAnsi="国标仿宋-GB/T 2312" w:eastAsia="国标仿宋-GB/T 2312" w:cs="国标仿宋-GB/T 2312"/>
                              <w:sz w:val="28"/>
                              <w:szCs w:val="28"/>
                            </w:rPr>
                            <w:t>- 3 -</w:t>
                          </w:r>
                          <w:r>
                            <w:rPr>
                              <w:rFonts w:hint="eastAsia" w:ascii="国标仿宋-GB/T 2312" w:hAnsi="国标仿宋-GB/T 2312" w:eastAsia="国标仿宋-GB/T 2312" w:cs="国标仿宋-GB/T 2312"/>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ACF9EC0">
                    <w:pPr>
                      <w:pStyle w:val="15"/>
                      <w:keepNext w:val="0"/>
                      <w:keepLines w:val="0"/>
                      <w:pageBreakBefore w:val="0"/>
                      <w:widowControl/>
                      <w:kinsoku/>
                      <w:wordWrap/>
                      <w:overflowPunct/>
                      <w:topLinePunct w:val="0"/>
                      <w:bidi w:val="0"/>
                      <w:adjustRightInd/>
                      <w:snapToGrid w:val="0"/>
                      <w:ind w:left="0" w:leftChars="0" w:right="200" w:rightChars="100"/>
                      <w:textAlignment w:val="auto"/>
                      <w:rPr>
                        <w:rFonts w:hint="eastAsia" w:ascii="国标仿宋-GB/T 2312" w:hAnsi="国标仿宋-GB/T 2312" w:eastAsia="国标仿宋-GB/T 2312" w:cs="国标仿宋-GB/T 2312"/>
                        <w:sz w:val="28"/>
                        <w:szCs w:val="28"/>
                      </w:rPr>
                    </w:pPr>
                    <w:r>
                      <w:rPr>
                        <w:rFonts w:hint="eastAsia" w:ascii="国标仿宋-GB/T 2312" w:hAnsi="国标仿宋-GB/T 2312" w:eastAsia="国标仿宋-GB/T 2312" w:cs="国标仿宋-GB/T 2312"/>
                        <w:sz w:val="28"/>
                        <w:szCs w:val="28"/>
                      </w:rPr>
                      <w:fldChar w:fldCharType="begin"/>
                    </w:r>
                    <w:r>
                      <w:rPr>
                        <w:rFonts w:hint="eastAsia" w:ascii="国标仿宋-GB/T 2312" w:hAnsi="国标仿宋-GB/T 2312" w:eastAsia="国标仿宋-GB/T 2312" w:cs="国标仿宋-GB/T 2312"/>
                        <w:sz w:val="28"/>
                        <w:szCs w:val="28"/>
                      </w:rPr>
                      <w:instrText xml:space="preserve"> PAGE  \* MERGEFORMAT </w:instrText>
                    </w:r>
                    <w:r>
                      <w:rPr>
                        <w:rFonts w:hint="eastAsia" w:ascii="国标仿宋-GB/T 2312" w:hAnsi="国标仿宋-GB/T 2312" w:eastAsia="国标仿宋-GB/T 2312" w:cs="国标仿宋-GB/T 2312"/>
                        <w:sz w:val="28"/>
                        <w:szCs w:val="28"/>
                      </w:rPr>
                      <w:fldChar w:fldCharType="separate"/>
                    </w:r>
                    <w:r>
                      <w:rPr>
                        <w:rFonts w:hint="eastAsia" w:ascii="国标仿宋-GB/T 2312" w:hAnsi="国标仿宋-GB/T 2312" w:eastAsia="国标仿宋-GB/T 2312" w:cs="国标仿宋-GB/T 2312"/>
                        <w:sz w:val="28"/>
                        <w:szCs w:val="28"/>
                      </w:rPr>
                      <w:t>- 3 -</w:t>
                    </w:r>
                    <w:r>
                      <w:rPr>
                        <w:rFonts w:hint="eastAsia" w:ascii="国标仿宋-GB/T 2312" w:hAnsi="国标仿宋-GB/T 2312" w:eastAsia="国标仿宋-GB/T 2312" w:cs="国标仿宋-GB/T 2312"/>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CDA6CE">
    <w:pPr>
      <w:pStyle w:val="15"/>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1812F1">
                          <w:pPr>
                            <w:pStyle w:val="15"/>
                            <w:keepNext w:val="0"/>
                            <w:keepLines w:val="0"/>
                            <w:pageBreakBefore w:val="0"/>
                            <w:widowControl/>
                            <w:kinsoku/>
                            <w:wordWrap/>
                            <w:overflowPunct/>
                            <w:topLinePunct w:val="0"/>
                            <w:bidi w:val="0"/>
                            <w:adjustRightInd/>
                            <w:snapToGrid w:val="0"/>
                            <w:ind w:left="200" w:leftChars="100"/>
                            <w:textAlignment w:val="auto"/>
                            <w:rPr>
                              <w:rFonts w:hint="eastAsia" w:ascii="国标仿宋-GB/T 2312" w:hAnsi="国标仿宋-GB/T 2312" w:eastAsia="国标仿宋-GB/T 2312" w:cs="国标仿宋-GB/T 2312"/>
                              <w:sz w:val="28"/>
                              <w:szCs w:val="28"/>
                            </w:rPr>
                          </w:pPr>
                          <w:r>
                            <w:rPr>
                              <w:rFonts w:hint="eastAsia" w:ascii="国标仿宋-GB/T 2312" w:hAnsi="国标仿宋-GB/T 2312" w:eastAsia="国标仿宋-GB/T 2312" w:cs="国标仿宋-GB/T 2312"/>
                              <w:sz w:val="28"/>
                              <w:szCs w:val="28"/>
                            </w:rPr>
                            <w:fldChar w:fldCharType="begin"/>
                          </w:r>
                          <w:r>
                            <w:rPr>
                              <w:rFonts w:hint="eastAsia" w:ascii="国标仿宋-GB/T 2312" w:hAnsi="国标仿宋-GB/T 2312" w:eastAsia="国标仿宋-GB/T 2312" w:cs="国标仿宋-GB/T 2312"/>
                              <w:sz w:val="28"/>
                              <w:szCs w:val="28"/>
                            </w:rPr>
                            <w:instrText xml:space="preserve"> PAGE  \* MERGEFORMAT </w:instrText>
                          </w:r>
                          <w:r>
                            <w:rPr>
                              <w:rFonts w:hint="eastAsia" w:ascii="国标仿宋-GB/T 2312" w:hAnsi="国标仿宋-GB/T 2312" w:eastAsia="国标仿宋-GB/T 2312" w:cs="国标仿宋-GB/T 2312"/>
                              <w:sz w:val="28"/>
                              <w:szCs w:val="28"/>
                            </w:rPr>
                            <w:fldChar w:fldCharType="separate"/>
                          </w:r>
                          <w:r>
                            <w:rPr>
                              <w:rFonts w:hint="eastAsia" w:ascii="国标仿宋-GB/T 2312" w:hAnsi="国标仿宋-GB/T 2312" w:eastAsia="国标仿宋-GB/T 2312" w:cs="国标仿宋-GB/T 2312"/>
                              <w:sz w:val="28"/>
                              <w:szCs w:val="28"/>
                            </w:rPr>
                            <w:t>- 2 -</w:t>
                          </w:r>
                          <w:r>
                            <w:rPr>
                              <w:rFonts w:hint="eastAsia" w:ascii="国标仿宋-GB/T 2312" w:hAnsi="国标仿宋-GB/T 2312" w:eastAsia="国标仿宋-GB/T 2312" w:cs="国标仿宋-GB/T 2312"/>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3A1812F1">
                    <w:pPr>
                      <w:pStyle w:val="15"/>
                      <w:keepNext w:val="0"/>
                      <w:keepLines w:val="0"/>
                      <w:pageBreakBefore w:val="0"/>
                      <w:widowControl/>
                      <w:kinsoku/>
                      <w:wordWrap/>
                      <w:overflowPunct/>
                      <w:topLinePunct w:val="0"/>
                      <w:bidi w:val="0"/>
                      <w:adjustRightInd/>
                      <w:snapToGrid w:val="0"/>
                      <w:ind w:left="200" w:leftChars="100"/>
                      <w:textAlignment w:val="auto"/>
                      <w:rPr>
                        <w:rFonts w:hint="eastAsia" w:ascii="国标仿宋-GB/T 2312" w:hAnsi="国标仿宋-GB/T 2312" w:eastAsia="国标仿宋-GB/T 2312" w:cs="国标仿宋-GB/T 2312"/>
                        <w:sz w:val="28"/>
                        <w:szCs w:val="28"/>
                      </w:rPr>
                    </w:pPr>
                    <w:r>
                      <w:rPr>
                        <w:rFonts w:hint="eastAsia" w:ascii="国标仿宋-GB/T 2312" w:hAnsi="国标仿宋-GB/T 2312" w:eastAsia="国标仿宋-GB/T 2312" w:cs="国标仿宋-GB/T 2312"/>
                        <w:sz w:val="28"/>
                        <w:szCs w:val="28"/>
                      </w:rPr>
                      <w:fldChar w:fldCharType="begin"/>
                    </w:r>
                    <w:r>
                      <w:rPr>
                        <w:rFonts w:hint="eastAsia" w:ascii="国标仿宋-GB/T 2312" w:hAnsi="国标仿宋-GB/T 2312" w:eastAsia="国标仿宋-GB/T 2312" w:cs="国标仿宋-GB/T 2312"/>
                        <w:sz w:val="28"/>
                        <w:szCs w:val="28"/>
                      </w:rPr>
                      <w:instrText xml:space="preserve"> PAGE  \* MERGEFORMAT </w:instrText>
                    </w:r>
                    <w:r>
                      <w:rPr>
                        <w:rFonts w:hint="eastAsia" w:ascii="国标仿宋-GB/T 2312" w:hAnsi="国标仿宋-GB/T 2312" w:eastAsia="国标仿宋-GB/T 2312" w:cs="国标仿宋-GB/T 2312"/>
                        <w:sz w:val="28"/>
                        <w:szCs w:val="28"/>
                      </w:rPr>
                      <w:fldChar w:fldCharType="separate"/>
                    </w:r>
                    <w:r>
                      <w:rPr>
                        <w:rFonts w:hint="eastAsia" w:ascii="国标仿宋-GB/T 2312" w:hAnsi="国标仿宋-GB/T 2312" w:eastAsia="国标仿宋-GB/T 2312" w:cs="国标仿宋-GB/T 2312"/>
                        <w:sz w:val="28"/>
                        <w:szCs w:val="28"/>
                      </w:rPr>
                      <w:t>- 2 -</w:t>
                    </w:r>
                    <w:r>
                      <w:rPr>
                        <w:rFonts w:hint="eastAsia" w:ascii="国标仿宋-GB/T 2312" w:hAnsi="国标仿宋-GB/T 2312" w:eastAsia="国标仿宋-GB/T 2312" w:cs="国标仿宋-GB/T 2312"/>
                        <w:sz w:val="28"/>
                        <w:szCs w:val="2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34108B">
    <w:pPr>
      <w:pStyle w:val="15"/>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9A72E4"/>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0B9A72E4"/>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9483EF0"/>
    <w:multiLevelType w:val="singleLevel"/>
    <w:tmpl w:val="39483EF0"/>
    <w:lvl w:ilvl="0" w:tentative="0">
      <w:start w:val="1"/>
      <w:numFmt w:val="bullet"/>
      <w:pStyle w:val="14"/>
      <w:lvlText w:val=""/>
      <w:lvlJc w:val="left"/>
      <w:pPr>
        <w:tabs>
          <w:tab w:val="left" w:pos="2040"/>
        </w:tabs>
        <w:ind w:left="204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evenAndOddHeaders w:val="1"/>
  <w:drawingGridVerticalSpacing w:val="154"/>
  <w:displayVerticalDrawingGridEvery w:val="2"/>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AyMmI1NTY2OWY4Nzc3OGE3NTM2MGQ3YjIyNzMwMDgifQ=="/>
  </w:docVars>
  <w:rsids>
    <w:rsidRoot w:val="00893702"/>
    <w:rsid w:val="00014091"/>
    <w:rsid w:val="002F0322"/>
    <w:rsid w:val="005E6556"/>
    <w:rsid w:val="00744913"/>
    <w:rsid w:val="007B0EE7"/>
    <w:rsid w:val="00893702"/>
    <w:rsid w:val="00956B62"/>
    <w:rsid w:val="00B820D9"/>
    <w:rsid w:val="014B196A"/>
    <w:rsid w:val="01E713DF"/>
    <w:rsid w:val="02062F52"/>
    <w:rsid w:val="03DE6928"/>
    <w:rsid w:val="0DA87292"/>
    <w:rsid w:val="0FB651A0"/>
    <w:rsid w:val="12444F22"/>
    <w:rsid w:val="12B00E39"/>
    <w:rsid w:val="13A040EC"/>
    <w:rsid w:val="14AB04B1"/>
    <w:rsid w:val="17BE5C5A"/>
    <w:rsid w:val="19A54BCF"/>
    <w:rsid w:val="1D372176"/>
    <w:rsid w:val="1D9D101D"/>
    <w:rsid w:val="31ED083D"/>
    <w:rsid w:val="33FBB84D"/>
    <w:rsid w:val="397BE46F"/>
    <w:rsid w:val="39CB7282"/>
    <w:rsid w:val="3A0B0C27"/>
    <w:rsid w:val="407D5DCB"/>
    <w:rsid w:val="4206219E"/>
    <w:rsid w:val="42094FAD"/>
    <w:rsid w:val="43956FAD"/>
    <w:rsid w:val="43AA769D"/>
    <w:rsid w:val="497142D5"/>
    <w:rsid w:val="4A8A6711"/>
    <w:rsid w:val="4D647CB6"/>
    <w:rsid w:val="4EAE7E6B"/>
    <w:rsid w:val="4FBB50A9"/>
    <w:rsid w:val="55F06047"/>
    <w:rsid w:val="5AFAAB8C"/>
    <w:rsid w:val="5B0A5B8C"/>
    <w:rsid w:val="5DEC1D78"/>
    <w:rsid w:val="5DEC71C9"/>
    <w:rsid w:val="5EF3D5B7"/>
    <w:rsid w:val="5FF60EF9"/>
    <w:rsid w:val="62285C12"/>
    <w:rsid w:val="62682209"/>
    <w:rsid w:val="6A13654F"/>
    <w:rsid w:val="6EEF2AA3"/>
    <w:rsid w:val="734A6A37"/>
    <w:rsid w:val="7AEF73B4"/>
    <w:rsid w:val="7BFFE9D6"/>
    <w:rsid w:val="7EFBE2B0"/>
    <w:rsid w:val="7EFFF0D3"/>
    <w:rsid w:val="7F4DE6BD"/>
    <w:rsid w:val="7F6BA89B"/>
    <w:rsid w:val="7FBF0BE0"/>
    <w:rsid w:val="7FF547F4"/>
    <w:rsid w:val="A6BEC92A"/>
    <w:rsid w:val="BFFF3714"/>
    <w:rsid w:val="DDFFB37E"/>
    <w:rsid w:val="EBF1F50B"/>
    <w:rsid w:val="EFF30C00"/>
    <w:rsid w:val="F73642A3"/>
    <w:rsid w:val="FC7F13D3"/>
    <w:rsid w:val="FF6E65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qFormat="1"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Calibri" w:cs="Arial"/>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rPr>
  </w:style>
  <w:style w:type="paragraph" w:styleId="3">
    <w:name w:val="heading 2"/>
    <w:basedOn w:val="1"/>
    <w:next w:val="1"/>
    <w:qFormat/>
    <w:uiPriority w:val="0"/>
    <w:pPr>
      <w:keepNext/>
      <w:keepLines/>
      <w:spacing w:before="260" w:after="260" w:line="415" w:lineRule="auto"/>
      <w:outlineLvl w:val="1"/>
    </w:pPr>
    <w:rPr>
      <w:rFonts w:ascii="Luxi Sans" w:hAnsi="Luxi Sans" w:eastAsia="荣耀黑体"/>
      <w:b/>
      <w:sz w:val="32"/>
    </w:rPr>
  </w:style>
  <w:style w:type="paragraph" w:styleId="4">
    <w:name w:val="heading 3"/>
    <w:basedOn w:val="1"/>
    <w:next w:val="1"/>
    <w:qFormat/>
    <w:uiPriority w:val="0"/>
    <w:pPr>
      <w:keepNext/>
      <w:keepLines/>
      <w:spacing w:before="260" w:after="260" w:line="415" w:lineRule="auto"/>
      <w:outlineLvl w:val="2"/>
    </w:pPr>
    <w:rPr>
      <w:b/>
      <w:sz w:val="32"/>
    </w:rPr>
  </w:style>
  <w:style w:type="character" w:default="1" w:styleId="22">
    <w:name w:val="Default Paragraph Font"/>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5">
    <w:name w:val="Normal Indent"/>
    <w:basedOn w:val="1"/>
    <w:next w:val="1"/>
    <w:qFormat/>
    <w:uiPriority w:val="0"/>
    <w:pPr>
      <w:ind w:firstLine="420"/>
    </w:pPr>
  </w:style>
  <w:style w:type="paragraph" w:styleId="6">
    <w:name w:val="annotation text"/>
    <w:basedOn w:val="1"/>
    <w:next w:val="1"/>
    <w:qFormat/>
    <w:uiPriority w:val="0"/>
  </w:style>
  <w:style w:type="paragraph" w:styleId="7">
    <w:name w:val="Body Text"/>
    <w:basedOn w:val="1"/>
    <w:next w:val="6"/>
    <w:qFormat/>
    <w:uiPriority w:val="0"/>
    <w:pPr>
      <w:snapToGrid w:val="0"/>
      <w:spacing w:before="60" w:after="160" w:line="259" w:lineRule="auto"/>
      <w:ind w:right="113"/>
    </w:pPr>
    <w:rPr>
      <w:sz w:val="18"/>
    </w:rPr>
  </w:style>
  <w:style w:type="paragraph" w:styleId="8">
    <w:name w:val="Body Text Indent"/>
    <w:basedOn w:val="1"/>
    <w:next w:val="9"/>
    <w:qFormat/>
    <w:uiPriority w:val="0"/>
    <w:pPr>
      <w:spacing w:line="360" w:lineRule="auto"/>
      <w:ind w:firstLine="640"/>
    </w:pPr>
    <w:rPr>
      <w:sz w:val="32"/>
    </w:rPr>
  </w:style>
  <w:style w:type="paragraph" w:customStyle="1" w:styleId="9">
    <w:name w:val="xl97"/>
    <w:basedOn w:val="1"/>
    <w:next w:val="10"/>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style>
  <w:style w:type="paragraph" w:customStyle="1" w:styleId="10">
    <w:name w:val="xl127"/>
    <w:basedOn w:val="7"/>
    <w:next w:val="11"/>
    <w:qFormat/>
    <w:uiPriority w:val="0"/>
    <w:pPr>
      <w:spacing w:before="100" w:beforeAutospacing="1" w:after="100" w:afterAutospacing="1"/>
      <w:textAlignment w:val="center"/>
    </w:pPr>
  </w:style>
  <w:style w:type="paragraph" w:customStyle="1" w:styleId="11">
    <w:name w:val="1"/>
    <w:basedOn w:val="12"/>
    <w:next w:val="1"/>
    <w:qFormat/>
    <w:uiPriority w:val="0"/>
    <w:pPr>
      <w:ind w:left="420" w:leftChars="200"/>
    </w:pPr>
  </w:style>
  <w:style w:type="paragraph" w:styleId="12">
    <w:name w:val="Body Text 2"/>
    <w:basedOn w:val="1"/>
    <w:qFormat/>
    <w:uiPriority w:val="0"/>
    <w:pPr>
      <w:spacing w:after="120" w:line="480" w:lineRule="auto"/>
    </w:pPr>
  </w:style>
  <w:style w:type="paragraph" w:styleId="13">
    <w:name w:val="Plain Text"/>
    <w:basedOn w:val="1"/>
    <w:qFormat/>
    <w:uiPriority w:val="0"/>
    <w:rPr>
      <w:rFonts w:ascii="宋体" w:hAnsi="宋体"/>
      <w:szCs w:val="24"/>
    </w:rPr>
  </w:style>
  <w:style w:type="paragraph" w:styleId="14">
    <w:name w:val="List Bullet 5"/>
    <w:basedOn w:val="1"/>
    <w:qFormat/>
    <w:uiPriority w:val="0"/>
    <w:pPr>
      <w:numPr>
        <w:ilvl w:val="0"/>
        <w:numId w:val="1"/>
      </w:numPr>
    </w:pPr>
  </w:style>
  <w:style w:type="paragraph" w:styleId="15">
    <w:name w:val="footer"/>
    <w:basedOn w:val="1"/>
    <w:qFormat/>
    <w:uiPriority w:val="0"/>
    <w:pPr>
      <w:tabs>
        <w:tab w:val="center" w:pos="4153"/>
        <w:tab w:val="right" w:pos="8306"/>
      </w:tabs>
      <w:snapToGrid w:val="0"/>
    </w:pPr>
    <w:rPr>
      <w:sz w:val="18"/>
      <w:szCs w:val="18"/>
    </w:rPr>
  </w:style>
  <w:style w:type="paragraph" w:styleId="1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7">
    <w:name w:val="Normal (Web)"/>
    <w:basedOn w:val="1"/>
    <w:qFormat/>
    <w:uiPriority w:val="99"/>
    <w:pPr>
      <w:spacing w:beforeAutospacing="1" w:afterAutospacing="1"/>
    </w:pPr>
    <w:rPr>
      <w:sz w:val="24"/>
    </w:rPr>
  </w:style>
  <w:style w:type="paragraph" w:styleId="18">
    <w:name w:val="Body Text First Indent"/>
    <w:basedOn w:val="7"/>
    <w:qFormat/>
    <w:uiPriority w:val="0"/>
    <w:pPr>
      <w:spacing w:line="480" w:lineRule="exact"/>
      <w:ind w:firstLine="482"/>
    </w:pPr>
    <w:rPr>
      <w:sz w:val="24"/>
    </w:rPr>
  </w:style>
  <w:style w:type="paragraph" w:styleId="19">
    <w:name w:val="Body Text First Indent 2"/>
    <w:basedOn w:val="1"/>
    <w:next w:val="1"/>
    <w:qFormat/>
    <w:uiPriority w:val="0"/>
    <w:pPr>
      <w:adjustRightInd w:val="0"/>
      <w:snapToGrid w:val="0"/>
      <w:spacing w:after="120"/>
      <w:ind w:left="420" w:firstLine="210"/>
      <w:jc w:val="both"/>
      <w:textAlignment w:val="baseline"/>
    </w:pPr>
    <w:rPr>
      <w:sz w:val="24"/>
      <w:lang w:bidi="he-IL"/>
    </w:rPr>
  </w:style>
  <w:style w:type="table" w:styleId="21">
    <w:name w:val="Table Grid"/>
    <w:basedOn w:val="2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page number"/>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383</Words>
  <Characters>2184</Characters>
  <Lines>18</Lines>
  <Paragraphs>5</Paragraphs>
  <TotalTime>7</TotalTime>
  <ScaleCrop>false</ScaleCrop>
  <LinksUpToDate>false</LinksUpToDate>
  <CharactersWithSpaces>2562</CharactersWithSpaces>
  <Application>WPS Office_12.8.2.20327_F1E327BC-269C-435d-A152-05C5408002CA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2026-04-03T18:28:00Z</dcterms:created>
  <dc:creator>lenovo</dc:creator>
  <cp:lastModifiedBy>lenovo</cp:lastModifiedBy>
  <cp:lastPrinted>2024-10-15T16:12:00Z</cp:lastPrinted>
  <dcterms:modified xsi:type="dcterms:W3CDTF">2026-04-20T10:09:47Z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2052-12.8.2.20327</vt:lpwstr>
  </property>
  <property fmtid="{D5CDD505-2E9C-101B-9397-08002B2CF9AE}" pid="3" name="KSOTemplateDocerSaveRecord">
    <vt:lpwstr>eyJoZGlkIjoiNWMwNzNlOTAyOGVkM2E2YmEwY2ZjZTY5OTc0ZmU2ZWIiLCJ1c2VySWQiOiI5OTczMzkxOTEifQ==</vt:lpwstr>
  </property>
  <property fmtid="{D5CDD505-2E9C-101B-9397-08002B2CF9AE}" pid="4" name="ICV">
    <vt:lpwstr>7AE63DE43CBB4A86BFC46A75A8225A99_12</vt:lpwstr>
  </property>
</Properties>
</file>