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F64EC">
      <w:pPr>
        <w:pStyle w:val="4"/>
        <w:widowControl/>
        <w:shd w:val="clear" w:color="auto" w:fill="FFFFFF"/>
        <w:spacing w:beforeAutospacing="0" w:afterAutospacing="0" w:line="432" w:lineRule="atLeas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shd w:val="clear" w:color="auto" w:fill="FFFFFF"/>
        </w:rPr>
        <w:t>盂县水土保持生态产品交易资金管理使用办法</w:t>
      </w:r>
    </w:p>
    <w:p w14:paraId="53FC231F">
      <w:pPr>
        <w:pStyle w:val="4"/>
        <w:widowControl/>
        <w:shd w:val="clear" w:color="auto" w:fill="FFFFFF"/>
        <w:spacing w:beforeAutospacing="0" w:afterAutospacing="0" w:line="432" w:lineRule="atLeast"/>
        <w:jc w:val="center"/>
        <w:rPr>
          <w:rFonts w:hint="eastAsia" w:ascii="黑体" w:hAnsi="黑体" w:eastAsia="黑体" w:cs="黑体"/>
          <w:color w:val="auto"/>
          <w:sz w:val="36"/>
          <w:szCs w:val="36"/>
          <w:highlight w:val="none"/>
          <w:shd w:val="clear" w:color="auto" w:fill="FFFFFF"/>
        </w:rPr>
      </w:pPr>
      <w:r>
        <w:rPr>
          <w:rFonts w:ascii="Calibri" w:hAnsi="Calibri" w:eastAsia="黑体" w:cs="Calibri"/>
          <w:color w:val="auto"/>
          <w:sz w:val="36"/>
          <w:szCs w:val="36"/>
          <w:highlight w:val="none"/>
          <w:shd w:val="clear" w:color="auto" w:fill="FFFFFF"/>
        </w:rPr>
        <w:t> </w:t>
      </w:r>
      <w:r>
        <w:rPr>
          <w:rFonts w:hint="eastAsia" w:ascii="黑体" w:hAnsi="黑体" w:eastAsia="黑体" w:cs="黑体"/>
          <w:color w:val="auto"/>
          <w:sz w:val="36"/>
          <w:szCs w:val="36"/>
          <w:highlight w:val="none"/>
          <w:shd w:val="clear" w:color="auto" w:fill="FFFFFF"/>
        </w:rPr>
        <w:t>（试行）</w:t>
      </w:r>
    </w:p>
    <w:p w14:paraId="7D5CEC22">
      <w:pPr>
        <w:pStyle w:val="4"/>
        <w:widowControl/>
        <w:shd w:val="clear" w:color="auto" w:fill="FFFFFF"/>
        <w:spacing w:before="312" w:beforeLines="100" w:beforeAutospacing="0" w:afterAutospacing="0" w:line="420" w:lineRule="atLeast"/>
        <w:jc w:val="center"/>
        <w:rPr>
          <w:rFonts w:ascii="Calibri" w:hAnsi="Calibri" w:eastAsia="黑体" w:cs="Calibri"/>
          <w:color w:val="auto"/>
          <w:sz w:val="28"/>
          <w:szCs w:val="28"/>
          <w:highlight w:val="none"/>
          <w:shd w:val="clear" w:color="auto" w:fill="FFFFFF"/>
        </w:rPr>
      </w:pPr>
      <w:r>
        <w:rPr>
          <w:rFonts w:hint="eastAsia" w:ascii="Calibri" w:hAnsi="Calibri" w:eastAsia="黑体" w:cs="Calibri"/>
          <w:color w:val="auto"/>
          <w:sz w:val="28"/>
          <w:szCs w:val="28"/>
          <w:highlight w:val="none"/>
          <w:shd w:val="clear" w:color="auto" w:fill="FFFFFF"/>
        </w:rPr>
        <w:t>第一章  总 则</w:t>
      </w:r>
      <w:r>
        <w:rPr>
          <w:rFonts w:hint="eastAsia" w:ascii="Calibri" w:hAnsi="Calibri" w:eastAsia="黑体" w:cs="Calibri"/>
          <w:color w:val="auto"/>
          <w:highlight w:val="none"/>
        </w:rPr>
        <w:t> </w:t>
      </w:r>
    </w:p>
    <w:p w14:paraId="0F83C8AA">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第一条  为强化盂县水土保持生态产品交易资金（以下简称“交易资金”）的使用和管理，提高资金分配使用管理的安全性、规范性和有效性，确保我县水土保持生态产品交易工作顺利实施，根据《水利部 国家发展改革委 中国人民银行关于建立健全生态清洁小流域水土保持生态产品价值实现机制的意见</w:t>
      </w:r>
      <w:r>
        <w:rPr>
          <w:rFonts w:hint="eastAsia" w:asciiTheme="minorEastAsia" w:hAnsiTheme="minorEastAsia" w:cstheme="minorEastAsia"/>
          <w:color w:val="auto"/>
          <w:sz w:val="28"/>
          <w:szCs w:val="28"/>
          <w:highlight w:val="none"/>
          <w:shd w:val="clear" w:color="auto" w:fill="FFFFFF"/>
          <w:lang w:eastAsia="zh-CN"/>
        </w:rPr>
        <w:t>》《</w:t>
      </w:r>
      <w:r>
        <w:rPr>
          <w:rFonts w:hint="eastAsia" w:asciiTheme="minorEastAsia" w:hAnsiTheme="minorEastAsia" w:cstheme="minorEastAsia"/>
          <w:color w:val="auto"/>
          <w:sz w:val="28"/>
          <w:szCs w:val="28"/>
          <w:highlight w:val="none"/>
          <w:shd w:val="clear" w:color="auto" w:fill="FFFFFF"/>
        </w:rPr>
        <w:t>山西省加强新时代水土保持工作实施方案》有关规定，结合工作实际，制定本办法。</w:t>
      </w:r>
    </w:p>
    <w:p w14:paraId="550AC682">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第二条  本办法所称交易资金，是指盂县辖区内国家投资实施的水土流失治理项目（实施水土保持措施的区域）</w:t>
      </w:r>
      <w:bookmarkStart w:id="0" w:name="_GoBack"/>
      <w:r>
        <w:rPr>
          <w:rFonts w:hint="eastAsia" w:asciiTheme="minorEastAsia" w:hAnsiTheme="minorEastAsia" w:cstheme="minorEastAsia"/>
          <w:color w:val="auto"/>
          <w:sz w:val="28"/>
          <w:szCs w:val="28"/>
          <w:highlight w:val="none"/>
          <w:shd w:val="clear" w:color="auto" w:fill="FFFFFF"/>
        </w:rPr>
        <w:t>，</w:t>
      </w:r>
      <w:bookmarkEnd w:id="0"/>
      <w:r>
        <w:rPr>
          <w:rFonts w:hint="eastAsia" w:asciiTheme="minorEastAsia" w:hAnsiTheme="minorEastAsia" w:cstheme="minorEastAsia"/>
          <w:color w:val="auto"/>
          <w:sz w:val="28"/>
          <w:szCs w:val="28"/>
          <w:highlight w:val="none"/>
          <w:shd w:val="clear" w:color="auto" w:fill="FFFFFF"/>
        </w:rPr>
        <w:t>县水利局委托第三方机构进行监测、核算及核证，将核算出的水土保持生态产品作为产品，交易所得资金。</w:t>
      </w:r>
    </w:p>
    <w:p w14:paraId="29E53596">
      <w:pPr>
        <w:pStyle w:val="4"/>
        <w:widowControl/>
        <w:shd w:val="clear" w:color="auto" w:fill="FFFFFF"/>
        <w:spacing w:beforeAutospacing="0" w:afterAutospacing="0" w:line="420" w:lineRule="atLeast"/>
        <w:jc w:val="center"/>
        <w:rPr>
          <w:rFonts w:hint="eastAsia" w:ascii="黑体" w:hAnsi="黑体" w:eastAsia="黑体" w:cstheme="minorEastAsia"/>
          <w:color w:val="auto"/>
          <w:sz w:val="28"/>
          <w:szCs w:val="28"/>
          <w:highlight w:val="none"/>
          <w:shd w:val="clear" w:color="auto" w:fill="FFFFFF"/>
        </w:rPr>
      </w:pPr>
      <w:r>
        <w:rPr>
          <w:rFonts w:ascii="Calibri" w:hAnsi="Calibri" w:eastAsia="黑体" w:cs="Calibri"/>
          <w:color w:val="auto"/>
          <w:sz w:val="28"/>
          <w:szCs w:val="28"/>
          <w:highlight w:val="none"/>
          <w:shd w:val="clear" w:color="auto" w:fill="FFFFFF"/>
        </w:rPr>
        <w:t> </w:t>
      </w:r>
      <w:r>
        <w:rPr>
          <w:rFonts w:hint="eastAsia" w:ascii="黑体" w:hAnsi="黑体" w:eastAsia="黑体" w:cstheme="minorEastAsia"/>
          <w:color w:val="auto"/>
          <w:sz w:val="28"/>
          <w:szCs w:val="28"/>
          <w:highlight w:val="none"/>
          <w:shd w:val="clear" w:color="auto" w:fill="FFFFFF"/>
        </w:rPr>
        <w:t>第二章</w:t>
      </w:r>
      <w:r>
        <w:rPr>
          <w:rFonts w:ascii="Calibri" w:hAnsi="Calibri" w:eastAsia="黑体" w:cs="Calibri"/>
          <w:color w:val="auto"/>
          <w:sz w:val="28"/>
          <w:szCs w:val="28"/>
          <w:highlight w:val="none"/>
          <w:shd w:val="clear" w:color="auto" w:fill="FFFFFF"/>
        </w:rPr>
        <w:t>  </w:t>
      </w:r>
      <w:r>
        <w:rPr>
          <w:rFonts w:hint="eastAsia" w:ascii="黑体" w:hAnsi="黑体" w:eastAsia="黑体" w:cstheme="minorEastAsia"/>
          <w:color w:val="auto"/>
          <w:sz w:val="28"/>
          <w:szCs w:val="28"/>
          <w:highlight w:val="none"/>
          <w:shd w:val="clear" w:color="auto" w:fill="FFFFFF"/>
        </w:rPr>
        <w:t>基本原则</w:t>
      </w:r>
    </w:p>
    <w:p w14:paraId="2CDA0673">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第三条  水土保持生态产品交易资金的使用管理遵循以下基本原则：</w:t>
      </w:r>
    </w:p>
    <w:p w14:paraId="2F396F5D">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一）专款专用。水土保持生态产品交易资金应专项用于项目区以及盂县辖区内后续水土流失预防和治理、水土保持功能巩固提升、水土保持措施运行管护、生态修复、乡村振兴以及后续水土保持生态产品价值开发、交易、委托企业相关业务支出等产生的一系列费用。</w:t>
      </w:r>
    </w:p>
    <w:p w14:paraId="20C891C0">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（二）透明公开。水土保持生态产品项目的开发、监测、核算和交易；交易资金的来源、使用情况和效益应定期向社会公开，接受社会监督。</w:t>
      </w:r>
    </w:p>
    <w:p w14:paraId="17F4FF39">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（三）合理高效。资金的使用应注重效益，确保资金使用效果最大化。</w:t>
      </w:r>
    </w:p>
    <w:p w14:paraId="63BD9627">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（四）保障权益。在水土保持生态产品价值交易中，应充分保障项目实施单位及项目区村集体的合法权益。</w:t>
      </w:r>
    </w:p>
    <w:p w14:paraId="43858EC1">
      <w:pPr>
        <w:pStyle w:val="4"/>
        <w:widowControl/>
        <w:shd w:val="clear" w:color="auto" w:fill="FFFFFF"/>
        <w:spacing w:beforeAutospacing="0" w:afterAutospacing="0" w:line="420" w:lineRule="atLeast"/>
        <w:jc w:val="center"/>
        <w:rPr>
          <w:rFonts w:hint="eastAsia" w:ascii="黑体" w:hAnsi="黑体" w:eastAsia="黑体" w:cstheme="minorEastAsia"/>
          <w:color w:val="auto"/>
          <w:sz w:val="28"/>
          <w:szCs w:val="28"/>
          <w:highlight w:val="none"/>
        </w:rPr>
      </w:pPr>
      <w:r>
        <w:rPr>
          <w:rFonts w:hint="eastAsia" w:ascii="黑体" w:hAnsi="黑体" w:eastAsia="黑体" w:cstheme="minorEastAsia"/>
          <w:color w:val="auto"/>
          <w:sz w:val="28"/>
          <w:szCs w:val="28"/>
          <w:highlight w:val="none"/>
          <w:shd w:val="clear" w:color="auto" w:fill="FFFFFF"/>
        </w:rPr>
        <w:t>第三章</w:t>
      </w:r>
      <w:r>
        <w:rPr>
          <w:rFonts w:ascii="Calibri" w:hAnsi="Calibri" w:eastAsia="黑体" w:cs="Calibri"/>
          <w:color w:val="auto"/>
          <w:sz w:val="28"/>
          <w:szCs w:val="28"/>
          <w:highlight w:val="none"/>
          <w:shd w:val="clear" w:color="auto" w:fill="FFFFFF"/>
        </w:rPr>
        <w:t>  </w:t>
      </w:r>
      <w:r>
        <w:rPr>
          <w:rFonts w:hint="eastAsia" w:ascii="黑体" w:hAnsi="黑体" w:eastAsia="黑体" w:cstheme="minorEastAsia"/>
          <w:color w:val="auto"/>
          <w:sz w:val="28"/>
          <w:szCs w:val="28"/>
          <w:highlight w:val="none"/>
          <w:shd w:val="clear" w:color="auto" w:fill="FFFFFF"/>
        </w:rPr>
        <w:t>资金的产生</w:t>
      </w:r>
    </w:p>
    <w:p w14:paraId="0986C2AB">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第四条 </w:t>
      </w:r>
      <w:r>
        <w:rPr>
          <w:rStyle w:val="7"/>
          <w:rFonts w:hint="eastAsia" w:asciiTheme="minorEastAsia" w:hAnsiTheme="minorEastAsia" w:cstheme="minorEastAsia"/>
          <w:b w:val="0"/>
          <w:color w:val="auto"/>
          <w:sz w:val="28"/>
          <w:szCs w:val="28"/>
          <w:highlight w:val="none"/>
          <w:shd w:val="clear" w:color="auto" w:fill="FFFFFF"/>
        </w:rPr>
        <w:t> </w:t>
      </w:r>
      <w:r>
        <w:rPr>
          <w:rFonts w:hint="eastAsia" w:asciiTheme="minorEastAsia" w:hAnsiTheme="minorEastAsia" w:cstheme="minorEastAsia"/>
          <w:color w:val="auto"/>
          <w:sz w:val="28"/>
          <w:szCs w:val="28"/>
          <w:highlight w:val="none"/>
          <w:shd w:val="clear" w:color="auto" w:fill="FFFFFF"/>
        </w:rPr>
        <w:t>交易资金的产生来源于国家投资实施的水土流失治理项目（实施水土保持措施的区域）。具体流程为：县水利局委托第三方机构，运用计量监测等技术手段，对水土保持治理项目产生的生态产品价值进行核算，并将这些核算结果作为可交易的产品。在此基础上，县水利局</w:t>
      </w:r>
      <w:r>
        <w:rPr>
          <w:rFonts w:hint="eastAsia" w:asciiTheme="minorEastAsia" w:hAnsiTheme="minorEastAsia" w:cstheme="minorEastAsia"/>
          <w:color w:val="auto"/>
          <w:sz w:val="28"/>
          <w:szCs w:val="28"/>
          <w:highlight w:val="none"/>
          <w:shd w:val="clear" w:color="auto" w:fill="FFFFFF"/>
          <w:lang w:val="en-US" w:eastAsia="zh-CN"/>
        </w:rPr>
        <w:t>经当地人民政府同意，依法依规</w:t>
      </w:r>
      <w:r>
        <w:rPr>
          <w:rFonts w:hint="eastAsia" w:asciiTheme="minorEastAsia" w:hAnsiTheme="minorEastAsia" w:cstheme="minorEastAsia"/>
          <w:color w:val="auto"/>
          <w:sz w:val="28"/>
          <w:szCs w:val="28"/>
          <w:highlight w:val="none"/>
          <w:shd w:val="clear" w:color="auto" w:fill="FFFFFF"/>
        </w:rPr>
        <w:t>委托具有</w:t>
      </w:r>
      <w:r>
        <w:rPr>
          <w:rFonts w:hint="eastAsia" w:asciiTheme="minorEastAsia" w:hAnsiTheme="minorEastAsia" w:cstheme="minorEastAsia"/>
          <w:color w:val="auto"/>
          <w:sz w:val="28"/>
          <w:szCs w:val="28"/>
          <w:highlight w:val="none"/>
          <w:shd w:val="clear" w:color="auto" w:fill="FFFFFF"/>
          <w:lang w:val="en-US" w:eastAsia="zh-CN"/>
        </w:rPr>
        <w:t>相应</w:t>
      </w:r>
      <w:r>
        <w:rPr>
          <w:rFonts w:hint="eastAsia" w:asciiTheme="minorEastAsia" w:hAnsiTheme="minorEastAsia" w:cstheme="minorEastAsia"/>
          <w:color w:val="auto"/>
          <w:sz w:val="28"/>
          <w:szCs w:val="28"/>
          <w:highlight w:val="none"/>
          <w:shd w:val="clear" w:color="auto" w:fill="FFFFFF"/>
        </w:rPr>
        <w:t>资质的</w:t>
      </w:r>
      <w:r>
        <w:rPr>
          <w:rFonts w:hint="eastAsia" w:asciiTheme="minorEastAsia" w:hAnsiTheme="minorEastAsia" w:cstheme="minorEastAsia"/>
          <w:color w:val="auto"/>
          <w:sz w:val="28"/>
          <w:szCs w:val="28"/>
          <w:highlight w:val="none"/>
          <w:shd w:val="clear" w:color="auto" w:fill="FFFFFF"/>
          <w:lang w:val="en-US" w:eastAsia="zh-CN"/>
        </w:rPr>
        <w:t>市场主体</w:t>
      </w:r>
      <w:r>
        <w:rPr>
          <w:rFonts w:hint="eastAsia" w:asciiTheme="minorEastAsia" w:hAnsiTheme="minorEastAsia" w:cstheme="minorEastAsia"/>
          <w:color w:val="auto"/>
          <w:sz w:val="28"/>
          <w:szCs w:val="28"/>
          <w:highlight w:val="none"/>
          <w:shd w:val="clear" w:color="auto" w:fill="FFFFFF"/>
        </w:rPr>
        <w:t>作为出让方</w:t>
      </w:r>
      <w:r>
        <w:rPr>
          <w:rFonts w:hint="eastAsia" w:asciiTheme="minorEastAsia" w:hAnsiTheme="minorEastAsia" w:cstheme="minorEastAsia"/>
          <w:color w:val="auto"/>
          <w:sz w:val="28"/>
          <w:szCs w:val="28"/>
          <w:highlight w:val="none"/>
          <w:shd w:val="clear" w:color="auto" w:fill="FFFFFF"/>
          <w:lang w:eastAsia="zh-CN"/>
        </w:rPr>
        <w:t>，</w:t>
      </w:r>
      <w:r>
        <w:rPr>
          <w:rFonts w:hint="eastAsia" w:asciiTheme="minorEastAsia" w:hAnsiTheme="minorEastAsia" w:cstheme="minorEastAsia"/>
          <w:color w:val="auto"/>
          <w:sz w:val="28"/>
          <w:szCs w:val="28"/>
          <w:highlight w:val="none"/>
          <w:shd w:val="clear" w:color="auto" w:fill="FFFFFF"/>
        </w:rPr>
        <w:t>代为持有和管理水土保持生态产品相关权益，并负责进行水土保持生态产品项目的申报和交易工作。出让方将经过核证的水土保持生态产品作为商品在市场上进行交易所得资金，即为本办法所指的交易资金。</w:t>
      </w:r>
    </w:p>
    <w:p w14:paraId="48CD81C5">
      <w:pPr>
        <w:pStyle w:val="4"/>
        <w:widowControl/>
        <w:shd w:val="clear" w:color="auto" w:fill="FFFFFF"/>
        <w:spacing w:beforeAutospacing="0" w:afterAutospacing="0" w:line="420" w:lineRule="atLeast"/>
        <w:jc w:val="center"/>
        <w:rPr>
          <w:rFonts w:hint="eastAsia" w:ascii="黑体" w:hAnsi="黑体" w:eastAsia="黑体" w:cstheme="minorEastAsia"/>
          <w:color w:val="auto"/>
          <w:sz w:val="28"/>
          <w:szCs w:val="28"/>
          <w:highlight w:val="none"/>
          <w:shd w:val="clear" w:color="auto" w:fill="FFFFFF"/>
        </w:rPr>
      </w:pPr>
      <w:r>
        <w:rPr>
          <w:rFonts w:hint="eastAsia" w:ascii="黑体" w:hAnsi="黑体" w:eastAsia="黑体" w:cstheme="minorEastAsia"/>
          <w:color w:val="auto"/>
          <w:sz w:val="28"/>
          <w:szCs w:val="28"/>
          <w:highlight w:val="none"/>
          <w:shd w:val="clear" w:color="auto" w:fill="FFFFFF"/>
        </w:rPr>
        <w:t>第四章</w:t>
      </w:r>
      <w:r>
        <w:rPr>
          <w:rFonts w:ascii="Calibri" w:hAnsi="Calibri" w:eastAsia="黑体" w:cs="Calibri"/>
          <w:color w:val="auto"/>
          <w:sz w:val="28"/>
          <w:szCs w:val="28"/>
          <w:highlight w:val="none"/>
          <w:shd w:val="clear" w:color="auto" w:fill="FFFFFF"/>
        </w:rPr>
        <w:t>  </w:t>
      </w:r>
      <w:r>
        <w:rPr>
          <w:rFonts w:hint="eastAsia" w:ascii="黑体" w:hAnsi="黑体" w:eastAsia="黑体" w:cstheme="minorEastAsia"/>
          <w:color w:val="auto"/>
          <w:sz w:val="28"/>
          <w:szCs w:val="28"/>
          <w:highlight w:val="none"/>
          <w:shd w:val="clear" w:color="auto" w:fill="FFFFFF"/>
        </w:rPr>
        <w:t>资金使用范围</w:t>
      </w:r>
    </w:p>
    <w:p w14:paraId="502FA31E">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第五条  水土保持生态产品交易资金的使用范围包括以下：</w:t>
      </w:r>
    </w:p>
    <w:p w14:paraId="68598A73">
      <w:pPr>
        <w:pStyle w:val="4"/>
        <w:widowControl/>
        <w:shd w:val="clear" w:color="auto" w:fill="FFFFFF"/>
        <w:spacing w:beforeAutospacing="0" w:afterAutospacing="0" w:line="420" w:lineRule="atLeast"/>
        <w:ind w:firstLine="516"/>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（一）项目区及盂县辖区内后续水土流失预防和治理、水土保持功能巩固提升、水土保持措施运行管护、水利基础设施建设、生态修复、乡村振兴，巩固和提升项目区的生态环境质量与生态系统服务能力。</w:t>
      </w:r>
    </w:p>
    <w:p w14:paraId="7B2B093C">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二）水土保持生态产品项目开发及交易、后续管理产生的一系列费用，包括水土保持生态产品价值核算、核证及交易、生态系统服务能力巩固与提升评估、项目区水土保持效益发挥情况定点监测等相关活动产生的相应费用。</w:t>
      </w:r>
    </w:p>
    <w:p w14:paraId="45DA60CA">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（三）县水利局在开展水土保持生态产品项目开发时所需费用。包括水土保持生态产品项目前期规划、实施和监督等费用。</w:t>
      </w:r>
    </w:p>
    <w:p w14:paraId="3881817B">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（四）用于加强水土保持知识的宣传教育，提高公众对水土保持生态价值重要性的认识，同时开展相关培训活动，提升技术人员和管理人员的专业水平。</w:t>
      </w:r>
    </w:p>
    <w:p w14:paraId="46B92528">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（五）出让方的管理费。为保障水土保持生态产品交易的顺利进行和资金的有效管理，从交易资金中按照一定比例提取管理费用于项目开发、申报等工作。</w:t>
      </w:r>
    </w:p>
    <w:p w14:paraId="4FB1B848">
      <w:pPr>
        <w:pStyle w:val="4"/>
        <w:widowControl/>
        <w:shd w:val="clear" w:color="auto" w:fill="FFFFFF"/>
        <w:spacing w:beforeAutospacing="0" w:afterAutospacing="0" w:line="420" w:lineRule="atLeast"/>
        <w:jc w:val="center"/>
        <w:rPr>
          <w:rFonts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第五章  资金运行管理</w:t>
      </w:r>
    </w:p>
    <w:p w14:paraId="5719EBC8">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第六条  为了确保水土保持生态产品交易资金的有效使用和管理，采取以下措施：</w:t>
      </w:r>
    </w:p>
    <w:p w14:paraId="78100AC1">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（一）指定资金监管部门。由县水利局负责对交易资金进行监督管理。</w:t>
      </w:r>
    </w:p>
    <w:p w14:paraId="5541DB24">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（二）设立专账核算。项目交易资金由出让方保管核算，实行专账管理、专款专用。</w:t>
      </w:r>
    </w:p>
    <w:p w14:paraId="45336DC7">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（三）资金使用方案制定及审批。因水土保持相关项目等需使用资金的，在县水利局的指导下，项目建设方提出资金使用需求并制定资金使用方案，经出让方同意后，报县水利局</w:t>
      </w:r>
      <w:r>
        <w:rPr>
          <w:rFonts w:hint="eastAsia" w:asciiTheme="minorEastAsia" w:hAnsiTheme="minorEastAsia" w:cstheme="minorEastAsia"/>
          <w:color w:val="auto"/>
          <w:sz w:val="28"/>
          <w:szCs w:val="28"/>
          <w:highlight w:val="none"/>
          <w:shd w:val="clear" w:color="auto" w:fill="FFFFFF"/>
          <w:lang w:val="en-US" w:eastAsia="zh-CN"/>
        </w:rPr>
        <w:t>备案</w:t>
      </w:r>
      <w:r>
        <w:rPr>
          <w:rFonts w:hint="eastAsia" w:asciiTheme="minorEastAsia" w:hAnsiTheme="minorEastAsia" w:cstheme="minorEastAsia"/>
          <w:color w:val="auto"/>
          <w:sz w:val="28"/>
          <w:szCs w:val="28"/>
          <w:highlight w:val="none"/>
          <w:shd w:val="clear" w:color="auto" w:fill="FFFFFF"/>
        </w:rPr>
        <w:t>同意方可使用。资金使用计划应包括以下内容：项目名称、资金需求和预算、资金使用的时间表、预期效果、资金使用的监督和审计计划。</w:t>
      </w:r>
    </w:p>
    <w:p w14:paraId="62B13EFB">
      <w:pPr>
        <w:pStyle w:val="4"/>
        <w:widowControl/>
        <w:shd w:val="clear" w:color="auto" w:fill="FFFFFF"/>
        <w:spacing w:beforeAutospacing="0" w:afterAutospacing="0" w:line="420" w:lineRule="atLeast"/>
        <w:jc w:val="center"/>
        <w:rPr>
          <w:rFonts w:ascii="Calibri" w:hAnsi="Calibri" w:eastAsia="黑体" w:cs="Calibri"/>
          <w:color w:val="auto"/>
          <w:sz w:val="28"/>
          <w:szCs w:val="28"/>
          <w:highlight w:val="none"/>
          <w:shd w:val="clear" w:color="auto" w:fill="FFFFFF"/>
        </w:rPr>
      </w:pPr>
      <w:r>
        <w:rPr>
          <w:rFonts w:hint="eastAsia" w:ascii="Calibri" w:hAnsi="Calibri" w:eastAsia="黑体" w:cs="Calibri"/>
          <w:color w:val="auto"/>
          <w:sz w:val="28"/>
          <w:szCs w:val="28"/>
          <w:highlight w:val="none"/>
          <w:shd w:val="clear" w:color="auto" w:fill="FFFFFF"/>
        </w:rPr>
        <w:t>第六章  资金的监管</w:t>
      </w:r>
    </w:p>
    <w:p w14:paraId="5E89FDCD">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第七条  为保障交易资金的使用被有效监管，采取以下措施：</w:t>
      </w:r>
    </w:p>
    <w:p w14:paraId="52B6FE26">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一）加强监督检查。建立健全监督检查机制，在县级人民政府的授权下，由县水利局定期对专项资金账户或资金使用情况进行检查与监督，检查中发现的问题及时纠正处理，确保资金的合规性和有效性。同时，应接受审计、监察等部门的审计和监督。</w:t>
      </w:r>
    </w:p>
    <w:p w14:paraId="000E0C92">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（二）绩效评估和反馈。建立绩效评估体系，对资金使用效果进行评估和反馈，不断优化资金使用和管理方式。绩效评估具体指标应至少包括：</w:t>
      </w:r>
    </w:p>
    <w:p w14:paraId="1D028A8A">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1.成本效益分析：评估资金投入与产出的比例；</w:t>
      </w:r>
    </w:p>
    <w:p w14:paraId="6D9EB30E">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2.环境影响评估：评估资金投入对环境的影响，特别是水土保持生态系统服务能力的提升；</w:t>
      </w:r>
    </w:p>
    <w:p w14:paraId="5D20AC02">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3.社会和经济效益：评估资金投入对当地社会和经济的正面影响；</w:t>
      </w:r>
    </w:p>
    <w:p w14:paraId="425F9846">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4.公众满意度：通过问卷调查等方式收集项目区公众对资金投入的反馈。</w:t>
      </w:r>
    </w:p>
    <w:p w14:paraId="46B80109">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第八条</w:t>
      </w:r>
      <w:r>
        <w:rPr>
          <w:rFonts w:hint="eastAsia" w:asciiTheme="minorEastAsia" w:hAnsiTheme="minorEastAsia" w:cstheme="minorEastAsia"/>
          <w:color w:val="auto"/>
          <w:sz w:val="28"/>
          <w:szCs w:val="28"/>
          <w:highlight w:val="none"/>
          <w:shd w:val="clear" w:color="auto" w:fill="FFFFFF"/>
        </w:rPr>
        <w:t>  </w:t>
      </w:r>
      <w:r>
        <w:rPr>
          <w:rFonts w:hint="eastAsia" w:asciiTheme="minorEastAsia" w:hAnsiTheme="minorEastAsia" w:cstheme="minorEastAsia"/>
          <w:color w:val="auto"/>
          <w:sz w:val="28"/>
          <w:szCs w:val="28"/>
          <w:highlight w:val="none"/>
        </w:rPr>
        <w:t>交易资金不得用于行政支出、债务偿还及与水土保持无关的商业投资。</w:t>
      </w:r>
    </w:p>
    <w:p w14:paraId="03D39996">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第九条</w:t>
      </w:r>
      <w:r>
        <w:rPr>
          <w:rFonts w:hint="eastAsia" w:asciiTheme="minorEastAsia" w:hAnsiTheme="minorEastAsia" w:cstheme="minorEastAsia"/>
          <w:color w:val="auto"/>
          <w:sz w:val="28"/>
          <w:szCs w:val="28"/>
          <w:highlight w:val="none"/>
          <w:shd w:val="clear" w:color="auto" w:fill="FFFFFF"/>
        </w:rPr>
        <w:t>  </w:t>
      </w:r>
      <w:r>
        <w:rPr>
          <w:rFonts w:hint="eastAsia" w:asciiTheme="minorEastAsia" w:hAnsiTheme="minorEastAsia" w:cstheme="minorEastAsia"/>
          <w:color w:val="auto"/>
          <w:sz w:val="28"/>
          <w:szCs w:val="28"/>
          <w:highlight w:val="none"/>
        </w:rPr>
        <w:t>任何单位和个人不得截留、挤占和挪用专项资金。凡存在违反本办法行为及其他违法违纪行为的，依法依规追究相应责任，涉嫌犯罪的，移送司法机关处理。</w:t>
      </w:r>
    </w:p>
    <w:p w14:paraId="5EB93D36">
      <w:pPr>
        <w:pStyle w:val="4"/>
        <w:widowControl/>
        <w:shd w:val="clear" w:color="auto" w:fill="FFFFFF"/>
        <w:spacing w:beforeAutospacing="0" w:afterAutospacing="0" w:line="420" w:lineRule="atLeast"/>
        <w:jc w:val="center"/>
        <w:rPr>
          <w:rFonts w:ascii="Calibri" w:hAnsi="Calibri" w:eastAsia="黑体" w:cs="Calibri"/>
          <w:color w:val="auto"/>
          <w:sz w:val="28"/>
          <w:szCs w:val="28"/>
          <w:highlight w:val="none"/>
          <w:shd w:val="clear" w:color="auto" w:fill="FFFFFF"/>
        </w:rPr>
      </w:pPr>
      <w:r>
        <w:rPr>
          <w:rFonts w:hint="eastAsia" w:ascii="Calibri" w:hAnsi="Calibri" w:eastAsia="黑体" w:cs="Calibri"/>
          <w:color w:val="auto"/>
          <w:sz w:val="28"/>
          <w:szCs w:val="28"/>
          <w:highlight w:val="none"/>
          <w:shd w:val="clear" w:color="auto" w:fill="FFFFFF"/>
        </w:rPr>
        <w:t>第七章  纠纷裁决机制</w:t>
      </w:r>
    </w:p>
    <w:p w14:paraId="74D42ADF">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第十条  本办法的纠纷裁决机制：</w:t>
      </w:r>
    </w:p>
    <w:p w14:paraId="11F7C299">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本办法实施过程中，若遇到本办法未能涵盖的问题，由县水利局负责本办法的解释工作，或提请县人民政府进行行政裁决。</w:t>
      </w:r>
    </w:p>
    <w:p w14:paraId="435C47F1">
      <w:pPr>
        <w:pStyle w:val="4"/>
        <w:widowControl/>
        <w:shd w:val="clear" w:color="auto" w:fill="FFFFFF"/>
        <w:spacing w:beforeAutospacing="0" w:afterAutospacing="0" w:line="420" w:lineRule="atLeast"/>
        <w:jc w:val="center"/>
        <w:rPr>
          <w:rFonts w:ascii="Calibri" w:hAnsi="Calibri" w:eastAsia="黑体" w:cs="Calibri"/>
          <w:color w:val="auto"/>
          <w:sz w:val="28"/>
          <w:szCs w:val="28"/>
          <w:highlight w:val="none"/>
          <w:shd w:val="clear" w:color="auto" w:fill="FFFFFF"/>
        </w:rPr>
      </w:pPr>
      <w:r>
        <w:rPr>
          <w:rFonts w:hint="eastAsia" w:ascii="Calibri" w:hAnsi="Calibri" w:eastAsia="黑体" w:cs="Calibri"/>
          <w:color w:val="auto"/>
          <w:sz w:val="28"/>
          <w:szCs w:val="28"/>
          <w:highlight w:val="none"/>
          <w:shd w:val="clear" w:color="auto" w:fill="FFFFFF"/>
        </w:rPr>
        <w:t> 第八章  附  则</w:t>
      </w:r>
    </w:p>
    <w:p w14:paraId="3C80EFB3">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第十一条  本办法由县水利局负责解释。</w:t>
      </w:r>
    </w:p>
    <w:p w14:paraId="702E0F18">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第十二条  本办法自印发之日起试行。</w:t>
      </w:r>
    </w:p>
    <w:p w14:paraId="75304F42">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shd w:val="clear" w:color="auto" w:fill="FFFFFF"/>
        </w:rPr>
        <w:t>第十三条  本办法的后续修改机制：</w:t>
      </w:r>
    </w:p>
    <w:p w14:paraId="67EADE7E">
      <w:pPr>
        <w:pStyle w:val="4"/>
        <w:widowControl/>
        <w:shd w:val="clear" w:color="auto" w:fill="FFFFFF"/>
        <w:spacing w:beforeAutospacing="0" w:afterAutospacing="0" w:line="420" w:lineRule="atLeast"/>
        <w:ind w:firstLine="516"/>
        <w:jc w:val="both"/>
        <w:rPr>
          <w:rFonts w:asciiTheme="minorEastAsia" w:hAnsiTheme="minorEastAsia" w:cstheme="minorEastAsia"/>
          <w:color w:val="auto"/>
          <w:sz w:val="28"/>
          <w:szCs w:val="28"/>
          <w:highlight w:val="none"/>
          <w:shd w:val="clear" w:color="auto" w:fill="FFFFFF"/>
        </w:rPr>
      </w:pPr>
      <w:r>
        <w:rPr>
          <w:rFonts w:hint="eastAsia" w:asciiTheme="minorEastAsia" w:hAnsiTheme="minorEastAsia" w:cstheme="minorEastAsia"/>
          <w:color w:val="auto"/>
          <w:sz w:val="28"/>
          <w:szCs w:val="28"/>
          <w:highlight w:val="none"/>
          <w:shd w:val="clear" w:color="auto" w:fill="FFFFFF"/>
        </w:rPr>
        <w:t>本办法实施过程中，如遇国家政策调整或实际工作需要，可由县水利局提出修改建议，提请县人民政府批准后进行修订。</w:t>
      </w:r>
    </w:p>
    <w:p w14:paraId="68CF607C">
      <w:pPr>
        <w:pStyle w:val="4"/>
        <w:widowControl/>
        <w:shd w:val="clear" w:color="auto" w:fill="FFFFFF"/>
        <w:spacing w:beforeAutospacing="0" w:afterAutospacing="0" w:line="420" w:lineRule="atLeast"/>
        <w:ind w:firstLine="516"/>
        <w:jc w:val="both"/>
        <w:rPr>
          <w:rFonts w:asciiTheme="minorEastAsia" w:hAnsiTheme="minorEastAsia" w:cstheme="minorEastAsia"/>
          <w:color w:val="auto"/>
          <w:sz w:val="28"/>
          <w:szCs w:val="28"/>
          <w:highlight w:val="none"/>
          <w:shd w:val="clear" w:color="auto" w:fill="FFFFFF"/>
        </w:rPr>
      </w:pPr>
    </w:p>
    <w:p w14:paraId="27800B08">
      <w:pPr>
        <w:pStyle w:val="4"/>
        <w:widowControl/>
        <w:shd w:val="clear" w:color="auto" w:fill="FFFFFF"/>
        <w:spacing w:beforeAutospacing="0" w:afterAutospacing="0" w:line="420" w:lineRule="atLeast"/>
        <w:ind w:firstLine="516"/>
        <w:jc w:val="both"/>
        <w:rPr>
          <w:rFonts w:asciiTheme="minorEastAsia" w:hAnsiTheme="minorEastAsia" w:cstheme="minorEastAsia"/>
          <w:color w:val="auto"/>
          <w:sz w:val="28"/>
          <w:szCs w:val="28"/>
          <w:highlight w:val="none"/>
          <w:shd w:val="clear" w:color="auto" w:fill="FFFFFF"/>
        </w:rPr>
      </w:pPr>
    </w:p>
    <w:p w14:paraId="174FF95B">
      <w:pPr>
        <w:pStyle w:val="4"/>
        <w:widowControl/>
        <w:shd w:val="clear" w:color="auto" w:fill="FFFFFF"/>
        <w:spacing w:beforeAutospacing="0" w:afterAutospacing="0" w:line="420" w:lineRule="atLeast"/>
        <w:ind w:firstLine="516"/>
        <w:jc w:val="both"/>
        <w:rPr>
          <w:rFonts w:hint="eastAsia" w:asciiTheme="minorEastAsia" w:hAnsiTheme="minorEastAsia" w:cstheme="minorEastAsia"/>
          <w:color w:val="auto"/>
          <w:sz w:val="28"/>
          <w:szCs w:val="28"/>
          <w:highlight w:val="none"/>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E5202"/>
    <w:rsid w:val="0000007B"/>
    <w:rsid w:val="0000396B"/>
    <w:rsid w:val="00040C46"/>
    <w:rsid w:val="001315F8"/>
    <w:rsid w:val="001371DA"/>
    <w:rsid w:val="001402D5"/>
    <w:rsid w:val="00245317"/>
    <w:rsid w:val="00280629"/>
    <w:rsid w:val="002F06CF"/>
    <w:rsid w:val="002F7CBA"/>
    <w:rsid w:val="00350F14"/>
    <w:rsid w:val="003534CD"/>
    <w:rsid w:val="00357E8E"/>
    <w:rsid w:val="00377D30"/>
    <w:rsid w:val="0038259D"/>
    <w:rsid w:val="003B689B"/>
    <w:rsid w:val="003F2D44"/>
    <w:rsid w:val="003F3971"/>
    <w:rsid w:val="0048009B"/>
    <w:rsid w:val="004B06AC"/>
    <w:rsid w:val="004D1DF0"/>
    <w:rsid w:val="004F7DAB"/>
    <w:rsid w:val="005E6E7B"/>
    <w:rsid w:val="00622CB7"/>
    <w:rsid w:val="00626A0E"/>
    <w:rsid w:val="00630E66"/>
    <w:rsid w:val="006E4CF4"/>
    <w:rsid w:val="006E5A4A"/>
    <w:rsid w:val="00807348"/>
    <w:rsid w:val="00881627"/>
    <w:rsid w:val="008F5B4C"/>
    <w:rsid w:val="009C023D"/>
    <w:rsid w:val="00A43E58"/>
    <w:rsid w:val="00AA7283"/>
    <w:rsid w:val="00AB1184"/>
    <w:rsid w:val="00AD1873"/>
    <w:rsid w:val="00AE79FB"/>
    <w:rsid w:val="00B32192"/>
    <w:rsid w:val="00BE59E9"/>
    <w:rsid w:val="00C00668"/>
    <w:rsid w:val="00C2485D"/>
    <w:rsid w:val="00C44EDE"/>
    <w:rsid w:val="00CA6EEB"/>
    <w:rsid w:val="00CB2839"/>
    <w:rsid w:val="00D26BE5"/>
    <w:rsid w:val="00D436E3"/>
    <w:rsid w:val="00DB7BCD"/>
    <w:rsid w:val="00DB7D29"/>
    <w:rsid w:val="00E55A63"/>
    <w:rsid w:val="00E74E06"/>
    <w:rsid w:val="00EC51AE"/>
    <w:rsid w:val="00FA0E87"/>
    <w:rsid w:val="00FE490C"/>
    <w:rsid w:val="0CDB347F"/>
    <w:rsid w:val="0DC60CB0"/>
    <w:rsid w:val="0FA96C28"/>
    <w:rsid w:val="223B1BE9"/>
    <w:rsid w:val="2D8B01DA"/>
    <w:rsid w:val="3D2B3F86"/>
    <w:rsid w:val="468E5202"/>
    <w:rsid w:val="4A735D06"/>
    <w:rsid w:val="56FF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BAB8-7855-49D9-BA4D-8683A987F73A}">
  <ds:schemaRefs/>
</ds:datastoreItem>
</file>

<file path=docProps/app.xml><?xml version="1.0" encoding="utf-8"?>
<Properties xmlns="http://schemas.openxmlformats.org/officeDocument/2006/extended-properties" xmlns:vt="http://schemas.openxmlformats.org/officeDocument/2006/docPropsVTypes">
  <Template>Normal</Template>
  <Pages>5</Pages>
  <Words>2129</Words>
  <Characters>2133</Characters>
  <Lines>15</Lines>
  <Paragraphs>4</Paragraphs>
  <TotalTime>124</TotalTime>
  <ScaleCrop>false</ScaleCrop>
  <LinksUpToDate>false</LinksUpToDate>
  <CharactersWithSpaces>2184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2025-11-17T11:32:00Z</dcterms:created>
  <dc:creator>刘林</dc:creator>
  <cp:lastModifiedBy>淡定</cp:lastModifiedBy>
  <cp:lastPrinted>2026-02-02T01:28:00Z</cp:lastPrinted>
  <dcterms:modified xsi:type="dcterms:W3CDTF">2026-02-06T09:31:06Z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7F6C3E7CBB9B47F9AECD150CC9BFF9BF_11</vt:lpwstr>
  </property>
  <property fmtid="{D5CDD505-2E9C-101B-9397-08002B2CF9AE}" pid="4" name="KSOTemplateDocerSaveRecord">
    <vt:lpwstr>eyJoZGlkIjoiOTJkYTY3Y2FiMzRjZWY5MzA3M2FlZWM5ZWNjNWVjM2UiLCJ1c2VySWQiOiIzNDI3NTg4OTEifQ==</vt:lpwstr>
  </property>
</Properties>
</file>